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DC9B4E" w14:textId="68AE4C40" w:rsidR="00A970B1" w:rsidRPr="004C3D5B" w:rsidRDefault="004C3F48" w:rsidP="00595E25">
      <w:pPr>
        <w:pStyle w:val="Header"/>
        <w:rPr>
          <w:rFonts w:ascii="Rockwell" w:hAnsi="Rockwell" w:cs="Arial"/>
          <w:b/>
          <w:bCs/>
          <w:color w:val="CC3399"/>
          <w:kern w:val="28"/>
          <w:sz w:val="120"/>
          <w:szCs w:val="120"/>
        </w:rPr>
      </w:pPr>
      <w:bookmarkStart w:id="0" w:name="_Toc50719718"/>
      <w:bookmarkStart w:id="1" w:name="_Toc50721417"/>
      <w:bookmarkStart w:id="2" w:name="_Toc50721504"/>
      <w:bookmarkStart w:id="3" w:name="_Toc50722622"/>
      <w:bookmarkStart w:id="4" w:name="_Toc56170443"/>
      <w:bookmarkStart w:id="5" w:name="_Toc56422697"/>
      <w:bookmarkStart w:id="6" w:name="_Toc56426021"/>
      <w:bookmarkStart w:id="7" w:name="_Toc56440422"/>
      <w:bookmarkStart w:id="8" w:name="_Toc56497131"/>
      <w:bookmarkStart w:id="9" w:name="_Toc57297130"/>
      <w:bookmarkStart w:id="10" w:name="_Toc57297405"/>
      <w:bookmarkStart w:id="11" w:name="_Toc57300069"/>
      <w:bookmarkStart w:id="12" w:name="_Toc57374333"/>
      <w:bookmarkStart w:id="13" w:name="_Toc57392094"/>
      <w:bookmarkStart w:id="14" w:name="_Toc57392669"/>
      <w:bookmarkStart w:id="15" w:name="_Toc62833862"/>
      <w:bookmarkStart w:id="16" w:name="_Toc81552483"/>
      <w:bookmarkStart w:id="17" w:name="_Toc81554206"/>
      <w:r w:rsidRPr="004C3D5B">
        <w:t xml:space="preserve">   </w:t>
      </w:r>
      <w:bookmarkStart w:id="18" w:name="_Toc82165606"/>
      <w:bookmarkStart w:id="19" w:name="_Toc82174908"/>
      <w:r w:rsidR="00A970B1" w:rsidRPr="004C3D5B">
        <w:rPr>
          <w:rFonts w:ascii="Rockwell" w:hAnsi="Rockwell" w:cs="Arial"/>
          <w:b/>
          <w:bCs/>
          <w:color w:val="CC3399"/>
          <w:kern w:val="28"/>
          <w:sz w:val="120"/>
          <w:szCs w:val="120"/>
        </w:rPr>
        <w:t>Report on Compliance with Part 5 of the Disability Act 2005 for 20</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r w:rsidR="00E3525E" w:rsidRPr="004C3D5B">
        <w:rPr>
          <w:rFonts w:ascii="Rockwell" w:hAnsi="Rockwell" w:cs="Arial"/>
          <w:b/>
          <w:bCs/>
          <w:color w:val="CC3399"/>
          <w:kern w:val="28"/>
          <w:sz w:val="120"/>
          <w:szCs w:val="120"/>
        </w:rPr>
        <w:t>2</w:t>
      </w:r>
      <w:bookmarkEnd w:id="16"/>
      <w:bookmarkEnd w:id="17"/>
      <w:bookmarkEnd w:id="18"/>
      <w:bookmarkEnd w:id="19"/>
      <w:r w:rsidR="00006EAC">
        <w:rPr>
          <w:rFonts w:ascii="Rockwell" w:hAnsi="Rockwell" w:cs="Arial"/>
          <w:b/>
          <w:bCs/>
          <w:color w:val="CC3399"/>
          <w:kern w:val="28"/>
          <w:sz w:val="120"/>
          <w:szCs w:val="120"/>
        </w:rPr>
        <w:t>2</w:t>
      </w:r>
    </w:p>
    <w:p w14:paraId="2A3EA481" w14:textId="384BE214" w:rsidR="00A970B1" w:rsidRPr="004C3D5B" w:rsidRDefault="00A970B1" w:rsidP="00A970B1">
      <w:pPr>
        <w:rPr>
          <w:rFonts w:ascii="Rockwell" w:hAnsi="Rockwell"/>
        </w:rPr>
      </w:pPr>
      <w:r w:rsidRPr="004C3D5B">
        <w:rPr>
          <w:noProof/>
          <w:lang w:eastAsia="en-IE"/>
        </w:rPr>
        <w:drawing>
          <wp:inline distT="0" distB="0" distL="0" distR="0" wp14:anchorId="4A02F215" wp14:editId="4A9467E2">
            <wp:extent cx="2294890" cy="1800225"/>
            <wp:effectExtent l="0" t="0" r="0" b="9525"/>
            <wp:docPr id="5" name="Picture 1" descr="National Disability Author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Disability Authority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4890" cy="1800225"/>
                    </a:xfrm>
                    <a:prstGeom prst="rect">
                      <a:avLst/>
                    </a:prstGeom>
                    <a:noFill/>
                    <a:ln>
                      <a:noFill/>
                    </a:ln>
                  </pic:spPr>
                </pic:pic>
              </a:graphicData>
            </a:graphic>
          </wp:inline>
        </w:drawing>
      </w:r>
      <w:r w:rsidRPr="004C3D5B">
        <w:rPr>
          <w:rFonts w:ascii="Rockwell" w:hAnsi="Rockwell"/>
        </w:rPr>
        <w:t xml:space="preserve"> </w:t>
      </w:r>
    </w:p>
    <w:p w14:paraId="40399FF0" w14:textId="77777777" w:rsidR="00A970B1" w:rsidRPr="004C3D5B" w:rsidRDefault="00A970B1" w:rsidP="00A970B1">
      <w:pPr>
        <w:rPr>
          <w:rFonts w:ascii="Rockwell" w:hAnsi="Rockwell"/>
        </w:rPr>
        <w:sectPr w:rsidR="00A970B1" w:rsidRPr="004C3D5B" w:rsidSect="00D316AD">
          <w:footerReference w:type="default" r:id="rId9"/>
          <w:pgSz w:w="12240" w:h="15840"/>
          <w:pgMar w:top="1418" w:right="1758" w:bottom="1418" w:left="1758" w:header="709" w:footer="709" w:gutter="0"/>
          <w:pgNumType w:start="1"/>
          <w:cols w:space="708"/>
          <w:docGrid w:linePitch="360"/>
        </w:sectPr>
      </w:pPr>
    </w:p>
    <w:p w14:paraId="1CDB0F9D" w14:textId="2A843564" w:rsidR="006A3E29" w:rsidRPr="004C3D5B" w:rsidRDefault="006A3E29" w:rsidP="005E3C2C">
      <w:r w:rsidRPr="004C3D5B">
        <w:rPr>
          <w:rFonts w:ascii="Rockwell" w:hAnsi="Rockwell" w:cs="Arial"/>
          <w:b/>
          <w:bCs/>
          <w:color w:val="CC3399"/>
          <w:kern w:val="32"/>
          <w:sz w:val="56"/>
          <w:szCs w:val="56"/>
        </w:rPr>
        <w:lastRenderedPageBreak/>
        <w:t>Acknowledgements</w:t>
      </w:r>
    </w:p>
    <w:p w14:paraId="42BEA2F0" w14:textId="2A303A40" w:rsidR="009502D9" w:rsidRPr="004C3D5B" w:rsidRDefault="005E3C2C" w:rsidP="005E3C2C">
      <w:pPr>
        <w:rPr>
          <w:color w:val="000000" w:themeColor="text1"/>
        </w:rPr>
      </w:pPr>
      <w:r w:rsidRPr="004C3D5B">
        <w:rPr>
          <w:color w:val="000000" w:themeColor="text1"/>
        </w:rPr>
        <w:t>The NDA appreciates the considerable support and cooperation we received from Depart</w:t>
      </w:r>
      <w:r w:rsidR="009502D9" w:rsidRPr="004C3D5B">
        <w:rPr>
          <w:color w:val="000000" w:themeColor="text1"/>
        </w:rPr>
        <w:t>m</w:t>
      </w:r>
      <w:r w:rsidR="00F75150" w:rsidRPr="004C3D5B">
        <w:rPr>
          <w:color w:val="000000" w:themeColor="text1"/>
        </w:rPr>
        <w:t>ental</w:t>
      </w:r>
      <w:r w:rsidR="00FF0485" w:rsidRPr="004C3D5B">
        <w:rPr>
          <w:color w:val="000000" w:themeColor="text1"/>
        </w:rPr>
        <w:t xml:space="preserve"> Monitoring Committees and </w:t>
      </w:r>
      <w:r w:rsidR="00F75150" w:rsidRPr="004C3D5B">
        <w:rPr>
          <w:color w:val="000000" w:themeColor="text1"/>
        </w:rPr>
        <w:t>public bodies who ensured that their annual Part 5 returns were submitted by the statutory deadline of 30 June</w:t>
      </w:r>
      <w:r w:rsidR="00FF0485" w:rsidRPr="004C3D5B">
        <w:rPr>
          <w:color w:val="000000" w:themeColor="text1"/>
        </w:rPr>
        <w:t xml:space="preserve"> 202</w:t>
      </w:r>
      <w:r w:rsidR="002836BA">
        <w:rPr>
          <w:color w:val="000000" w:themeColor="text1"/>
        </w:rPr>
        <w:t>3</w:t>
      </w:r>
      <w:r w:rsidR="00F75150" w:rsidRPr="004C3D5B">
        <w:rPr>
          <w:color w:val="000000" w:themeColor="text1"/>
        </w:rPr>
        <w:t>.</w:t>
      </w:r>
    </w:p>
    <w:p w14:paraId="7A45747A" w14:textId="38EFA29C" w:rsidR="005E3C2C" w:rsidRPr="004C3D5B" w:rsidRDefault="00F75150" w:rsidP="005E3C2C">
      <w:pPr>
        <w:rPr>
          <w:color w:val="000000" w:themeColor="text1"/>
        </w:rPr>
      </w:pPr>
      <w:r w:rsidRPr="004C3D5B">
        <w:rPr>
          <w:color w:val="000000" w:themeColor="text1"/>
        </w:rPr>
        <w:t xml:space="preserve">We also appreciate the prompt responses we received to any queries we </w:t>
      </w:r>
      <w:r w:rsidR="005E3C2C" w:rsidRPr="004C3D5B">
        <w:rPr>
          <w:color w:val="000000" w:themeColor="text1"/>
        </w:rPr>
        <w:t xml:space="preserve">had regarding data for the </w:t>
      </w:r>
      <w:r w:rsidR="00F1261F" w:rsidRPr="004C3D5B">
        <w:rPr>
          <w:color w:val="000000" w:themeColor="text1"/>
        </w:rPr>
        <w:t>202</w:t>
      </w:r>
      <w:r w:rsidR="002836BA">
        <w:rPr>
          <w:color w:val="000000" w:themeColor="text1"/>
        </w:rPr>
        <w:t>2</w:t>
      </w:r>
      <w:r w:rsidR="00FF0485" w:rsidRPr="004C3D5B">
        <w:rPr>
          <w:color w:val="000000" w:themeColor="text1"/>
        </w:rPr>
        <w:t xml:space="preserve"> Part 5</w:t>
      </w:r>
      <w:r w:rsidR="005E3C2C" w:rsidRPr="004C3D5B">
        <w:rPr>
          <w:color w:val="000000" w:themeColor="text1"/>
        </w:rPr>
        <w:t xml:space="preserve"> returns.</w:t>
      </w:r>
    </w:p>
    <w:p w14:paraId="08245294" w14:textId="77777777" w:rsidR="005E3C2C" w:rsidRPr="004C3D5B" w:rsidRDefault="005E3C2C" w:rsidP="00C27149">
      <w:pPr>
        <w:shd w:val="clear" w:color="auto" w:fill="FFFFFF" w:themeFill="background1"/>
        <w:spacing w:after="0"/>
        <w:rPr>
          <w:rFonts w:ascii="Rockwell" w:hAnsi="Rockwell" w:cs="Arial"/>
          <w:b/>
          <w:bCs/>
          <w:color w:val="CC3399"/>
          <w:kern w:val="32"/>
          <w:sz w:val="56"/>
          <w:szCs w:val="56"/>
        </w:rPr>
      </w:pPr>
    </w:p>
    <w:p w14:paraId="04FFF4AD" w14:textId="77777777" w:rsidR="005E3C2C" w:rsidRPr="004C3D5B" w:rsidRDefault="005E3C2C">
      <w:pPr>
        <w:spacing w:after="0"/>
        <w:rPr>
          <w:rFonts w:ascii="Rockwell" w:hAnsi="Rockwell" w:cs="Arial"/>
          <w:b/>
          <w:bCs/>
          <w:color w:val="CC3399"/>
          <w:kern w:val="32"/>
          <w:sz w:val="56"/>
          <w:szCs w:val="56"/>
        </w:rPr>
      </w:pPr>
      <w:r w:rsidRPr="004C3D5B">
        <w:rPr>
          <w:rFonts w:ascii="Rockwell" w:hAnsi="Rockwell" w:cs="Arial"/>
          <w:b/>
          <w:bCs/>
          <w:color w:val="CC3399"/>
          <w:kern w:val="32"/>
          <w:sz w:val="56"/>
          <w:szCs w:val="56"/>
        </w:rPr>
        <w:br w:type="page"/>
      </w:r>
    </w:p>
    <w:p w14:paraId="1E2947A5" w14:textId="77777777" w:rsidR="00F7547F" w:rsidRPr="004C3D5B" w:rsidRDefault="00973B13">
      <w:pPr>
        <w:pStyle w:val="TOC1"/>
        <w:rPr>
          <w:rFonts w:ascii="Rockwell" w:hAnsi="Rockwell" w:cs="Arial"/>
          <w:bCs/>
          <w:color w:val="CC3399"/>
          <w:kern w:val="32"/>
          <w:sz w:val="56"/>
          <w:szCs w:val="56"/>
        </w:rPr>
      </w:pPr>
      <w:r w:rsidRPr="004C3D5B">
        <w:rPr>
          <w:rFonts w:ascii="Rockwell" w:hAnsi="Rockwell" w:cs="Arial"/>
          <w:bCs/>
          <w:color w:val="CC3399"/>
          <w:kern w:val="32"/>
          <w:sz w:val="56"/>
          <w:szCs w:val="56"/>
        </w:rPr>
        <w:lastRenderedPageBreak/>
        <w:t>Table of Contents</w:t>
      </w:r>
    </w:p>
    <w:p w14:paraId="18C77D07" w14:textId="39DE9681" w:rsidR="00CD5456" w:rsidRDefault="00973B13">
      <w:pPr>
        <w:pStyle w:val="TOC1"/>
        <w:rPr>
          <w:rFonts w:asciiTheme="minorHAnsi" w:eastAsiaTheme="minorEastAsia" w:hAnsiTheme="minorHAnsi" w:cstheme="minorBidi"/>
          <w:b w:val="0"/>
          <w:noProof/>
          <w:sz w:val="22"/>
          <w:szCs w:val="22"/>
          <w:lang w:eastAsia="en-IE"/>
        </w:rPr>
      </w:pPr>
      <w:r w:rsidRPr="004C3D5B">
        <w:fldChar w:fldCharType="begin"/>
      </w:r>
      <w:r w:rsidRPr="004C3D5B">
        <w:instrText xml:space="preserve"> TOC \o "1-2" \h \z \u </w:instrText>
      </w:r>
      <w:r w:rsidRPr="004C3D5B">
        <w:fldChar w:fldCharType="separate"/>
      </w:r>
      <w:hyperlink w:anchor="_Toc146113851" w:history="1">
        <w:r w:rsidR="00CD5456" w:rsidRPr="00962779">
          <w:rPr>
            <w:rStyle w:val="Hyperlink"/>
            <w:noProof/>
          </w:rPr>
          <w:t>Executive Summary</w:t>
        </w:r>
        <w:r w:rsidR="00CD5456">
          <w:rPr>
            <w:noProof/>
            <w:webHidden/>
          </w:rPr>
          <w:tab/>
        </w:r>
        <w:r w:rsidR="00CD5456">
          <w:rPr>
            <w:noProof/>
            <w:webHidden/>
          </w:rPr>
          <w:fldChar w:fldCharType="begin"/>
        </w:r>
        <w:r w:rsidR="00CD5456">
          <w:rPr>
            <w:noProof/>
            <w:webHidden/>
          </w:rPr>
          <w:instrText xml:space="preserve"> PAGEREF _Toc146113851 \h </w:instrText>
        </w:r>
        <w:r w:rsidR="00CD5456">
          <w:rPr>
            <w:noProof/>
            <w:webHidden/>
          </w:rPr>
        </w:r>
        <w:r w:rsidR="00CD5456">
          <w:rPr>
            <w:noProof/>
            <w:webHidden/>
          </w:rPr>
          <w:fldChar w:fldCharType="separate"/>
        </w:r>
        <w:r w:rsidR="00B00549">
          <w:rPr>
            <w:noProof/>
            <w:webHidden/>
          </w:rPr>
          <w:t>4</w:t>
        </w:r>
        <w:r w:rsidR="00CD5456">
          <w:rPr>
            <w:noProof/>
            <w:webHidden/>
          </w:rPr>
          <w:fldChar w:fldCharType="end"/>
        </w:r>
      </w:hyperlink>
    </w:p>
    <w:p w14:paraId="3814287F" w14:textId="6B92E289" w:rsidR="00CD5456" w:rsidRDefault="00CD5456">
      <w:pPr>
        <w:pStyle w:val="TOC2"/>
        <w:rPr>
          <w:rFonts w:asciiTheme="minorHAnsi" w:eastAsiaTheme="minorEastAsia" w:hAnsiTheme="minorHAnsi" w:cstheme="minorBidi"/>
          <w:noProof/>
          <w:sz w:val="22"/>
          <w:szCs w:val="22"/>
          <w:lang w:eastAsia="en-IE"/>
        </w:rPr>
      </w:pPr>
      <w:hyperlink w:anchor="_Toc146113852" w:history="1">
        <w:r w:rsidRPr="00962779">
          <w:rPr>
            <w:rStyle w:val="Hyperlink"/>
            <w:noProof/>
          </w:rPr>
          <w:t>Overview of the analysis</w:t>
        </w:r>
        <w:r>
          <w:rPr>
            <w:noProof/>
            <w:webHidden/>
          </w:rPr>
          <w:tab/>
        </w:r>
        <w:r>
          <w:rPr>
            <w:noProof/>
            <w:webHidden/>
          </w:rPr>
          <w:fldChar w:fldCharType="begin"/>
        </w:r>
        <w:r>
          <w:rPr>
            <w:noProof/>
            <w:webHidden/>
          </w:rPr>
          <w:instrText xml:space="preserve"> PAGEREF _Toc146113852 \h </w:instrText>
        </w:r>
        <w:r>
          <w:rPr>
            <w:noProof/>
            <w:webHidden/>
          </w:rPr>
        </w:r>
        <w:r>
          <w:rPr>
            <w:noProof/>
            <w:webHidden/>
          </w:rPr>
          <w:fldChar w:fldCharType="separate"/>
        </w:r>
        <w:r w:rsidR="00B00549">
          <w:rPr>
            <w:noProof/>
            <w:webHidden/>
          </w:rPr>
          <w:t>4</w:t>
        </w:r>
        <w:r>
          <w:rPr>
            <w:noProof/>
            <w:webHidden/>
          </w:rPr>
          <w:fldChar w:fldCharType="end"/>
        </w:r>
      </w:hyperlink>
    </w:p>
    <w:p w14:paraId="78625764" w14:textId="71283236" w:rsidR="00CD5456" w:rsidRDefault="00CD5456">
      <w:pPr>
        <w:pStyle w:val="TOC2"/>
        <w:rPr>
          <w:rFonts w:asciiTheme="minorHAnsi" w:eastAsiaTheme="minorEastAsia" w:hAnsiTheme="minorHAnsi" w:cstheme="minorBidi"/>
          <w:noProof/>
          <w:sz w:val="22"/>
          <w:szCs w:val="22"/>
          <w:lang w:eastAsia="en-IE"/>
        </w:rPr>
      </w:pPr>
      <w:hyperlink w:anchor="_Toc146113853" w:history="1">
        <w:r w:rsidRPr="00962779">
          <w:rPr>
            <w:rStyle w:val="Hyperlink"/>
            <w:noProof/>
          </w:rPr>
          <w:t>The HSE</w:t>
        </w:r>
        <w:r>
          <w:rPr>
            <w:noProof/>
            <w:webHidden/>
          </w:rPr>
          <w:tab/>
        </w:r>
        <w:r>
          <w:rPr>
            <w:noProof/>
            <w:webHidden/>
          </w:rPr>
          <w:fldChar w:fldCharType="begin"/>
        </w:r>
        <w:r>
          <w:rPr>
            <w:noProof/>
            <w:webHidden/>
          </w:rPr>
          <w:instrText xml:space="preserve"> PAGEREF _Toc146113853 \h </w:instrText>
        </w:r>
        <w:r>
          <w:rPr>
            <w:noProof/>
            <w:webHidden/>
          </w:rPr>
        </w:r>
        <w:r>
          <w:rPr>
            <w:noProof/>
            <w:webHidden/>
          </w:rPr>
          <w:fldChar w:fldCharType="separate"/>
        </w:r>
        <w:r w:rsidR="00B00549">
          <w:rPr>
            <w:noProof/>
            <w:webHidden/>
          </w:rPr>
          <w:t>5</w:t>
        </w:r>
        <w:r>
          <w:rPr>
            <w:noProof/>
            <w:webHidden/>
          </w:rPr>
          <w:fldChar w:fldCharType="end"/>
        </w:r>
      </w:hyperlink>
    </w:p>
    <w:p w14:paraId="6FBF8D90" w14:textId="63660D50" w:rsidR="00CD5456" w:rsidRDefault="00CD5456">
      <w:pPr>
        <w:pStyle w:val="TOC2"/>
        <w:rPr>
          <w:rFonts w:asciiTheme="minorHAnsi" w:eastAsiaTheme="minorEastAsia" w:hAnsiTheme="minorHAnsi" w:cstheme="minorBidi"/>
          <w:noProof/>
          <w:sz w:val="22"/>
          <w:szCs w:val="22"/>
          <w:lang w:eastAsia="en-IE"/>
        </w:rPr>
      </w:pPr>
      <w:hyperlink w:anchor="_Toc146113854" w:history="1">
        <w:r w:rsidRPr="00962779">
          <w:rPr>
            <w:rStyle w:val="Hyperlink"/>
            <w:noProof/>
          </w:rPr>
          <w:t>Key Points regarding public bodies’ performance in 2022</w:t>
        </w:r>
        <w:r>
          <w:rPr>
            <w:noProof/>
            <w:webHidden/>
          </w:rPr>
          <w:tab/>
        </w:r>
        <w:r>
          <w:rPr>
            <w:noProof/>
            <w:webHidden/>
          </w:rPr>
          <w:fldChar w:fldCharType="begin"/>
        </w:r>
        <w:r>
          <w:rPr>
            <w:noProof/>
            <w:webHidden/>
          </w:rPr>
          <w:instrText xml:space="preserve"> PAGEREF _Toc146113854 \h </w:instrText>
        </w:r>
        <w:r>
          <w:rPr>
            <w:noProof/>
            <w:webHidden/>
          </w:rPr>
        </w:r>
        <w:r>
          <w:rPr>
            <w:noProof/>
            <w:webHidden/>
          </w:rPr>
          <w:fldChar w:fldCharType="separate"/>
        </w:r>
        <w:r w:rsidR="00B00549">
          <w:rPr>
            <w:noProof/>
            <w:webHidden/>
          </w:rPr>
          <w:t>5</w:t>
        </w:r>
        <w:r>
          <w:rPr>
            <w:noProof/>
            <w:webHidden/>
          </w:rPr>
          <w:fldChar w:fldCharType="end"/>
        </w:r>
      </w:hyperlink>
    </w:p>
    <w:p w14:paraId="22A6BF6E" w14:textId="3E414293" w:rsidR="00CD5456" w:rsidRDefault="00CD5456">
      <w:pPr>
        <w:pStyle w:val="TOC2"/>
        <w:rPr>
          <w:rFonts w:asciiTheme="minorHAnsi" w:eastAsiaTheme="minorEastAsia" w:hAnsiTheme="minorHAnsi" w:cstheme="minorBidi"/>
          <w:noProof/>
          <w:sz w:val="22"/>
          <w:szCs w:val="22"/>
          <w:lang w:eastAsia="en-IE"/>
        </w:rPr>
      </w:pPr>
      <w:hyperlink w:anchor="_Toc146113855" w:history="1">
        <w:r w:rsidRPr="00962779">
          <w:rPr>
            <w:rStyle w:val="Hyperlink"/>
            <w:noProof/>
            <w:lang w:eastAsia="en-IE"/>
          </w:rPr>
          <w:t>Public bodies that didn’t make the  minimum 3% target</w:t>
        </w:r>
        <w:r>
          <w:rPr>
            <w:noProof/>
            <w:webHidden/>
          </w:rPr>
          <w:tab/>
        </w:r>
        <w:r>
          <w:rPr>
            <w:noProof/>
            <w:webHidden/>
          </w:rPr>
          <w:fldChar w:fldCharType="begin"/>
        </w:r>
        <w:r>
          <w:rPr>
            <w:noProof/>
            <w:webHidden/>
          </w:rPr>
          <w:instrText xml:space="preserve"> PAGEREF _Toc146113855 \h </w:instrText>
        </w:r>
        <w:r>
          <w:rPr>
            <w:noProof/>
            <w:webHidden/>
          </w:rPr>
        </w:r>
        <w:r>
          <w:rPr>
            <w:noProof/>
            <w:webHidden/>
          </w:rPr>
          <w:fldChar w:fldCharType="separate"/>
        </w:r>
        <w:r w:rsidR="00B00549">
          <w:rPr>
            <w:noProof/>
            <w:webHidden/>
          </w:rPr>
          <w:t>8</w:t>
        </w:r>
        <w:r>
          <w:rPr>
            <w:noProof/>
            <w:webHidden/>
          </w:rPr>
          <w:fldChar w:fldCharType="end"/>
        </w:r>
      </w:hyperlink>
    </w:p>
    <w:p w14:paraId="720AAB03" w14:textId="700D977B" w:rsidR="00CD5456" w:rsidRDefault="00CD5456">
      <w:pPr>
        <w:pStyle w:val="TOC2"/>
        <w:rPr>
          <w:rFonts w:asciiTheme="minorHAnsi" w:eastAsiaTheme="minorEastAsia" w:hAnsiTheme="minorHAnsi" w:cstheme="minorBidi"/>
          <w:noProof/>
          <w:sz w:val="22"/>
          <w:szCs w:val="22"/>
          <w:lang w:eastAsia="en-IE"/>
        </w:rPr>
      </w:pPr>
      <w:hyperlink w:anchor="_Toc146113856" w:history="1">
        <w:r w:rsidRPr="00962779">
          <w:rPr>
            <w:rStyle w:val="Hyperlink"/>
            <w:noProof/>
            <w:lang w:eastAsia="en-IE"/>
          </w:rPr>
          <w:t>Maintaining the momentum</w:t>
        </w:r>
        <w:r>
          <w:rPr>
            <w:noProof/>
            <w:webHidden/>
          </w:rPr>
          <w:tab/>
        </w:r>
        <w:r>
          <w:rPr>
            <w:noProof/>
            <w:webHidden/>
          </w:rPr>
          <w:fldChar w:fldCharType="begin"/>
        </w:r>
        <w:r>
          <w:rPr>
            <w:noProof/>
            <w:webHidden/>
          </w:rPr>
          <w:instrText xml:space="preserve"> PAGEREF _Toc146113856 \h </w:instrText>
        </w:r>
        <w:r>
          <w:rPr>
            <w:noProof/>
            <w:webHidden/>
          </w:rPr>
        </w:r>
        <w:r>
          <w:rPr>
            <w:noProof/>
            <w:webHidden/>
          </w:rPr>
          <w:fldChar w:fldCharType="separate"/>
        </w:r>
        <w:r w:rsidR="00B00549">
          <w:rPr>
            <w:noProof/>
            <w:webHidden/>
          </w:rPr>
          <w:t>10</w:t>
        </w:r>
        <w:r>
          <w:rPr>
            <w:noProof/>
            <w:webHidden/>
          </w:rPr>
          <w:fldChar w:fldCharType="end"/>
        </w:r>
      </w:hyperlink>
    </w:p>
    <w:p w14:paraId="1E4F79F1" w14:textId="477130B3" w:rsidR="00CD5456" w:rsidRDefault="00CD5456">
      <w:pPr>
        <w:pStyle w:val="TOC1"/>
        <w:rPr>
          <w:rFonts w:asciiTheme="minorHAnsi" w:eastAsiaTheme="minorEastAsia" w:hAnsiTheme="minorHAnsi" w:cstheme="minorBidi"/>
          <w:b w:val="0"/>
          <w:noProof/>
          <w:sz w:val="22"/>
          <w:szCs w:val="22"/>
          <w:lang w:eastAsia="en-IE"/>
        </w:rPr>
      </w:pPr>
      <w:hyperlink w:anchor="_Toc146113857" w:history="1">
        <w:r w:rsidRPr="00962779">
          <w:rPr>
            <w:rStyle w:val="Hyperlink"/>
            <w:noProof/>
          </w:rPr>
          <w:t>1 Introduction</w:t>
        </w:r>
        <w:r>
          <w:rPr>
            <w:noProof/>
            <w:webHidden/>
          </w:rPr>
          <w:tab/>
        </w:r>
        <w:r>
          <w:rPr>
            <w:noProof/>
            <w:webHidden/>
          </w:rPr>
          <w:fldChar w:fldCharType="begin"/>
        </w:r>
        <w:r>
          <w:rPr>
            <w:noProof/>
            <w:webHidden/>
          </w:rPr>
          <w:instrText xml:space="preserve"> PAGEREF _Toc146113857 \h </w:instrText>
        </w:r>
        <w:r>
          <w:rPr>
            <w:noProof/>
            <w:webHidden/>
          </w:rPr>
        </w:r>
        <w:r>
          <w:rPr>
            <w:noProof/>
            <w:webHidden/>
          </w:rPr>
          <w:fldChar w:fldCharType="separate"/>
        </w:r>
        <w:r w:rsidR="00B00549">
          <w:rPr>
            <w:noProof/>
            <w:webHidden/>
          </w:rPr>
          <w:t>11</w:t>
        </w:r>
        <w:r>
          <w:rPr>
            <w:noProof/>
            <w:webHidden/>
          </w:rPr>
          <w:fldChar w:fldCharType="end"/>
        </w:r>
      </w:hyperlink>
    </w:p>
    <w:p w14:paraId="6A05E319" w14:textId="52CD7512" w:rsidR="00CD5456" w:rsidRDefault="00CD5456">
      <w:pPr>
        <w:pStyle w:val="TOC2"/>
        <w:rPr>
          <w:rFonts w:asciiTheme="minorHAnsi" w:eastAsiaTheme="minorEastAsia" w:hAnsiTheme="minorHAnsi" w:cstheme="minorBidi"/>
          <w:noProof/>
          <w:sz w:val="22"/>
          <w:szCs w:val="22"/>
          <w:lang w:eastAsia="en-IE"/>
        </w:rPr>
      </w:pPr>
      <w:hyperlink w:anchor="_Toc146113858" w:history="1">
        <w:r w:rsidRPr="00962779">
          <w:rPr>
            <w:rStyle w:val="Hyperlink"/>
            <w:noProof/>
          </w:rPr>
          <w:t>1.1 Legislative background</w:t>
        </w:r>
        <w:r>
          <w:rPr>
            <w:noProof/>
            <w:webHidden/>
          </w:rPr>
          <w:tab/>
        </w:r>
        <w:r>
          <w:rPr>
            <w:noProof/>
            <w:webHidden/>
          </w:rPr>
          <w:fldChar w:fldCharType="begin"/>
        </w:r>
        <w:r>
          <w:rPr>
            <w:noProof/>
            <w:webHidden/>
          </w:rPr>
          <w:instrText xml:space="preserve"> PAGEREF _Toc146113858 \h </w:instrText>
        </w:r>
        <w:r>
          <w:rPr>
            <w:noProof/>
            <w:webHidden/>
          </w:rPr>
        </w:r>
        <w:r>
          <w:rPr>
            <w:noProof/>
            <w:webHidden/>
          </w:rPr>
          <w:fldChar w:fldCharType="separate"/>
        </w:r>
        <w:r w:rsidR="00B00549">
          <w:rPr>
            <w:noProof/>
            <w:webHidden/>
          </w:rPr>
          <w:t>11</w:t>
        </w:r>
        <w:r>
          <w:rPr>
            <w:noProof/>
            <w:webHidden/>
          </w:rPr>
          <w:fldChar w:fldCharType="end"/>
        </w:r>
      </w:hyperlink>
    </w:p>
    <w:p w14:paraId="7EE61A08" w14:textId="3F79CE89" w:rsidR="00CD5456" w:rsidRDefault="00CD5456">
      <w:pPr>
        <w:pStyle w:val="TOC2"/>
        <w:rPr>
          <w:rFonts w:asciiTheme="minorHAnsi" w:eastAsiaTheme="minorEastAsia" w:hAnsiTheme="minorHAnsi" w:cstheme="minorBidi"/>
          <w:noProof/>
          <w:sz w:val="22"/>
          <w:szCs w:val="22"/>
          <w:lang w:eastAsia="en-IE"/>
        </w:rPr>
      </w:pPr>
      <w:hyperlink w:anchor="_Toc146113859" w:history="1">
        <w:r w:rsidRPr="00962779">
          <w:rPr>
            <w:rStyle w:val="Hyperlink"/>
            <w:noProof/>
          </w:rPr>
          <w:t>1.2 Counting employees with disabilities</w:t>
        </w:r>
        <w:r>
          <w:rPr>
            <w:noProof/>
            <w:webHidden/>
          </w:rPr>
          <w:tab/>
        </w:r>
        <w:r>
          <w:rPr>
            <w:noProof/>
            <w:webHidden/>
          </w:rPr>
          <w:fldChar w:fldCharType="begin"/>
        </w:r>
        <w:r>
          <w:rPr>
            <w:noProof/>
            <w:webHidden/>
          </w:rPr>
          <w:instrText xml:space="preserve"> PAGEREF _Toc146113859 \h </w:instrText>
        </w:r>
        <w:r>
          <w:rPr>
            <w:noProof/>
            <w:webHidden/>
          </w:rPr>
        </w:r>
        <w:r>
          <w:rPr>
            <w:noProof/>
            <w:webHidden/>
          </w:rPr>
          <w:fldChar w:fldCharType="separate"/>
        </w:r>
        <w:r w:rsidR="00B00549">
          <w:rPr>
            <w:noProof/>
            <w:webHidden/>
          </w:rPr>
          <w:t>11</w:t>
        </w:r>
        <w:r>
          <w:rPr>
            <w:noProof/>
            <w:webHidden/>
          </w:rPr>
          <w:fldChar w:fldCharType="end"/>
        </w:r>
      </w:hyperlink>
    </w:p>
    <w:p w14:paraId="5C81B0F2" w14:textId="600FD118" w:rsidR="00CD5456" w:rsidRDefault="00CD5456">
      <w:pPr>
        <w:pStyle w:val="TOC2"/>
        <w:rPr>
          <w:rFonts w:asciiTheme="minorHAnsi" w:eastAsiaTheme="minorEastAsia" w:hAnsiTheme="minorHAnsi" w:cstheme="minorBidi"/>
          <w:noProof/>
          <w:sz w:val="22"/>
          <w:szCs w:val="22"/>
          <w:lang w:eastAsia="en-IE"/>
        </w:rPr>
      </w:pPr>
      <w:hyperlink w:anchor="_Toc146113860" w:history="1">
        <w:r w:rsidRPr="00962779">
          <w:rPr>
            <w:rStyle w:val="Hyperlink"/>
            <w:noProof/>
          </w:rPr>
          <w:t>1.3 Review of Part 5 – Implementing the next phase of recommendations</w:t>
        </w:r>
        <w:r>
          <w:rPr>
            <w:noProof/>
            <w:webHidden/>
          </w:rPr>
          <w:tab/>
        </w:r>
        <w:r>
          <w:rPr>
            <w:noProof/>
            <w:webHidden/>
          </w:rPr>
          <w:fldChar w:fldCharType="begin"/>
        </w:r>
        <w:r>
          <w:rPr>
            <w:noProof/>
            <w:webHidden/>
          </w:rPr>
          <w:instrText xml:space="preserve"> PAGEREF _Toc146113860 \h </w:instrText>
        </w:r>
        <w:r>
          <w:rPr>
            <w:noProof/>
            <w:webHidden/>
          </w:rPr>
        </w:r>
        <w:r>
          <w:rPr>
            <w:noProof/>
            <w:webHidden/>
          </w:rPr>
          <w:fldChar w:fldCharType="separate"/>
        </w:r>
        <w:r w:rsidR="00B00549">
          <w:rPr>
            <w:noProof/>
            <w:webHidden/>
          </w:rPr>
          <w:t>14</w:t>
        </w:r>
        <w:r>
          <w:rPr>
            <w:noProof/>
            <w:webHidden/>
          </w:rPr>
          <w:fldChar w:fldCharType="end"/>
        </w:r>
      </w:hyperlink>
    </w:p>
    <w:p w14:paraId="766E207B" w14:textId="6A581BC4" w:rsidR="00CD5456" w:rsidRDefault="00CD5456">
      <w:pPr>
        <w:pStyle w:val="TOC1"/>
        <w:rPr>
          <w:rFonts w:asciiTheme="minorHAnsi" w:eastAsiaTheme="minorEastAsia" w:hAnsiTheme="minorHAnsi" w:cstheme="minorBidi"/>
          <w:b w:val="0"/>
          <w:noProof/>
          <w:sz w:val="22"/>
          <w:szCs w:val="22"/>
          <w:lang w:eastAsia="en-IE"/>
        </w:rPr>
      </w:pPr>
      <w:hyperlink w:anchor="_Toc146113861" w:history="1">
        <w:r w:rsidRPr="00962779">
          <w:rPr>
            <w:rStyle w:val="Hyperlink"/>
            <w:noProof/>
          </w:rPr>
          <w:t>2. Key Findings for 2022</w:t>
        </w:r>
        <w:r>
          <w:rPr>
            <w:noProof/>
            <w:webHidden/>
          </w:rPr>
          <w:tab/>
        </w:r>
        <w:r>
          <w:rPr>
            <w:noProof/>
            <w:webHidden/>
          </w:rPr>
          <w:fldChar w:fldCharType="begin"/>
        </w:r>
        <w:r>
          <w:rPr>
            <w:noProof/>
            <w:webHidden/>
          </w:rPr>
          <w:instrText xml:space="preserve"> PAGEREF _Toc146113861 \h </w:instrText>
        </w:r>
        <w:r>
          <w:rPr>
            <w:noProof/>
            <w:webHidden/>
          </w:rPr>
        </w:r>
        <w:r>
          <w:rPr>
            <w:noProof/>
            <w:webHidden/>
          </w:rPr>
          <w:fldChar w:fldCharType="separate"/>
        </w:r>
        <w:r w:rsidR="00B00549">
          <w:rPr>
            <w:noProof/>
            <w:webHidden/>
          </w:rPr>
          <w:t>16</w:t>
        </w:r>
        <w:r>
          <w:rPr>
            <w:noProof/>
            <w:webHidden/>
          </w:rPr>
          <w:fldChar w:fldCharType="end"/>
        </w:r>
      </w:hyperlink>
    </w:p>
    <w:p w14:paraId="79E11673" w14:textId="6FA96C23" w:rsidR="00CD5456" w:rsidRDefault="00CD5456">
      <w:pPr>
        <w:pStyle w:val="TOC2"/>
        <w:rPr>
          <w:rFonts w:asciiTheme="minorHAnsi" w:eastAsiaTheme="minorEastAsia" w:hAnsiTheme="minorHAnsi" w:cstheme="minorBidi"/>
          <w:noProof/>
          <w:sz w:val="22"/>
          <w:szCs w:val="22"/>
          <w:lang w:eastAsia="en-IE"/>
        </w:rPr>
      </w:pPr>
      <w:hyperlink w:anchor="_Toc146113862" w:history="1">
        <w:r w:rsidRPr="00962779">
          <w:rPr>
            <w:rStyle w:val="Hyperlink"/>
            <w:noProof/>
            <w:lang w:eastAsia="en-IE"/>
          </w:rPr>
          <w:t>2.1 Key findings for 2022</w:t>
        </w:r>
        <w:r>
          <w:rPr>
            <w:noProof/>
            <w:webHidden/>
          </w:rPr>
          <w:tab/>
        </w:r>
        <w:r>
          <w:rPr>
            <w:noProof/>
            <w:webHidden/>
          </w:rPr>
          <w:fldChar w:fldCharType="begin"/>
        </w:r>
        <w:r>
          <w:rPr>
            <w:noProof/>
            <w:webHidden/>
          </w:rPr>
          <w:instrText xml:space="preserve"> PAGEREF _Toc146113862 \h </w:instrText>
        </w:r>
        <w:r>
          <w:rPr>
            <w:noProof/>
            <w:webHidden/>
          </w:rPr>
        </w:r>
        <w:r>
          <w:rPr>
            <w:noProof/>
            <w:webHidden/>
          </w:rPr>
          <w:fldChar w:fldCharType="separate"/>
        </w:r>
        <w:r w:rsidR="00B00549">
          <w:rPr>
            <w:noProof/>
            <w:webHidden/>
          </w:rPr>
          <w:t>16</w:t>
        </w:r>
        <w:r>
          <w:rPr>
            <w:noProof/>
            <w:webHidden/>
          </w:rPr>
          <w:fldChar w:fldCharType="end"/>
        </w:r>
      </w:hyperlink>
    </w:p>
    <w:p w14:paraId="4B273F13" w14:textId="79704A6E" w:rsidR="00CD5456" w:rsidRDefault="00CD5456">
      <w:pPr>
        <w:pStyle w:val="TOC2"/>
        <w:rPr>
          <w:rFonts w:asciiTheme="minorHAnsi" w:eastAsiaTheme="minorEastAsia" w:hAnsiTheme="minorHAnsi" w:cstheme="minorBidi"/>
          <w:noProof/>
          <w:sz w:val="22"/>
          <w:szCs w:val="22"/>
          <w:lang w:eastAsia="en-IE"/>
        </w:rPr>
      </w:pPr>
      <w:hyperlink w:anchor="_Toc146113863" w:history="1">
        <w:r w:rsidRPr="00962779">
          <w:rPr>
            <w:rStyle w:val="Hyperlink"/>
            <w:noProof/>
          </w:rPr>
          <w:t>2.2 Analysis by type of public sector body</w:t>
        </w:r>
        <w:r>
          <w:rPr>
            <w:noProof/>
            <w:webHidden/>
          </w:rPr>
          <w:tab/>
        </w:r>
        <w:r>
          <w:rPr>
            <w:noProof/>
            <w:webHidden/>
          </w:rPr>
          <w:fldChar w:fldCharType="begin"/>
        </w:r>
        <w:r>
          <w:rPr>
            <w:noProof/>
            <w:webHidden/>
          </w:rPr>
          <w:instrText xml:space="preserve"> PAGEREF _Toc146113863 \h </w:instrText>
        </w:r>
        <w:r>
          <w:rPr>
            <w:noProof/>
            <w:webHidden/>
          </w:rPr>
        </w:r>
        <w:r>
          <w:rPr>
            <w:noProof/>
            <w:webHidden/>
          </w:rPr>
          <w:fldChar w:fldCharType="separate"/>
        </w:r>
        <w:r w:rsidR="00B00549">
          <w:rPr>
            <w:noProof/>
            <w:webHidden/>
          </w:rPr>
          <w:t>17</w:t>
        </w:r>
        <w:r>
          <w:rPr>
            <w:noProof/>
            <w:webHidden/>
          </w:rPr>
          <w:fldChar w:fldCharType="end"/>
        </w:r>
      </w:hyperlink>
    </w:p>
    <w:p w14:paraId="3BAB9B23" w14:textId="49ACF236" w:rsidR="00CD5456" w:rsidRDefault="00CD5456">
      <w:pPr>
        <w:pStyle w:val="TOC2"/>
        <w:rPr>
          <w:rFonts w:asciiTheme="minorHAnsi" w:eastAsiaTheme="minorEastAsia" w:hAnsiTheme="minorHAnsi" w:cstheme="minorBidi"/>
          <w:noProof/>
          <w:sz w:val="22"/>
          <w:szCs w:val="22"/>
          <w:lang w:eastAsia="en-IE"/>
        </w:rPr>
      </w:pPr>
      <w:hyperlink w:anchor="_Toc146113864" w:history="1">
        <w:r w:rsidRPr="00962779">
          <w:rPr>
            <w:rStyle w:val="Hyperlink"/>
            <w:noProof/>
          </w:rPr>
          <w:t>2.3 Analysis by size of public sector body</w:t>
        </w:r>
        <w:r>
          <w:rPr>
            <w:noProof/>
            <w:webHidden/>
          </w:rPr>
          <w:tab/>
        </w:r>
        <w:r>
          <w:rPr>
            <w:noProof/>
            <w:webHidden/>
          </w:rPr>
          <w:fldChar w:fldCharType="begin"/>
        </w:r>
        <w:r>
          <w:rPr>
            <w:noProof/>
            <w:webHidden/>
          </w:rPr>
          <w:instrText xml:space="preserve"> PAGEREF _Toc146113864 \h </w:instrText>
        </w:r>
        <w:r>
          <w:rPr>
            <w:noProof/>
            <w:webHidden/>
          </w:rPr>
        </w:r>
        <w:r>
          <w:rPr>
            <w:noProof/>
            <w:webHidden/>
          </w:rPr>
          <w:fldChar w:fldCharType="separate"/>
        </w:r>
        <w:r w:rsidR="00B00549">
          <w:rPr>
            <w:noProof/>
            <w:webHidden/>
          </w:rPr>
          <w:t>20</w:t>
        </w:r>
        <w:r>
          <w:rPr>
            <w:noProof/>
            <w:webHidden/>
          </w:rPr>
          <w:fldChar w:fldCharType="end"/>
        </w:r>
      </w:hyperlink>
    </w:p>
    <w:p w14:paraId="416B6262" w14:textId="227E0E7B" w:rsidR="00CD5456" w:rsidRDefault="00CD5456">
      <w:pPr>
        <w:pStyle w:val="TOC2"/>
        <w:rPr>
          <w:rFonts w:asciiTheme="minorHAnsi" w:eastAsiaTheme="minorEastAsia" w:hAnsiTheme="minorHAnsi" w:cstheme="minorBidi"/>
          <w:noProof/>
          <w:sz w:val="22"/>
          <w:szCs w:val="22"/>
          <w:lang w:eastAsia="en-IE"/>
        </w:rPr>
      </w:pPr>
      <w:hyperlink w:anchor="_Toc146113865" w:history="1">
        <w:r w:rsidRPr="00962779">
          <w:rPr>
            <w:rStyle w:val="Hyperlink"/>
            <w:noProof/>
          </w:rPr>
          <w:t>2.4 Models of Good Practice</w:t>
        </w:r>
        <w:r>
          <w:rPr>
            <w:noProof/>
            <w:webHidden/>
          </w:rPr>
          <w:tab/>
        </w:r>
        <w:r>
          <w:rPr>
            <w:noProof/>
            <w:webHidden/>
          </w:rPr>
          <w:fldChar w:fldCharType="begin"/>
        </w:r>
        <w:r>
          <w:rPr>
            <w:noProof/>
            <w:webHidden/>
          </w:rPr>
          <w:instrText xml:space="preserve"> PAGEREF _Toc146113865 \h </w:instrText>
        </w:r>
        <w:r>
          <w:rPr>
            <w:noProof/>
            <w:webHidden/>
          </w:rPr>
        </w:r>
        <w:r>
          <w:rPr>
            <w:noProof/>
            <w:webHidden/>
          </w:rPr>
          <w:fldChar w:fldCharType="separate"/>
        </w:r>
        <w:r w:rsidR="00B00549">
          <w:rPr>
            <w:noProof/>
            <w:webHidden/>
          </w:rPr>
          <w:t>22</w:t>
        </w:r>
        <w:r>
          <w:rPr>
            <w:noProof/>
            <w:webHidden/>
          </w:rPr>
          <w:fldChar w:fldCharType="end"/>
        </w:r>
      </w:hyperlink>
    </w:p>
    <w:p w14:paraId="4FAA2D2E" w14:textId="2DFF1493" w:rsidR="00CD5456" w:rsidRDefault="00CD5456">
      <w:pPr>
        <w:pStyle w:val="TOC2"/>
        <w:rPr>
          <w:rFonts w:asciiTheme="minorHAnsi" w:eastAsiaTheme="minorEastAsia" w:hAnsiTheme="minorHAnsi" w:cstheme="minorBidi"/>
          <w:noProof/>
          <w:sz w:val="22"/>
          <w:szCs w:val="22"/>
          <w:lang w:eastAsia="en-IE"/>
        </w:rPr>
      </w:pPr>
      <w:hyperlink w:anchor="_Toc146113866" w:history="1">
        <w:r w:rsidRPr="00962779">
          <w:rPr>
            <w:rStyle w:val="Hyperlink"/>
            <w:noProof/>
            <w:lang w:eastAsia="en-IE"/>
          </w:rPr>
          <w:t>2.5 Maintaining the momentum</w:t>
        </w:r>
        <w:r>
          <w:rPr>
            <w:noProof/>
            <w:webHidden/>
          </w:rPr>
          <w:tab/>
        </w:r>
        <w:r>
          <w:rPr>
            <w:noProof/>
            <w:webHidden/>
          </w:rPr>
          <w:fldChar w:fldCharType="begin"/>
        </w:r>
        <w:r>
          <w:rPr>
            <w:noProof/>
            <w:webHidden/>
          </w:rPr>
          <w:instrText xml:space="preserve"> PAGEREF _Toc146113866 \h </w:instrText>
        </w:r>
        <w:r>
          <w:rPr>
            <w:noProof/>
            <w:webHidden/>
          </w:rPr>
        </w:r>
        <w:r>
          <w:rPr>
            <w:noProof/>
            <w:webHidden/>
          </w:rPr>
          <w:fldChar w:fldCharType="separate"/>
        </w:r>
        <w:r w:rsidR="00B00549">
          <w:rPr>
            <w:noProof/>
            <w:webHidden/>
          </w:rPr>
          <w:t>23</w:t>
        </w:r>
        <w:r>
          <w:rPr>
            <w:noProof/>
            <w:webHidden/>
          </w:rPr>
          <w:fldChar w:fldCharType="end"/>
        </w:r>
      </w:hyperlink>
    </w:p>
    <w:p w14:paraId="4E9426E9" w14:textId="7BBA5527" w:rsidR="00CD5456" w:rsidRDefault="00CD5456">
      <w:pPr>
        <w:pStyle w:val="TOC1"/>
        <w:rPr>
          <w:rFonts w:asciiTheme="minorHAnsi" w:eastAsiaTheme="minorEastAsia" w:hAnsiTheme="minorHAnsi" w:cstheme="minorBidi"/>
          <w:b w:val="0"/>
          <w:noProof/>
          <w:sz w:val="22"/>
          <w:szCs w:val="22"/>
          <w:lang w:eastAsia="en-IE"/>
        </w:rPr>
      </w:pPr>
      <w:hyperlink w:anchor="_Toc146113867" w:history="1">
        <w:r w:rsidRPr="00962779">
          <w:rPr>
            <w:rStyle w:val="Hyperlink"/>
            <w:rFonts w:cs="Arial"/>
            <w:bCs/>
            <w:noProof/>
            <w:kern w:val="32"/>
          </w:rPr>
          <w:t xml:space="preserve">3. </w:t>
        </w:r>
        <w:r w:rsidRPr="00962779">
          <w:rPr>
            <w:rStyle w:val="Hyperlink"/>
            <w:noProof/>
          </w:rPr>
          <w:t>Monitoring and Compliance</w:t>
        </w:r>
        <w:r>
          <w:rPr>
            <w:noProof/>
            <w:webHidden/>
          </w:rPr>
          <w:tab/>
        </w:r>
        <w:r>
          <w:rPr>
            <w:noProof/>
            <w:webHidden/>
          </w:rPr>
          <w:fldChar w:fldCharType="begin"/>
        </w:r>
        <w:r>
          <w:rPr>
            <w:noProof/>
            <w:webHidden/>
          </w:rPr>
          <w:instrText xml:space="preserve"> PAGEREF _Toc146113867 \h </w:instrText>
        </w:r>
        <w:r>
          <w:rPr>
            <w:noProof/>
            <w:webHidden/>
          </w:rPr>
        </w:r>
        <w:r>
          <w:rPr>
            <w:noProof/>
            <w:webHidden/>
          </w:rPr>
          <w:fldChar w:fldCharType="separate"/>
        </w:r>
        <w:r w:rsidR="00B00549">
          <w:rPr>
            <w:noProof/>
            <w:webHidden/>
          </w:rPr>
          <w:t>25</w:t>
        </w:r>
        <w:r>
          <w:rPr>
            <w:noProof/>
            <w:webHidden/>
          </w:rPr>
          <w:fldChar w:fldCharType="end"/>
        </w:r>
      </w:hyperlink>
    </w:p>
    <w:p w14:paraId="24A59362" w14:textId="5F1C9728" w:rsidR="00CD5456" w:rsidRDefault="00CD5456">
      <w:pPr>
        <w:pStyle w:val="TOC2"/>
        <w:rPr>
          <w:rFonts w:asciiTheme="minorHAnsi" w:eastAsiaTheme="minorEastAsia" w:hAnsiTheme="minorHAnsi" w:cstheme="minorBidi"/>
          <w:noProof/>
          <w:sz w:val="22"/>
          <w:szCs w:val="22"/>
          <w:lang w:eastAsia="en-IE"/>
        </w:rPr>
      </w:pPr>
      <w:hyperlink w:anchor="_Toc146113868" w:history="1">
        <w:r w:rsidRPr="00962779">
          <w:rPr>
            <w:rStyle w:val="Hyperlink"/>
            <w:noProof/>
          </w:rPr>
          <w:t>3.1 Compliance under Part 5 of the Disability Act</w:t>
        </w:r>
        <w:r>
          <w:rPr>
            <w:noProof/>
            <w:webHidden/>
          </w:rPr>
          <w:tab/>
        </w:r>
        <w:r>
          <w:rPr>
            <w:noProof/>
            <w:webHidden/>
          </w:rPr>
          <w:fldChar w:fldCharType="begin"/>
        </w:r>
        <w:r>
          <w:rPr>
            <w:noProof/>
            <w:webHidden/>
          </w:rPr>
          <w:instrText xml:space="preserve"> PAGEREF _Toc146113868 \h </w:instrText>
        </w:r>
        <w:r>
          <w:rPr>
            <w:noProof/>
            <w:webHidden/>
          </w:rPr>
        </w:r>
        <w:r>
          <w:rPr>
            <w:noProof/>
            <w:webHidden/>
          </w:rPr>
          <w:fldChar w:fldCharType="separate"/>
        </w:r>
        <w:r w:rsidR="00B00549">
          <w:rPr>
            <w:noProof/>
            <w:webHidden/>
          </w:rPr>
          <w:t>25</w:t>
        </w:r>
        <w:r>
          <w:rPr>
            <w:noProof/>
            <w:webHidden/>
          </w:rPr>
          <w:fldChar w:fldCharType="end"/>
        </w:r>
      </w:hyperlink>
    </w:p>
    <w:p w14:paraId="7F13EF2A" w14:textId="2EEE3550" w:rsidR="00CD5456" w:rsidRDefault="00CD5456">
      <w:pPr>
        <w:pStyle w:val="TOC2"/>
        <w:rPr>
          <w:rFonts w:asciiTheme="minorHAnsi" w:eastAsiaTheme="minorEastAsia" w:hAnsiTheme="minorHAnsi" w:cstheme="minorBidi"/>
          <w:noProof/>
          <w:sz w:val="22"/>
          <w:szCs w:val="22"/>
          <w:lang w:eastAsia="en-IE"/>
        </w:rPr>
      </w:pPr>
      <w:hyperlink w:anchor="_Toc146113869" w:history="1">
        <w:r w:rsidRPr="00962779">
          <w:rPr>
            <w:rStyle w:val="Hyperlink"/>
            <w:noProof/>
          </w:rPr>
          <w:t>3.2 Compliance with the Act – 2020 and 2021</w:t>
        </w:r>
        <w:r>
          <w:rPr>
            <w:noProof/>
            <w:webHidden/>
          </w:rPr>
          <w:tab/>
        </w:r>
        <w:r>
          <w:rPr>
            <w:noProof/>
            <w:webHidden/>
          </w:rPr>
          <w:fldChar w:fldCharType="begin"/>
        </w:r>
        <w:r>
          <w:rPr>
            <w:noProof/>
            <w:webHidden/>
          </w:rPr>
          <w:instrText xml:space="preserve"> PAGEREF _Toc146113869 \h </w:instrText>
        </w:r>
        <w:r>
          <w:rPr>
            <w:noProof/>
            <w:webHidden/>
          </w:rPr>
        </w:r>
        <w:r>
          <w:rPr>
            <w:noProof/>
            <w:webHidden/>
          </w:rPr>
          <w:fldChar w:fldCharType="separate"/>
        </w:r>
        <w:r w:rsidR="00B00549">
          <w:rPr>
            <w:noProof/>
            <w:webHidden/>
          </w:rPr>
          <w:t>26</w:t>
        </w:r>
        <w:r>
          <w:rPr>
            <w:noProof/>
            <w:webHidden/>
          </w:rPr>
          <w:fldChar w:fldCharType="end"/>
        </w:r>
      </w:hyperlink>
    </w:p>
    <w:p w14:paraId="3ACB12EC" w14:textId="64AEA440" w:rsidR="00CD5456" w:rsidRDefault="00CD5456">
      <w:pPr>
        <w:pStyle w:val="TOC2"/>
        <w:rPr>
          <w:rFonts w:asciiTheme="minorHAnsi" w:eastAsiaTheme="minorEastAsia" w:hAnsiTheme="minorHAnsi" w:cstheme="minorBidi"/>
          <w:noProof/>
          <w:sz w:val="22"/>
          <w:szCs w:val="22"/>
          <w:lang w:eastAsia="en-IE"/>
        </w:rPr>
      </w:pPr>
      <w:hyperlink w:anchor="_Toc146113870" w:history="1">
        <w:r w:rsidRPr="00962779">
          <w:rPr>
            <w:rStyle w:val="Hyperlink"/>
            <w:noProof/>
          </w:rPr>
          <w:t>3.3 Compliance with the Act 2021 and 2022</w:t>
        </w:r>
        <w:r>
          <w:rPr>
            <w:noProof/>
            <w:webHidden/>
          </w:rPr>
          <w:tab/>
        </w:r>
        <w:r>
          <w:rPr>
            <w:noProof/>
            <w:webHidden/>
          </w:rPr>
          <w:fldChar w:fldCharType="begin"/>
        </w:r>
        <w:r>
          <w:rPr>
            <w:noProof/>
            <w:webHidden/>
          </w:rPr>
          <w:instrText xml:space="preserve"> PAGEREF _Toc146113870 \h </w:instrText>
        </w:r>
        <w:r>
          <w:rPr>
            <w:noProof/>
            <w:webHidden/>
          </w:rPr>
        </w:r>
        <w:r>
          <w:rPr>
            <w:noProof/>
            <w:webHidden/>
          </w:rPr>
          <w:fldChar w:fldCharType="separate"/>
        </w:r>
        <w:r w:rsidR="00B00549">
          <w:rPr>
            <w:noProof/>
            <w:webHidden/>
          </w:rPr>
          <w:t>28</w:t>
        </w:r>
        <w:r>
          <w:rPr>
            <w:noProof/>
            <w:webHidden/>
          </w:rPr>
          <w:fldChar w:fldCharType="end"/>
        </w:r>
      </w:hyperlink>
    </w:p>
    <w:p w14:paraId="1BA1BA88" w14:textId="235A850D" w:rsidR="00CD5456" w:rsidRDefault="00CD5456">
      <w:pPr>
        <w:pStyle w:val="TOC2"/>
        <w:rPr>
          <w:rFonts w:asciiTheme="minorHAnsi" w:eastAsiaTheme="minorEastAsia" w:hAnsiTheme="minorHAnsi" w:cstheme="minorBidi"/>
          <w:noProof/>
          <w:sz w:val="22"/>
          <w:szCs w:val="22"/>
          <w:lang w:eastAsia="en-IE"/>
        </w:rPr>
      </w:pPr>
      <w:hyperlink w:anchor="_Toc146113871" w:history="1">
        <w:r w:rsidRPr="00962779">
          <w:rPr>
            <w:rStyle w:val="Hyperlink"/>
            <w:noProof/>
          </w:rPr>
          <w:t>3.4 Monitoring Committees</w:t>
        </w:r>
        <w:r>
          <w:rPr>
            <w:noProof/>
            <w:webHidden/>
          </w:rPr>
          <w:tab/>
        </w:r>
        <w:r>
          <w:rPr>
            <w:noProof/>
            <w:webHidden/>
          </w:rPr>
          <w:fldChar w:fldCharType="begin"/>
        </w:r>
        <w:r>
          <w:rPr>
            <w:noProof/>
            <w:webHidden/>
          </w:rPr>
          <w:instrText xml:space="preserve"> PAGEREF _Toc146113871 \h </w:instrText>
        </w:r>
        <w:r>
          <w:rPr>
            <w:noProof/>
            <w:webHidden/>
          </w:rPr>
        </w:r>
        <w:r>
          <w:rPr>
            <w:noProof/>
            <w:webHidden/>
          </w:rPr>
          <w:fldChar w:fldCharType="separate"/>
        </w:r>
        <w:r w:rsidR="00B00549">
          <w:rPr>
            <w:noProof/>
            <w:webHidden/>
          </w:rPr>
          <w:t>29</w:t>
        </w:r>
        <w:r>
          <w:rPr>
            <w:noProof/>
            <w:webHidden/>
          </w:rPr>
          <w:fldChar w:fldCharType="end"/>
        </w:r>
      </w:hyperlink>
    </w:p>
    <w:p w14:paraId="267DC23C" w14:textId="6E148846" w:rsidR="00CD5456" w:rsidRDefault="00CD5456">
      <w:pPr>
        <w:pStyle w:val="TOC2"/>
        <w:rPr>
          <w:rFonts w:asciiTheme="minorHAnsi" w:eastAsiaTheme="minorEastAsia" w:hAnsiTheme="minorHAnsi" w:cstheme="minorBidi"/>
          <w:noProof/>
          <w:sz w:val="22"/>
          <w:szCs w:val="22"/>
          <w:lang w:eastAsia="en-IE"/>
        </w:rPr>
      </w:pPr>
      <w:hyperlink w:anchor="_Toc146113872" w:history="1">
        <w:r w:rsidRPr="00962779">
          <w:rPr>
            <w:rStyle w:val="Hyperlink"/>
            <w:noProof/>
          </w:rPr>
          <w:t>3.5 Errata – changes in data</w:t>
        </w:r>
        <w:r>
          <w:rPr>
            <w:noProof/>
            <w:webHidden/>
          </w:rPr>
          <w:tab/>
        </w:r>
        <w:r>
          <w:rPr>
            <w:noProof/>
            <w:webHidden/>
          </w:rPr>
          <w:fldChar w:fldCharType="begin"/>
        </w:r>
        <w:r>
          <w:rPr>
            <w:noProof/>
            <w:webHidden/>
          </w:rPr>
          <w:instrText xml:space="preserve"> PAGEREF _Toc146113872 \h </w:instrText>
        </w:r>
        <w:r>
          <w:rPr>
            <w:noProof/>
            <w:webHidden/>
          </w:rPr>
        </w:r>
        <w:r>
          <w:rPr>
            <w:noProof/>
            <w:webHidden/>
          </w:rPr>
          <w:fldChar w:fldCharType="separate"/>
        </w:r>
        <w:r w:rsidR="00B00549">
          <w:rPr>
            <w:noProof/>
            <w:webHidden/>
          </w:rPr>
          <w:t>29</w:t>
        </w:r>
        <w:r>
          <w:rPr>
            <w:noProof/>
            <w:webHidden/>
          </w:rPr>
          <w:fldChar w:fldCharType="end"/>
        </w:r>
      </w:hyperlink>
    </w:p>
    <w:p w14:paraId="41912E92" w14:textId="7B5285BC" w:rsidR="00CD5456" w:rsidRDefault="00CD5456">
      <w:pPr>
        <w:pStyle w:val="TOC1"/>
        <w:rPr>
          <w:rFonts w:asciiTheme="minorHAnsi" w:eastAsiaTheme="minorEastAsia" w:hAnsiTheme="minorHAnsi" w:cstheme="minorBidi"/>
          <w:b w:val="0"/>
          <w:noProof/>
          <w:sz w:val="22"/>
          <w:szCs w:val="22"/>
          <w:lang w:eastAsia="en-IE"/>
        </w:rPr>
      </w:pPr>
      <w:hyperlink w:anchor="_Toc146113873" w:history="1">
        <w:r w:rsidRPr="00962779">
          <w:rPr>
            <w:rStyle w:val="Hyperlink"/>
            <w:noProof/>
          </w:rPr>
          <w:t>Appendix A – Government Departments</w:t>
        </w:r>
        <w:r>
          <w:rPr>
            <w:noProof/>
            <w:webHidden/>
          </w:rPr>
          <w:tab/>
        </w:r>
        <w:r>
          <w:rPr>
            <w:noProof/>
            <w:webHidden/>
          </w:rPr>
          <w:fldChar w:fldCharType="begin"/>
        </w:r>
        <w:r>
          <w:rPr>
            <w:noProof/>
            <w:webHidden/>
          </w:rPr>
          <w:instrText xml:space="preserve"> PAGEREF _Toc146113873 \h </w:instrText>
        </w:r>
        <w:r>
          <w:rPr>
            <w:noProof/>
            <w:webHidden/>
          </w:rPr>
        </w:r>
        <w:r>
          <w:rPr>
            <w:noProof/>
            <w:webHidden/>
          </w:rPr>
          <w:fldChar w:fldCharType="separate"/>
        </w:r>
        <w:r w:rsidR="00B00549">
          <w:rPr>
            <w:noProof/>
            <w:webHidden/>
          </w:rPr>
          <w:t>30</w:t>
        </w:r>
        <w:r>
          <w:rPr>
            <w:noProof/>
            <w:webHidden/>
          </w:rPr>
          <w:fldChar w:fldCharType="end"/>
        </w:r>
      </w:hyperlink>
    </w:p>
    <w:p w14:paraId="79B46868" w14:textId="0EA71FB3" w:rsidR="00CD5456" w:rsidRDefault="00CD5456">
      <w:pPr>
        <w:pStyle w:val="TOC1"/>
        <w:rPr>
          <w:rFonts w:asciiTheme="minorHAnsi" w:eastAsiaTheme="minorEastAsia" w:hAnsiTheme="minorHAnsi" w:cstheme="minorBidi"/>
          <w:b w:val="0"/>
          <w:noProof/>
          <w:sz w:val="22"/>
          <w:szCs w:val="22"/>
          <w:lang w:eastAsia="en-IE"/>
        </w:rPr>
      </w:pPr>
      <w:hyperlink w:anchor="_Toc146113874" w:history="1">
        <w:r w:rsidRPr="00962779">
          <w:rPr>
            <w:rStyle w:val="Hyperlink"/>
            <w:noProof/>
          </w:rPr>
          <w:t>Appendix B – Public bodies</w:t>
        </w:r>
        <w:r>
          <w:rPr>
            <w:noProof/>
            <w:webHidden/>
          </w:rPr>
          <w:tab/>
        </w:r>
        <w:r>
          <w:rPr>
            <w:noProof/>
            <w:webHidden/>
          </w:rPr>
          <w:fldChar w:fldCharType="begin"/>
        </w:r>
        <w:r>
          <w:rPr>
            <w:noProof/>
            <w:webHidden/>
          </w:rPr>
          <w:instrText xml:space="preserve"> PAGEREF _Toc146113874 \h </w:instrText>
        </w:r>
        <w:r>
          <w:rPr>
            <w:noProof/>
            <w:webHidden/>
          </w:rPr>
        </w:r>
        <w:r>
          <w:rPr>
            <w:noProof/>
            <w:webHidden/>
          </w:rPr>
          <w:fldChar w:fldCharType="separate"/>
        </w:r>
        <w:r w:rsidR="00B00549">
          <w:rPr>
            <w:noProof/>
            <w:webHidden/>
          </w:rPr>
          <w:t>32</w:t>
        </w:r>
        <w:r>
          <w:rPr>
            <w:noProof/>
            <w:webHidden/>
          </w:rPr>
          <w:fldChar w:fldCharType="end"/>
        </w:r>
      </w:hyperlink>
    </w:p>
    <w:p w14:paraId="19166807" w14:textId="5A1B4FCD" w:rsidR="00CD5456" w:rsidRDefault="00CD5456">
      <w:pPr>
        <w:pStyle w:val="TOC2"/>
        <w:rPr>
          <w:rFonts w:asciiTheme="minorHAnsi" w:eastAsiaTheme="minorEastAsia" w:hAnsiTheme="minorHAnsi" w:cstheme="minorBidi"/>
          <w:noProof/>
          <w:sz w:val="22"/>
          <w:szCs w:val="22"/>
          <w:lang w:eastAsia="en-IE"/>
        </w:rPr>
      </w:pPr>
      <w:hyperlink w:anchor="_Toc146113875" w:history="1">
        <w:r w:rsidRPr="00962779">
          <w:rPr>
            <w:rStyle w:val="Hyperlink"/>
            <w:noProof/>
          </w:rPr>
          <w:t>Department of Agriculture, Food &amp; the Marine</w:t>
        </w:r>
        <w:r>
          <w:rPr>
            <w:noProof/>
            <w:webHidden/>
          </w:rPr>
          <w:tab/>
        </w:r>
        <w:r>
          <w:rPr>
            <w:noProof/>
            <w:webHidden/>
          </w:rPr>
          <w:fldChar w:fldCharType="begin"/>
        </w:r>
        <w:r>
          <w:rPr>
            <w:noProof/>
            <w:webHidden/>
          </w:rPr>
          <w:instrText xml:space="preserve"> PAGEREF _Toc146113875 \h </w:instrText>
        </w:r>
        <w:r>
          <w:rPr>
            <w:noProof/>
            <w:webHidden/>
          </w:rPr>
        </w:r>
        <w:r>
          <w:rPr>
            <w:noProof/>
            <w:webHidden/>
          </w:rPr>
          <w:fldChar w:fldCharType="separate"/>
        </w:r>
        <w:r w:rsidR="00B00549">
          <w:rPr>
            <w:noProof/>
            <w:webHidden/>
          </w:rPr>
          <w:t>32</w:t>
        </w:r>
        <w:r>
          <w:rPr>
            <w:noProof/>
            <w:webHidden/>
          </w:rPr>
          <w:fldChar w:fldCharType="end"/>
        </w:r>
      </w:hyperlink>
    </w:p>
    <w:p w14:paraId="0BA18CF8" w14:textId="4E6D9C6E" w:rsidR="00CD5456" w:rsidRDefault="00CD5456">
      <w:pPr>
        <w:pStyle w:val="TOC2"/>
        <w:rPr>
          <w:rFonts w:asciiTheme="minorHAnsi" w:eastAsiaTheme="minorEastAsia" w:hAnsiTheme="minorHAnsi" w:cstheme="minorBidi"/>
          <w:noProof/>
          <w:sz w:val="22"/>
          <w:szCs w:val="22"/>
          <w:lang w:eastAsia="en-IE"/>
        </w:rPr>
      </w:pPr>
      <w:hyperlink w:anchor="_Toc146113876" w:history="1">
        <w:r w:rsidRPr="00962779">
          <w:rPr>
            <w:rStyle w:val="Hyperlink"/>
            <w:noProof/>
          </w:rPr>
          <w:t>Department of Children, Equality, Disability, Integration &amp; Youth</w:t>
        </w:r>
        <w:r>
          <w:rPr>
            <w:noProof/>
            <w:webHidden/>
          </w:rPr>
          <w:tab/>
        </w:r>
        <w:r>
          <w:rPr>
            <w:noProof/>
            <w:webHidden/>
          </w:rPr>
          <w:fldChar w:fldCharType="begin"/>
        </w:r>
        <w:r>
          <w:rPr>
            <w:noProof/>
            <w:webHidden/>
          </w:rPr>
          <w:instrText xml:space="preserve"> PAGEREF _Toc146113876 \h </w:instrText>
        </w:r>
        <w:r>
          <w:rPr>
            <w:noProof/>
            <w:webHidden/>
          </w:rPr>
        </w:r>
        <w:r>
          <w:rPr>
            <w:noProof/>
            <w:webHidden/>
          </w:rPr>
          <w:fldChar w:fldCharType="separate"/>
        </w:r>
        <w:r w:rsidR="00B00549">
          <w:rPr>
            <w:noProof/>
            <w:webHidden/>
          </w:rPr>
          <w:t>33</w:t>
        </w:r>
        <w:r>
          <w:rPr>
            <w:noProof/>
            <w:webHidden/>
          </w:rPr>
          <w:fldChar w:fldCharType="end"/>
        </w:r>
      </w:hyperlink>
    </w:p>
    <w:p w14:paraId="4FA9B0F4" w14:textId="31BB9D85" w:rsidR="00CD5456" w:rsidRDefault="00CD5456">
      <w:pPr>
        <w:pStyle w:val="TOC2"/>
        <w:rPr>
          <w:rFonts w:asciiTheme="minorHAnsi" w:eastAsiaTheme="minorEastAsia" w:hAnsiTheme="minorHAnsi" w:cstheme="minorBidi"/>
          <w:noProof/>
          <w:sz w:val="22"/>
          <w:szCs w:val="22"/>
          <w:lang w:eastAsia="en-IE"/>
        </w:rPr>
      </w:pPr>
      <w:hyperlink w:anchor="_Toc146113877" w:history="1">
        <w:r w:rsidRPr="00962779">
          <w:rPr>
            <w:rStyle w:val="Hyperlink"/>
            <w:noProof/>
          </w:rPr>
          <w:t>Department of Enterprise Trade &amp; Employment</w:t>
        </w:r>
        <w:r>
          <w:rPr>
            <w:noProof/>
            <w:webHidden/>
          </w:rPr>
          <w:tab/>
        </w:r>
        <w:r>
          <w:rPr>
            <w:noProof/>
            <w:webHidden/>
          </w:rPr>
          <w:fldChar w:fldCharType="begin"/>
        </w:r>
        <w:r>
          <w:rPr>
            <w:noProof/>
            <w:webHidden/>
          </w:rPr>
          <w:instrText xml:space="preserve"> PAGEREF _Toc146113877 \h </w:instrText>
        </w:r>
        <w:r>
          <w:rPr>
            <w:noProof/>
            <w:webHidden/>
          </w:rPr>
        </w:r>
        <w:r>
          <w:rPr>
            <w:noProof/>
            <w:webHidden/>
          </w:rPr>
          <w:fldChar w:fldCharType="separate"/>
        </w:r>
        <w:r w:rsidR="00B00549">
          <w:rPr>
            <w:noProof/>
            <w:webHidden/>
          </w:rPr>
          <w:t>34</w:t>
        </w:r>
        <w:r>
          <w:rPr>
            <w:noProof/>
            <w:webHidden/>
          </w:rPr>
          <w:fldChar w:fldCharType="end"/>
        </w:r>
      </w:hyperlink>
    </w:p>
    <w:p w14:paraId="3BF65695" w14:textId="036D3988" w:rsidR="00CD5456" w:rsidRDefault="00CD5456">
      <w:pPr>
        <w:pStyle w:val="TOC2"/>
        <w:rPr>
          <w:rFonts w:asciiTheme="minorHAnsi" w:eastAsiaTheme="minorEastAsia" w:hAnsiTheme="minorHAnsi" w:cstheme="minorBidi"/>
          <w:noProof/>
          <w:sz w:val="22"/>
          <w:szCs w:val="22"/>
          <w:lang w:eastAsia="en-IE"/>
        </w:rPr>
      </w:pPr>
      <w:hyperlink w:anchor="_Toc146113878" w:history="1">
        <w:r w:rsidRPr="00962779">
          <w:rPr>
            <w:rStyle w:val="Hyperlink"/>
            <w:noProof/>
          </w:rPr>
          <w:t>Department of Finance</w:t>
        </w:r>
        <w:r>
          <w:rPr>
            <w:noProof/>
            <w:webHidden/>
          </w:rPr>
          <w:tab/>
        </w:r>
        <w:r>
          <w:rPr>
            <w:noProof/>
            <w:webHidden/>
          </w:rPr>
          <w:fldChar w:fldCharType="begin"/>
        </w:r>
        <w:r>
          <w:rPr>
            <w:noProof/>
            <w:webHidden/>
          </w:rPr>
          <w:instrText xml:space="preserve"> PAGEREF _Toc146113878 \h </w:instrText>
        </w:r>
        <w:r>
          <w:rPr>
            <w:noProof/>
            <w:webHidden/>
          </w:rPr>
        </w:r>
        <w:r>
          <w:rPr>
            <w:noProof/>
            <w:webHidden/>
          </w:rPr>
          <w:fldChar w:fldCharType="separate"/>
        </w:r>
        <w:r w:rsidR="00B00549">
          <w:rPr>
            <w:noProof/>
            <w:webHidden/>
          </w:rPr>
          <w:t>35</w:t>
        </w:r>
        <w:r>
          <w:rPr>
            <w:noProof/>
            <w:webHidden/>
          </w:rPr>
          <w:fldChar w:fldCharType="end"/>
        </w:r>
      </w:hyperlink>
    </w:p>
    <w:p w14:paraId="74647914" w14:textId="3735F4FA" w:rsidR="00CD5456" w:rsidRDefault="00CD5456">
      <w:pPr>
        <w:pStyle w:val="TOC2"/>
        <w:rPr>
          <w:rFonts w:asciiTheme="minorHAnsi" w:eastAsiaTheme="minorEastAsia" w:hAnsiTheme="minorHAnsi" w:cstheme="minorBidi"/>
          <w:noProof/>
          <w:sz w:val="22"/>
          <w:szCs w:val="22"/>
          <w:lang w:eastAsia="en-IE"/>
        </w:rPr>
      </w:pPr>
      <w:hyperlink w:anchor="_Toc146113879" w:history="1">
        <w:r w:rsidRPr="00962779">
          <w:rPr>
            <w:rStyle w:val="Hyperlink"/>
            <w:noProof/>
          </w:rPr>
          <w:t>Department of Further &amp; Higher Education, Research, Innovation &amp; Science</w:t>
        </w:r>
        <w:r>
          <w:rPr>
            <w:noProof/>
            <w:webHidden/>
          </w:rPr>
          <w:tab/>
        </w:r>
        <w:r>
          <w:rPr>
            <w:noProof/>
            <w:webHidden/>
          </w:rPr>
          <w:fldChar w:fldCharType="begin"/>
        </w:r>
        <w:r>
          <w:rPr>
            <w:noProof/>
            <w:webHidden/>
          </w:rPr>
          <w:instrText xml:space="preserve"> PAGEREF _Toc146113879 \h </w:instrText>
        </w:r>
        <w:r>
          <w:rPr>
            <w:noProof/>
            <w:webHidden/>
          </w:rPr>
        </w:r>
        <w:r>
          <w:rPr>
            <w:noProof/>
            <w:webHidden/>
          </w:rPr>
          <w:fldChar w:fldCharType="separate"/>
        </w:r>
        <w:r w:rsidR="00B00549">
          <w:rPr>
            <w:noProof/>
            <w:webHidden/>
          </w:rPr>
          <w:t>36</w:t>
        </w:r>
        <w:r>
          <w:rPr>
            <w:noProof/>
            <w:webHidden/>
          </w:rPr>
          <w:fldChar w:fldCharType="end"/>
        </w:r>
      </w:hyperlink>
    </w:p>
    <w:p w14:paraId="4D85E422" w14:textId="2D49BA87" w:rsidR="00CD5456" w:rsidRDefault="00CD5456">
      <w:pPr>
        <w:pStyle w:val="TOC2"/>
        <w:rPr>
          <w:rFonts w:asciiTheme="minorHAnsi" w:eastAsiaTheme="minorEastAsia" w:hAnsiTheme="minorHAnsi" w:cstheme="minorBidi"/>
          <w:noProof/>
          <w:sz w:val="22"/>
          <w:szCs w:val="22"/>
          <w:lang w:eastAsia="en-IE"/>
        </w:rPr>
      </w:pPr>
      <w:hyperlink w:anchor="_Toc146113880" w:history="1">
        <w:r w:rsidRPr="00962779">
          <w:rPr>
            <w:rStyle w:val="Hyperlink"/>
            <w:noProof/>
            <w:lang w:eastAsia="en-IE"/>
          </w:rPr>
          <w:t>Department of Health</w:t>
        </w:r>
        <w:r>
          <w:rPr>
            <w:noProof/>
            <w:webHidden/>
          </w:rPr>
          <w:tab/>
        </w:r>
        <w:r>
          <w:rPr>
            <w:noProof/>
            <w:webHidden/>
          </w:rPr>
          <w:fldChar w:fldCharType="begin"/>
        </w:r>
        <w:r>
          <w:rPr>
            <w:noProof/>
            <w:webHidden/>
          </w:rPr>
          <w:instrText xml:space="preserve"> PAGEREF _Toc146113880 \h </w:instrText>
        </w:r>
        <w:r>
          <w:rPr>
            <w:noProof/>
            <w:webHidden/>
          </w:rPr>
        </w:r>
        <w:r>
          <w:rPr>
            <w:noProof/>
            <w:webHidden/>
          </w:rPr>
          <w:fldChar w:fldCharType="separate"/>
        </w:r>
        <w:r w:rsidR="00B00549">
          <w:rPr>
            <w:noProof/>
            <w:webHidden/>
          </w:rPr>
          <w:t>38</w:t>
        </w:r>
        <w:r>
          <w:rPr>
            <w:noProof/>
            <w:webHidden/>
          </w:rPr>
          <w:fldChar w:fldCharType="end"/>
        </w:r>
      </w:hyperlink>
    </w:p>
    <w:p w14:paraId="248DCD89" w14:textId="1F71BF88" w:rsidR="00CD5456" w:rsidRDefault="00CD5456">
      <w:pPr>
        <w:pStyle w:val="TOC2"/>
        <w:rPr>
          <w:rFonts w:asciiTheme="minorHAnsi" w:eastAsiaTheme="minorEastAsia" w:hAnsiTheme="minorHAnsi" w:cstheme="minorBidi"/>
          <w:noProof/>
          <w:sz w:val="22"/>
          <w:szCs w:val="22"/>
          <w:lang w:eastAsia="en-IE"/>
        </w:rPr>
      </w:pPr>
      <w:hyperlink w:anchor="_Toc146113881" w:history="1">
        <w:r w:rsidRPr="00962779">
          <w:rPr>
            <w:rStyle w:val="Hyperlink"/>
            <w:noProof/>
            <w:lang w:eastAsia="en-IE"/>
          </w:rPr>
          <w:t>Department of Housing, Local Government &amp; Heritage</w:t>
        </w:r>
        <w:r>
          <w:rPr>
            <w:noProof/>
            <w:webHidden/>
          </w:rPr>
          <w:tab/>
        </w:r>
        <w:r>
          <w:rPr>
            <w:noProof/>
            <w:webHidden/>
          </w:rPr>
          <w:fldChar w:fldCharType="begin"/>
        </w:r>
        <w:r>
          <w:rPr>
            <w:noProof/>
            <w:webHidden/>
          </w:rPr>
          <w:instrText xml:space="preserve"> PAGEREF _Toc146113881 \h </w:instrText>
        </w:r>
        <w:r>
          <w:rPr>
            <w:noProof/>
            <w:webHidden/>
          </w:rPr>
        </w:r>
        <w:r>
          <w:rPr>
            <w:noProof/>
            <w:webHidden/>
          </w:rPr>
          <w:fldChar w:fldCharType="separate"/>
        </w:r>
        <w:r w:rsidR="00B00549">
          <w:rPr>
            <w:noProof/>
            <w:webHidden/>
          </w:rPr>
          <w:t>40</w:t>
        </w:r>
        <w:r>
          <w:rPr>
            <w:noProof/>
            <w:webHidden/>
          </w:rPr>
          <w:fldChar w:fldCharType="end"/>
        </w:r>
      </w:hyperlink>
    </w:p>
    <w:p w14:paraId="6F12CACC" w14:textId="0AA25499" w:rsidR="00CD5456" w:rsidRDefault="00CD5456">
      <w:pPr>
        <w:pStyle w:val="TOC2"/>
        <w:rPr>
          <w:rFonts w:asciiTheme="minorHAnsi" w:eastAsiaTheme="minorEastAsia" w:hAnsiTheme="minorHAnsi" w:cstheme="minorBidi"/>
          <w:noProof/>
          <w:sz w:val="22"/>
          <w:szCs w:val="22"/>
          <w:lang w:eastAsia="en-IE"/>
        </w:rPr>
      </w:pPr>
      <w:hyperlink w:anchor="_Toc146113882" w:history="1">
        <w:r w:rsidRPr="00962779">
          <w:rPr>
            <w:rStyle w:val="Hyperlink"/>
            <w:noProof/>
          </w:rPr>
          <w:t>Department of Public Expenditure &amp; Reform</w:t>
        </w:r>
        <w:r>
          <w:rPr>
            <w:noProof/>
            <w:webHidden/>
          </w:rPr>
          <w:tab/>
        </w:r>
        <w:r>
          <w:rPr>
            <w:noProof/>
            <w:webHidden/>
          </w:rPr>
          <w:fldChar w:fldCharType="begin"/>
        </w:r>
        <w:r>
          <w:rPr>
            <w:noProof/>
            <w:webHidden/>
          </w:rPr>
          <w:instrText xml:space="preserve"> PAGEREF _Toc146113882 \h </w:instrText>
        </w:r>
        <w:r>
          <w:rPr>
            <w:noProof/>
            <w:webHidden/>
          </w:rPr>
        </w:r>
        <w:r>
          <w:rPr>
            <w:noProof/>
            <w:webHidden/>
          </w:rPr>
          <w:fldChar w:fldCharType="separate"/>
        </w:r>
        <w:r w:rsidR="00B00549">
          <w:rPr>
            <w:noProof/>
            <w:webHidden/>
          </w:rPr>
          <w:t>43</w:t>
        </w:r>
        <w:r>
          <w:rPr>
            <w:noProof/>
            <w:webHidden/>
          </w:rPr>
          <w:fldChar w:fldCharType="end"/>
        </w:r>
      </w:hyperlink>
    </w:p>
    <w:p w14:paraId="3EFADFA2" w14:textId="1E3923CE" w:rsidR="00CD5456" w:rsidRDefault="00CD5456">
      <w:pPr>
        <w:pStyle w:val="TOC2"/>
        <w:rPr>
          <w:rFonts w:asciiTheme="minorHAnsi" w:eastAsiaTheme="minorEastAsia" w:hAnsiTheme="minorHAnsi" w:cstheme="minorBidi"/>
          <w:noProof/>
          <w:sz w:val="22"/>
          <w:szCs w:val="22"/>
          <w:lang w:eastAsia="en-IE"/>
        </w:rPr>
      </w:pPr>
      <w:hyperlink w:anchor="_Toc146113883" w:history="1">
        <w:r w:rsidRPr="00962779">
          <w:rPr>
            <w:rStyle w:val="Hyperlink"/>
            <w:noProof/>
          </w:rPr>
          <w:t>Department of Rural &amp; Community Development</w:t>
        </w:r>
        <w:r>
          <w:rPr>
            <w:noProof/>
            <w:webHidden/>
          </w:rPr>
          <w:tab/>
        </w:r>
        <w:r>
          <w:rPr>
            <w:noProof/>
            <w:webHidden/>
          </w:rPr>
          <w:fldChar w:fldCharType="begin"/>
        </w:r>
        <w:r>
          <w:rPr>
            <w:noProof/>
            <w:webHidden/>
          </w:rPr>
          <w:instrText xml:space="preserve"> PAGEREF _Toc146113883 \h </w:instrText>
        </w:r>
        <w:r>
          <w:rPr>
            <w:noProof/>
            <w:webHidden/>
          </w:rPr>
        </w:r>
        <w:r>
          <w:rPr>
            <w:noProof/>
            <w:webHidden/>
          </w:rPr>
          <w:fldChar w:fldCharType="separate"/>
        </w:r>
        <w:r w:rsidR="00B00549">
          <w:rPr>
            <w:noProof/>
            <w:webHidden/>
          </w:rPr>
          <w:t>47</w:t>
        </w:r>
        <w:r>
          <w:rPr>
            <w:noProof/>
            <w:webHidden/>
          </w:rPr>
          <w:fldChar w:fldCharType="end"/>
        </w:r>
      </w:hyperlink>
    </w:p>
    <w:p w14:paraId="39621681" w14:textId="7A829A41" w:rsidR="00CD5456" w:rsidRDefault="00CD5456">
      <w:pPr>
        <w:pStyle w:val="TOC2"/>
        <w:rPr>
          <w:rFonts w:asciiTheme="minorHAnsi" w:eastAsiaTheme="minorEastAsia" w:hAnsiTheme="minorHAnsi" w:cstheme="minorBidi"/>
          <w:noProof/>
          <w:sz w:val="22"/>
          <w:szCs w:val="22"/>
          <w:lang w:eastAsia="en-IE"/>
        </w:rPr>
      </w:pPr>
      <w:hyperlink w:anchor="_Toc146113884" w:history="1">
        <w:r w:rsidRPr="00962779">
          <w:rPr>
            <w:rStyle w:val="Hyperlink"/>
            <w:noProof/>
          </w:rPr>
          <w:t>Department of Social Protection</w:t>
        </w:r>
        <w:r>
          <w:rPr>
            <w:noProof/>
            <w:webHidden/>
          </w:rPr>
          <w:tab/>
        </w:r>
        <w:r>
          <w:rPr>
            <w:noProof/>
            <w:webHidden/>
          </w:rPr>
          <w:fldChar w:fldCharType="begin"/>
        </w:r>
        <w:r>
          <w:rPr>
            <w:noProof/>
            <w:webHidden/>
          </w:rPr>
          <w:instrText xml:space="preserve"> PAGEREF _Toc146113884 \h </w:instrText>
        </w:r>
        <w:r>
          <w:rPr>
            <w:noProof/>
            <w:webHidden/>
          </w:rPr>
        </w:r>
        <w:r>
          <w:rPr>
            <w:noProof/>
            <w:webHidden/>
          </w:rPr>
          <w:fldChar w:fldCharType="separate"/>
        </w:r>
        <w:r w:rsidR="00B00549">
          <w:rPr>
            <w:noProof/>
            <w:webHidden/>
          </w:rPr>
          <w:t>48</w:t>
        </w:r>
        <w:r>
          <w:rPr>
            <w:noProof/>
            <w:webHidden/>
          </w:rPr>
          <w:fldChar w:fldCharType="end"/>
        </w:r>
      </w:hyperlink>
    </w:p>
    <w:p w14:paraId="030625BD" w14:textId="53B9E242" w:rsidR="00CD5456" w:rsidRDefault="00CD5456">
      <w:pPr>
        <w:pStyle w:val="TOC2"/>
        <w:rPr>
          <w:rFonts w:asciiTheme="minorHAnsi" w:eastAsiaTheme="minorEastAsia" w:hAnsiTheme="minorHAnsi" w:cstheme="minorBidi"/>
          <w:noProof/>
          <w:sz w:val="22"/>
          <w:szCs w:val="22"/>
          <w:lang w:eastAsia="en-IE"/>
        </w:rPr>
      </w:pPr>
      <w:hyperlink w:anchor="_Toc146113885" w:history="1">
        <w:r w:rsidRPr="00962779">
          <w:rPr>
            <w:rStyle w:val="Hyperlink"/>
            <w:noProof/>
          </w:rPr>
          <w:t>Department of the Environment, Climate &amp; Communications</w:t>
        </w:r>
        <w:r>
          <w:rPr>
            <w:noProof/>
            <w:webHidden/>
          </w:rPr>
          <w:tab/>
        </w:r>
        <w:r>
          <w:rPr>
            <w:noProof/>
            <w:webHidden/>
          </w:rPr>
          <w:fldChar w:fldCharType="begin"/>
        </w:r>
        <w:r>
          <w:rPr>
            <w:noProof/>
            <w:webHidden/>
          </w:rPr>
          <w:instrText xml:space="preserve"> PAGEREF _Toc146113885 \h </w:instrText>
        </w:r>
        <w:r>
          <w:rPr>
            <w:noProof/>
            <w:webHidden/>
          </w:rPr>
        </w:r>
        <w:r>
          <w:rPr>
            <w:noProof/>
            <w:webHidden/>
          </w:rPr>
          <w:fldChar w:fldCharType="separate"/>
        </w:r>
        <w:r w:rsidR="00B00549">
          <w:rPr>
            <w:noProof/>
            <w:webHidden/>
          </w:rPr>
          <w:t>49</w:t>
        </w:r>
        <w:r>
          <w:rPr>
            <w:noProof/>
            <w:webHidden/>
          </w:rPr>
          <w:fldChar w:fldCharType="end"/>
        </w:r>
      </w:hyperlink>
    </w:p>
    <w:p w14:paraId="1DE27318" w14:textId="68CAC449" w:rsidR="00CD5456" w:rsidRDefault="00CD5456">
      <w:pPr>
        <w:pStyle w:val="TOC2"/>
        <w:rPr>
          <w:rFonts w:asciiTheme="minorHAnsi" w:eastAsiaTheme="minorEastAsia" w:hAnsiTheme="minorHAnsi" w:cstheme="minorBidi"/>
          <w:noProof/>
          <w:sz w:val="22"/>
          <w:szCs w:val="22"/>
          <w:lang w:eastAsia="en-IE"/>
        </w:rPr>
      </w:pPr>
      <w:hyperlink w:anchor="_Toc146113886" w:history="1">
        <w:r w:rsidRPr="00962779">
          <w:rPr>
            <w:rStyle w:val="Hyperlink"/>
            <w:noProof/>
          </w:rPr>
          <w:t>Department of the Taoiseach</w:t>
        </w:r>
        <w:r>
          <w:rPr>
            <w:noProof/>
            <w:webHidden/>
          </w:rPr>
          <w:tab/>
        </w:r>
        <w:r>
          <w:rPr>
            <w:noProof/>
            <w:webHidden/>
          </w:rPr>
          <w:fldChar w:fldCharType="begin"/>
        </w:r>
        <w:r>
          <w:rPr>
            <w:noProof/>
            <w:webHidden/>
          </w:rPr>
          <w:instrText xml:space="preserve"> PAGEREF _Toc146113886 \h </w:instrText>
        </w:r>
        <w:r>
          <w:rPr>
            <w:noProof/>
            <w:webHidden/>
          </w:rPr>
        </w:r>
        <w:r>
          <w:rPr>
            <w:noProof/>
            <w:webHidden/>
          </w:rPr>
          <w:fldChar w:fldCharType="separate"/>
        </w:r>
        <w:r w:rsidR="00B00549">
          <w:rPr>
            <w:noProof/>
            <w:webHidden/>
          </w:rPr>
          <w:t>50</w:t>
        </w:r>
        <w:r>
          <w:rPr>
            <w:noProof/>
            <w:webHidden/>
          </w:rPr>
          <w:fldChar w:fldCharType="end"/>
        </w:r>
      </w:hyperlink>
    </w:p>
    <w:p w14:paraId="13661260" w14:textId="34BEF1C3" w:rsidR="00CD5456" w:rsidRDefault="00CD5456">
      <w:pPr>
        <w:pStyle w:val="TOC2"/>
        <w:rPr>
          <w:rFonts w:asciiTheme="minorHAnsi" w:eastAsiaTheme="minorEastAsia" w:hAnsiTheme="minorHAnsi" w:cstheme="minorBidi"/>
          <w:noProof/>
          <w:sz w:val="22"/>
          <w:szCs w:val="22"/>
          <w:lang w:eastAsia="en-IE"/>
        </w:rPr>
      </w:pPr>
      <w:hyperlink w:anchor="_Toc146113887" w:history="1">
        <w:r w:rsidRPr="00962779">
          <w:rPr>
            <w:rStyle w:val="Hyperlink"/>
            <w:noProof/>
          </w:rPr>
          <w:t>Department of Tourism Culture, Arts, Gaeltacht, Sports and Media</w:t>
        </w:r>
        <w:r>
          <w:rPr>
            <w:noProof/>
            <w:webHidden/>
          </w:rPr>
          <w:tab/>
        </w:r>
        <w:r>
          <w:rPr>
            <w:noProof/>
            <w:webHidden/>
          </w:rPr>
          <w:fldChar w:fldCharType="begin"/>
        </w:r>
        <w:r>
          <w:rPr>
            <w:noProof/>
            <w:webHidden/>
          </w:rPr>
          <w:instrText xml:space="preserve"> PAGEREF _Toc146113887 \h </w:instrText>
        </w:r>
        <w:r>
          <w:rPr>
            <w:noProof/>
            <w:webHidden/>
          </w:rPr>
        </w:r>
        <w:r>
          <w:rPr>
            <w:noProof/>
            <w:webHidden/>
          </w:rPr>
          <w:fldChar w:fldCharType="separate"/>
        </w:r>
        <w:r w:rsidR="00B00549">
          <w:rPr>
            <w:noProof/>
            <w:webHidden/>
          </w:rPr>
          <w:t>51</w:t>
        </w:r>
        <w:r>
          <w:rPr>
            <w:noProof/>
            <w:webHidden/>
          </w:rPr>
          <w:fldChar w:fldCharType="end"/>
        </w:r>
      </w:hyperlink>
    </w:p>
    <w:p w14:paraId="4DDBAF43" w14:textId="6710BD9C" w:rsidR="00CD5456" w:rsidRDefault="00CD5456">
      <w:pPr>
        <w:pStyle w:val="TOC2"/>
        <w:rPr>
          <w:rFonts w:asciiTheme="minorHAnsi" w:eastAsiaTheme="minorEastAsia" w:hAnsiTheme="minorHAnsi" w:cstheme="minorBidi"/>
          <w:noProof/>
          <w:sz w:val="22"/>
          <w:szCs w:val="22"/>
          <w:lang w:eastAsia="en-IE"/>
        </w:rPr>
      </w:pPr>
      <w:hyperlink w:anchor="_Toc146113888" w:history="1">
        <w:r w:rsidRPr="00962779">
          <w:rPr>
            <w:rStyle w:val="Hyperlink"/>
            <w:noProof/>
            <w:lang w:eastAsia="en-IE"/>
          </w:rPr>
          <w:t>Department of Transport</w:t>
        </w:r>
        <w:r>
          <w:rPr>
            <w:noProof/>
            <w:webHidden/>
          </w:rPr>
          <w:tab/>
        </w:r>
        <w:r>
          <w:rPr>
            <w:noProof/>
            <w:webHidden/>
          </w:rPr>
          <w:fldChar w:fldCharType="begin"/>
        </w:r>
        <w:r>
          <w:rPr>
            <w:noProof/>
            <w:webHidden/>
          </w:rPr>
          <w:instrText xml:space="preserve"> PAGEREF _Toc146113888 \h </w:instrText>
        </w:r>
        <w:r>
          <w:rPr>
            <w:noProof/>
            <w:webHidden/>
          </w:rPr>
        </w:r>
        <w:r>
          <w:rPr>
            <w:noProof/>
            <w:webHidden/>
          </w:rPr>
          <w:fldChar w:fldCharType="separate"/>
        </w:r>
        <w:r w:rsidR="00B00549">
          <w:rPr>
            <w:noProof/>
            <w:webHidden/>
          </w:rPr>
          <w:t>53</w:t>
        </w:r>
        <w:r>
          <w:rPr>
            <w:noProof/>
            <w:webHidden/>
          </w:rPr>
          <w:fldChar w:fldCharType="end"/>
        </w:r>
      </w:hyperlink>
    </w:p>
    <w:p w14:paraId="5FBF8660" w14:textId="7FDF74A1" w:rsidR="00973B13" w:rsidRPr="004C3D5B" w:rsidRDefault="00973B13" w:rsidP="00973B13">
      <w:pPr>
        <w:rPr>
          <w:rFonts w:ascii="Gill Sans" w:hAnsi="Gill Sans"/>
        </w:rPr>
      </w:pPr>
      <w:r w:rsidRPr="004C3D5B">
        <w:rPr>
          <w:rFonts w:ascii="Gill Sans" w:hAnsi="Gill Sans"/>
        </w:rPr>
        <w:fldChar w:fldCharType="end"/>
      </w:r>
    </w:p>
    <w:p w14:paraId="5192EFF5" w14:textId="77777777" w:rsidR="00973B13" w:rsidRPr="004C3D5B" w:rsidRDefault="00973B13" w:rsidP="00973B13">
      <w:pPr>
        <w:keepNext/>
        <w:pBdr>
          <w:top w:val="single" w:sz="4" w:space="4" w:color="FFFFFF"/>
          <w:left w:val="single" w:sz="4" w:space="2" w:color="FFFFFF"/>
          <w:right w:val="single" w:sz="4" w:space="4" w:color="FFFFFF"/>
        </w:pBdr>
        <w:spacing w:before="360"/>
        <w:outlineLvl w:val="0"/>
        <w:rPr>
          <w:rFonts w:ascii="Rockwell" w:hAnsi="Rockwell" w:cs="Arial"/>
          <w:b/>
          <w:bCs/>
          <w:kern w:val="32"/>
          <w:sz w:val="32"/>
          <w:szCs w:val="32"/>
        </w:rPr>
        <w:sectPr w:rsidR="00973B13" w:rsidRPr="004C3D5B" w:rsidSect="00D316AD">
          <w:footerReference w:type="default" r:id="rId10"/>
          <w:pgSz w:w="12240" w:h="15840"/>
          <w:pgMar w:top="1418" w:right="1758" w:bottom="1418" w:left="1758" w:header="709" w:footer="709" w:gutter="0"/>
          <w:pgNumType w:start="1"/>
          <w:cols w:space="708"/>
          <w:titlePg/>
          <w:docGrid w:linePitch="360"/>
        </w:sectPr>
      </w:pPr>
    </w:p>
    <w:p w14:paraId="3241E5E8" w14:textId="11EBDEAD" w:rsidR="00973B13" w:rsidRPr="00BC13A0" w:rsidRDefault="00973B13" w:rsidP="00973B13">
      <w:pPr>
        <w:pStyle w:val="Heading1"/>
      </w:pPr>
      <w:bookmarkStart w:id="20" w:name="_Toc146113851"/>
      <w:bookmarkStart w:id="21" w:name="_Hlk145926013"/>
      <w:r w:rsidRPr="00BC13A0">
        <w:lastRenderedPageBreak/>
        <w:t>Executive Summary</w:t>
      </w:r>
      <w:bookmarkEnd w:id="20"/>
    </w:p>
    <w:p w14:paraId="251DB75F" w14:textId="0C381AA4" w:rsidR="00973B13" w:rsidRPr="00BC13A0" w:rsidRDefault="00E3525E" w:rsidP="00973B13">
      <w:pPr>
        <w:rPr>
          <w:color w:val="000000" w:themeColor="text1"/>
        </w:rPr>
      </w:pPr>
      <w:r w:rsidRPr="00BC13A0">
        <w:t xml:space="preserve">This is the </w:t>
      </w:r>
      <w:r w:rsidR="00F74331" w:rsidRPr="00BC13A0">
        <w:t>seventeenth</w:t>
      </w:r>
      <w:r w:rsidR="00973B13" w:rsidRPr="00BC13A0">
        <w:t xml:space="preserve"> annual report by the National Disability Authority (NDA) on employment of persons with disabilities in the public sector. The NDA has a statutory role in monitoring the employment of persons with disabilities in the public sector, arising from Part 5 of the Disability Act 2005</w:t>
      </w:r>
      <w:r w:rsidR="00973B13" w:rsidRPr="00BC13A0">
        <w:rPr>
          <w:color w:val="000000" w:themeColor="text1"/>
        </w:rPr>
        <w:t>.</w:t>
      </w:r>
    </w:p>
    <w:p w14:paraId="001072EF" w14:textId="1F5D5A3F" w:rsidR="00973B13" w:rsidRPr="00BC13A0" w:rsidRDefault="003E1B0B" w:rsidP="00973B13">
      <w:pPr>
        <w:pStyle w:val="Heading2"/>
        <w:rPr>
          <w:color w:val="000000" w:themeColor="text1"/>
        </w:rPr>
      </w:pPr>
      <w:bookmarkStart w:id="22" w:name="_Toc146113852"/>
      <w:r w:rsidRPr="00BC13A0">
        <w:t>Overview of the analysis</w:t>
      </w:r>
      <w:bookmarkEnd w:id="22"/>
      <w:r w:rsidRPr="00BC13A0">
        <w:t xml:space="preserve"> </w:t>
      </w:r>
    </w:p>
    <w:p w14:paraId="4DBB4FF0" w14:textId="386D4610" w:rsidR="00463BA2" w:rsidRDefault="00246A78" w:rsidP="0069488C">
      <w:pPr>
        <w:rPr>
          <w:rFonts w:cs="Arial"/>
          <w:szCs w:val="26"/>
          <w:lang w:eastAsia="en-IE"/>
        </w:rPr>
      </w:pPr>
      <w:r w:rsidRPr="00BC13A0">
        <w:t>At the end of 202</w:t>
      </w:r>
      <w:r w:rsidR="00F74331" w:rsidRPr="00BC13A0">
        <w:t>2</w:t>
      </w:r>
      <w:r w:rsidR="00973B13" w:rsidRPr="00BC13A0">
        <w:t xml:space="preserve">, the total number of employees in the relevant </w:t>
      </w:r>
      <w:r w:rsidR="004D036D" w:rsidRPr="00BC13A0">
        <w:t xml:space="preserve">public sector bodies was </w:t>
      </w:r>
      <w:r w:rsidR="00F74331" w:rsidRPr="00BC13A0">
        <w:t>260</w:t>
      </w:r>
      <w:r w:rsidR="009B0423">
        <w:t>,</w:t>
      </w:r>
      <w:r w:rsidR="00F74331" w:rsidRPr="00BC13A0">
        <w:t>434</w:t>
      </w:r>
      <w:r w:rsidR="005232E2" w:rsidRPr="00BC13A0">
        <w:rPr>
          <w:rFonts w:cs="Arial"/>
          <w:szCs w:val="26"/>
          <w:lang w:eastAsia="en-IE"/>
        </w:rPr>
        <w:t xml:space="preserve">, an increase of </w:t>
      </w:r>
      <w:r w:rsidR="00F74331" w:rsidRPr="00BC13A0">
        <w:rPr>
          <w:rFonts w:cs="Arial"/>
          <w:szCs w:val="26"/>
          <w:lang w:eastAsia="en-IE"/>
        </w:rPr>
        <w:t>8,882</w:t>
      </w:r>
      <w:r w:rsidR="00C57FC2" w:rsidRPr="00BC13A0">
        <w:rPr>
          <w:rFonts w:cs="Arial"/>
          <w:szCs w:val="26"/>
          <w:lang w:eastAsia="en-IE"/>
        </w:rPr>
        <w:t xml:space="preserve"> (+</w:t>
      </w:r>
      <w:r w:rsidR="00F74331" w:rsidRPr="00BC13A0">
        <w:rPr>
          <w:rFonts w:cs="Arial"/>
          <w:szCs w:val="26"/>
          <w:lang w:eastAsia="en-IE"/>
        </w:rPr>
        <w:t>3.5</w:t>
      </w:r>
      <w:r w:rsidR="00C57FC2" w:rsidRPr="00BC13A0">
        <w:rPr>
          <w:rFonts w:cs="Arial"/>
          <w:szCs w:val="26"/>
          <w:lang w:eastAsia="en-IE"/>
        </w:rPr>
        <w:t>%) from 202</w:t>
      </w:r>
      <w:r w:rsidR="0069488C">
        <w:rPr>
          <w:rFonts w:cs="Arial"/>
          <w:szCs w:val="26"/>
          <w:lang w:eastAsia="en-IE"/>
        </w:rPr>
        <w:t>1.</w:t>
      </w:r>
    </w:p>
    <w:p w14:paraId="305160BA" w14:textId="5325AFF9" w:rsidR="0069488C" w:rsidRPr="00BC13A0" w:rsidRDefault="0069488C" w:rsidP="0069488C">
      <w:r>
        <w:rPr>
          <w:rFonts w:cs="Arial"/>
          <w:szCs w:val="26"/>
          <w:lang w:eastAsia="en-IE"/>
        </w:rPr>
        <w:t>The NDA is pleased to note that for the first time:</w:t>
      </w:r>
    </w:p>
    <w:p w14:paraId="28CB6572" w14:textId="4BFF407D" w:rsidR="00463BA2" w:rsidRPr="0069488C" w:rsidRDefault="0069488C" w:rsidP="00353454">
      <w:pPr>
        <w:pStyle w:val="ListBullet"/>
      </w:pPr>
      <w:r>
        <w:rPr>
          <w:rFonts w:cs="Arial"/>
          <w:szCs w:val="26"/>
          <w:lang w:eastAsia="en-IE"/>
        </w:rPr>
        <w:t>T</w:t>
      </w:r>
      <w:r w:rsidR="00973B13" w:rsidRPr="00BC13A0">
        <w:rPr>
          <w:rFonts w:cs="Arial"/>
          <w:szCs w:val="26"/>
          <w:lang w:eastAsia="en-IE"/>
        </w:rPr>
        <w:t>he number of employee</w:t>
      </w:r>
      <w:r w:rsidR="005232E2" w:rsidRPr="00BC13A0">
        <w:rPr>
          <w:rFonts w:cs="Arial"/>
          <w:szCs w:val="26"/>
          <w:lang w:eastAsia="en-IE"/>
        </w:rPr>
        <w:t xml:space="preserve">s </w:t>
      </w:r>
      <w:r w:rsidR="00844979" w:rsidRPr="00BC13A0">
        <w:rPr>
          <w:rFonts w:cs="Arial"/>
          <w:szCs w:val="26"/>
          <w:lang w:eastAsia="en-IE"/>
        </w:rPr>
        <w:t xml:space="preserve">reporting a disability </w:t>
      </w:r>
      <w:r w:rsidR="00D224CD">
        <w:rPr>
          <w:rFonts w:cs="Arial"/>
          <w:szCs w:val="26"/>
          <w:lang w:eastAsia="en-IE"/>
        </w:rPr>
        <w:t xml:space="preserve">passed 4%. In 2022, the number of employees reporting a disability </w:t>
      </w:r>
      <w:r w:rsidR="00844979" w:rsidRPr="00BC13A0">
        <w:rPr>
          <w:rFonts w:cs="Arial"/>
          <w:szCs w:val="26"/>
          <w:lang w:eastAsia="en-IE"/>
        </w:rPr>
        <w:t xml:space="preserve">was </w:t>
      </w:r>
      <w:r w:rsidR="00F74331" w:rsidRPr="00BC13A0">
        <w:rPr>
          <w:rFonts w:cs="Arial"/>
          <w:szCs w:val="26"/>
          <w:lang w:eastAsia="en-IE"/>
        </w:rPr>
        <w:t>10,631</w:t>
      </w:r>
      <w:r w:rsidR="00844979" w:rsidRPr="00BC13A0">
        <w:rPr>
          <w:rFonts w:cs="Arial"/>
          <w:szCs w:val="26"/>
          <w:lang w:eastAsia="en-IE"/>
        </w:rPr>
        <w:t xml:space="preserve"> (</w:t>
      </w:r>
      <w:r w:rsidR="00F74331" w:rsidRPr="00BC13A0">
        <w:rPr>
          <w:rFonts w:cs="Arial"/>
          <w:szCs w:val="26"/>
          <w:lang w:eastAsia="en-IE"/>
        </w:rPr>
        <w:t>4.1</w:t>
      </w:r>
      <w:r w:rsidR="00973B13" w:rsidRPr="00BC13A0">
        <w:rPr>
          <w:rFonts w:cs="Arial"/>
          <w:szCs w:val="26"/>
          <w:lang w:eastAsia="en-IE"/>
        </w:rPr>
        <w:t>%), a</w:t>
      </w:r>
      <w:r w:rsidR="005232E2" w:rsidRPr="00BC13A0">
        <w:rPr>
          <w:rFonts w:cs="Arial"/>
          <w:szCs w:val="26"/>
          <w:lang w:eastAsia="en-IE"/>
        </w:rPr>
        <w:t xml:space="preserve">n increase of </w:t>
      </w:r>
      <w:r w:rsidR="005728B0" w:rsidRPr="00BC13A0">
        <w:rPr>
          <w:rFonts w:cs="Arial"/>
          <w:szCs w:val="26"/>
          <w:lang w:eastAsia="en-IE"/>
        </w:rPr>
        <w:t>1,</w:t>
      </w:r>
      <w:r w:rsidR="00F74331" w:rsidRPr="00BC13A0">
        <w:rPr>
          <w:rFonts w:cs="Arial"/>
          <w:szCs w:val="26"/>
          <w:lang w:eastAsia="en-IE"/>
        </w:rPr>
        <w:t>620</w:t>
      </w:r>
      <w:r w:rsidR="005B468C" w:rsidRPr="00BC13A0">
        <w:rPr>
          <w:rFonts w:cs="Arial"/>
          <w:szCs w:val="26"/>
          <w:lang w:eastAsia="en-IE"/>
        </w:rPr>
        <w:t xml:space="preserve"> </w:t>
      </w:r>
      <w:r w:rsidR="005728B0" w:rsidRPr="00BC13A0">
        <w:rPr>
          <w:rFonts w:cs="Arial"/>
          <w:szCs w:val="26"/>
          <w:lang w:eastAsia="en-IE"/>
        </w:rPr>
        <w:t>(+18.0%) from the 202</w:t>
      </w:r>
      <w:r w:rsidR="00F74331" w:rsidRPr="00BC13A0">
        <w:rPr>
          <w:rFonts w:cs="Arial"/>
          <w:szCs w:val="26"/>
          <w:lang w:eastAsia="en-IE"/>
        </w:rPr>
        <w:t>1</w:t>
      </w:r>
      <w:r w:rsidR="00463BA2" w:rsidRPr="00BC13A0">
        <w:rPr>
          <w:rFonts w:cs="Arial"/>
          <w:szCs w:val="26"/>
          <w:lang w:eastAsia="en-IE"/>
        </w:rPr>
        <w:t xml:space="preserve"> figure</w:t>
      </w:r>
      <w:r w:rsidR="004B419F">
        <w:rPr>
          <w:rFonts w:cs="Arial"/>
          <w:szCs w:val="26"/>
          <w:lang w:eastAsia="en-IE"/>
        </w:rPr>
        <w:t xml:space="preserve"> which was 9,011(3.6%)</w:t>
      </w:r>
    </w:p>
    <w:p w14:paraId="6774F782" w14:textId="33A16BEC" w:rsidR="004B419F" w:rsidRDefault="0069488C" w:rsidP="0069488C">
      <w:pPr>
        <w:pStyle w:val="ListBullet"/>
      </w:pPr>
      <w:r>
        <w:t>A</w:t>
      </w:r>
      <w:r w:rsidRPr="00BC13A0">
        <w:t>ll five types of public bodies achieved the minimum 3% target (Commercial Bodies, Government Departments, Local Government, Non-</w:t>
      </w:r>
      <w:r w:rsidR="0033530A">
        <w:t>C</w:t>
      </w:r>
      <w:r w:rsidRPr="00BC13A0">
        <w:t>ommercial Bodies, and Public Bodies staffed by Civil Servants)</w:t>
      </w:r>
    </w:p>
    <w:p w14:paraId="39306C66" w14:textId="1B729DD5" w:rsidR="0069488C" w:rsidRDefault="0069488C" w:rsidP="004B419F">
      <w:pPr>
        <w:pStyle w:val="ListBullet"/>
        <w:numPr>
          <w:ilvl w:val="0"/>
          <w:numId w:val="0"/>
        </w:numPr>
        <w:ind w:left="360"/>
      </w:pPr>
      <w:r w:rsidRPr="00BC13A0">
        <w:t xml:space="preserve">In 2021, </w:t>
      </w:r>
      <w:r w:rsidR="004B419F">
        <w:t>four types of public bodies achieved the minimum 3% target</w:t>
      </w:r>
      <w:r w:rsidR="00AE49DC">
        <w:t>.</w:t>
      </w:r>
      <w:r w:rsidR="004B419F">
        <w:t xml:space="preserve"> O</w:t>
      </w:r>
      <w:r w:rsidRPr="00BC13A0">
        <w:t>ne type of public body (Non-</w:t>
      </w:r>
      <w:r w:rsidR="0033530A">
        <w:t>C</w:t>
      </w:r>
      <w:r w:rsidRPr="00BC13A0">
        <w:t xml:space="preserve">ommercial Bodies) did not achieve the target.  </w:t>
      </w:r>
    </w:p>
    <w:p w14:paraId="0392FE7A" w14:textId="77777777" w:rsidR="0069488C" w:rsidRPr="00BC13A0" w:rsidRDefault="0069488C" w:rsidP="0069488C">
      <w:pPr>
        <w:pStyle w:val="ListBullet"/>
      </w:pPr>
      <w:r w:rsidRPr="00BC13A0">
        <w:t>In this report, public bodies are also categorised into four different sizes:</w:t>
      </w:r>
    </w:p>
    <w:p w14:paraId="393944DE" w14:textId="77777777" w:rsidR="0069488C" w:rsidRPr="00BC13A0" w:rsidRDefault="0069488C" w:rsidP="0069488C">
      <w:pPr>
        <w:pStyle w:val="ListBullet2"/>
      </w:pPr>
      <w:r w:rsidRPr="00BC13A0">
        <w:t>0-99 employees</w:t>
      </w:r>
    </w:p>
    <w:p w14:paraId="6513DB7A" w14:textId="77777777" w:rsidR="0069488C" w:rsidRPr="00BC13A0" w:rsidRDefault="0069488C" w:rsidP="0069488C">
      <w:pPr>
        <w:pStyle w:val="ListBullet2"/>
      </w:pPr>
      <w:r w:rsidRPr="00BC13A0">
        <w:t>100-999 employees</w:t>
      </w:r>
    </w:p>
    <w:p w14:paraId="45D7C790" w14:textId="77777777" w:rsidR="0069488C" w:rsidRPr="00BC13A0" w:rsidRDefault="0069488C" w:rsidP="0069488C">
      <w:pPr>
        <w:pStyle w:val="ListBullet2"/>
      </w:pPr>
      <w:r w:rsidRPr="00BC13A0">
        <w:t>1000-4,999 employees</w:t>
      </w:r>
    </w:p>
    <w:p w14:paraId="020FBCE7" w14:textId="1C38FA40" w:rsidR="0069488C" w:rsidRPr="00BC13A0" w:rsidRDefault="0069488C" w:rsidP="006C1753">
      <w:pPr>
        <w:pStyle w:val="ListBullet2"/>
        <w:spacing w:after="240"/>
        <w:ind w:left="714" w:hanging="357"/>
      </w:pPr>
      <w:r w:rsidRPr="00BC13A0">
        <w:t>5,000 employees or more</w:t>
      </w:r>
    </w:p>
    <w:p w14:paraId="1BFF75D7" w14:textId="77777777" w:rsidR="00E91393" w:rsidRDefault="0069488C" w:rsidP="00D224CD">
      <w:pPr>
        <w:spacing w:after="120"/>
        <w:ind w:left="357"/>
        <w:rPr>
          <w:color w:val="000000" w:themeColor="text1"/>
        </w:rPr>
      </w:pPr>
      <w:r w:rsidRPr="00BC13A0">
        <w:rPr>
          <w:color w:val="000000" w:themeColor="text1"/>
        </w:rPr>
        <w:t>In 2022,</w:t>
      </w:r>
      <w:r w:rsidR="00D224CD">
        <w:rPr>
          <w:color w:val="000000" w:themeColor="text1"/>
        </w:rPr>
        <w:t xml:space="preserve"> a</w:t>
      </w:r>
      <w:r w:rsidRPr="00BC13A0">
        <w:rPr>
          <w:color w:val="000000" w:themeColor="text1"/>
        </w:rPr>
        <w:t>ll of the four size categories met or exceeded the minimum target</w:t>
      </w:r>
      <w:r w:rsidRPr="00BC13A0" w:rsidDel="004D16C1">
        <w:rPr>
          <w:color w:val="000000" w:themeColor="text1"/>
        </w:rPr>
        <w:t xml:space="preserve"> </w:t>
      </w:r>
      <w:r w:rsidRPr="00BC13A0">
        <w:rPr>
          <w:color w:val="000000" w:themeColor="text1"/>
        </w:rPr>
        <w:t xml:space="preserve">of 3%. </w:t>
      </w:r>
    </w:p>
    <w:p w14:paraId="36F8BFFE" w14:textId="1B3B0BE7" w:rsidR="004B419F" w:rsidRDefault="0069488C" w:rsidP="00D224CD">
      <w:pPr>
        <w:spacing w:after="120"/>
        <w:ind w:left="357"/>
        <w:rPr>
          <w:color w:val="000000" w:themeColor="text1"/>
        </w:rPr>
      </w:pPr>
      <w:r w:rsidRPr="00BC13A0">
        <w:rPr>
          <w:color w:val="000000" w:themeColor="text1"/>
        </w:rPr>
        <w:t xml:space="preserve">In 2021, three of the four size categories met or exceeded the minimum target of 3%. </w:t>
      </w:r>
      <w:r w:rsidR="004B419F">
        <w:rPr>
          <w:color w:val="000000" w:themeColor="text1"/>
        </w:rPr>
        <w:t>The category for 5,000 employees or more did not make the minimum 3% target</w:t>
      </w:r>
      <w:r w:rsidR="00E91393">
        <w:rPr>
          <w:color w:val="000000" w:themeColor="text1"/>
        </w:rPr>
        <w:t xml:space="preserve"> in that year.</w:t>
      </w:r>
    </w:p>
    <w:p w14:paraId="290D6435" w14:textId="7BC6F076" w:rsidR="00D224CD" w:rsidRPr="003272C7" w:rsidRDefault="00D224CD" w:rsidP="00D224CD">
      <w:pPr>
        <w:pStyle w:val="ListParagraph"/>
        <w:numPr>
          <w:ilvl w:val="0"/>
          <w:numId w:val="15"/>
        </w:numPr>
        <w:spacing w:after="120"/>
        <w:rPr>
          <w:rFonts w:ascii="Gill Sans MT" w:hAnsi="Gill Sans MT"/>
        </w:rPr>
      </w:pPr>
      <w:r w:rsidRPr="003272C7">
        <w:rPr>
          <w:rFonts w:ascii="Gill Sans MT" w:hAnsi="Gill Sans MT"/>
        </w:rPr>
        <w:t>In 2022, th</w:t>
      </w:r>
      <w:r w:rsidR="0069488C" w:rsidRPr="003272C7">
        <w:rPr>
          <w:rFonts w:ascii="Gill Sans MT" w:hAnsi="Gill Sans MT"/>
        </w:rPr>
        <w:t xml:space="preserve">e HSE </w:t>
      </w:r>
      <w:r w:rsidRPr="003272C7">
        <w:rPr>
          <w:rFonts w:ascii="Gill Sans MT" w:hAnsi="Gill Sans MT"/>
        </w:rPr>
        <w:t>stated</w:t>
      </w:r>
      <w:r w:rsidR="0069488C" w:rsidRPr="003272C7">
        <w:rPr>
          <w:rFonts w:ascii="Gill Sans MT" w:hAnsi="Gill Sans MT"/>
        </w:rPr>
        <w:t xml:space="preserve"> </w:t>
      </w:r>
      <w:r w:rsidRPr="003272C7">
        <w:rPr>
          <w:rFonts w:ascii="Gill Sans MT" w:hAnsi="Gill Sans MT"/>
        </w:rPr>
        <w:t xml:space="preserve">that 2,331(2.3%) employees reported a disability. This </w:t>
      </w:r>
      <w:r w:rsidR="0069488C" w:rsidRPr="003272C7">
        <w:rPr>
          <w:rFonts w:ascii="Gill Sans MT" w:hAnsi="Gill Sans MT"/>
        </w:rPr>
        <w:t xml:space="preserve">the highest number and percentage of </w:t>
      </w:r>
      <w:r w:rsidRPr="003272C7">
        <w:rPr>
          <w:rFonts w:ascii="Gill Sans MT" w:hAnsi="Gill Sans MT"/>
        </w:rPr>
        <w:t>employees with a disability reported by the HSE</w:t>
      </w:r>
      <w:r w:rsidR="00AE49DC" w:rsidRPr="003272C7">
        <w:rPr>
          <w:rFonts w:ascii="Gill Sans MT" w:hAnsi="Gill Sans MT"/>
        </w:rPr>
        <w:t xml:space="preserve"> to date</w:t>
      </w:r>
    </w:p>
    <w:p w14:paraId="1D44E4FA" w14:textId="491AED46" w:rsidR="0069488C" w:rsidRPr="00BC13A0" w:rsidRDefault="0069488C" w:rsidP="00F770ED">
      <w:pPr>
        <w:pStyle w:val="ListBullet"/>
        <w:numPr>
          <w:ilvl w:val="0"/>
          <w:numId w:val="0"/>
        </w:numPr>
      </w:pPr>
      <w:r>
        <w:t>The NDA also notes these additional positive developments:</w:t>
      </w:r>
    </w:p>
    <w:p w14:paraId="07D7D371" w14:textId="7E370CA7" w:rsidR="00463BA2" w:rsidRPr="00BC13A0" w:rsidRDefault="00463BA2" w:rsidP="00353454">
      <w:pPr>
        <w:pStyle w:val="ListBullet"/>
      </w:pPr>
      <w:r w:rsidRPr="00BC13A0">
        <w:t>In 202</w:t>
      </w:r>
      <w:r w:rsidR="00F74331" w:rsidRPr="00BC13A0">
        <w:t>2</w:t>
      </w:r>
      <w:r w:rsidRPr="00BC13A0">
        <w:t>, 1</w:t>
      </w:r>
      <w:r w:rsidR="00F74331" w:rsidRPr="00BC13A0">
        <w:t>93</w:t>
      </w:r>
      <w:r w:rsidRPr="00BC13A0">
        <w:t xml:space="preserve"> (</w:t>
      </w:r>
      <w:r w:rsidR="00B3021B" w:rsidRPr="00BC13A0">
        <w:t xml:space="preserve">90.6%) </w:t>
      </w:r>
      <w:r w:rsidRPr="00BC13A0">
        <w:t>public bodies achieved or exceeded the minimum 3% target compare</w:t>
      </w:r>
      <w:r w:rsidR="00C57FC2" w:rsidRPr="00BC13A0">
        <w:t>d to 18</w:t>
      </w:r>
      <w:r w:rsidR="00B3021B" w:rsidRPr="00BC13A0">
        <w:t>6</w:t>
      </w:r>
      <w:r w:rsidR="00C57FC2" w:rsidRPr="00BC13A0">
        <w:t xml:space="preserve"> (</w:t>
      </w:r>
      <w:r w:rsidR="00B3021B" w:rsidRPr="00BC13A0">
        <w:t xml:space="preserve">87.3%) </w:t>
      </w:r>
      <w:r w:rsidR="00C57FC2" w:rsidRPr="00BC13A0">
        <w:t>bodies in 202</w:t>
      </w:r>
      <w:r w:rsidR="00F74331" w:rsidRPr="00BC13A0">
        <w:t>1</w:t>
      </w:r>
    </w:p>
    <w:p w14:paraId="77883F4A" w14:textId="25916CE2" w:rsidR="00463BA2" w:rsidRPr="00BC13A0" w:rsidRDefault="00463BA2" w:rsidP="00353454">
      <w:pPr>
        <w:pStyle w:val="ListBullet"/>
      </w:pPr>
      <w:r w:rsidRPr="00BC13A0">
        <w:lastRenderedPageBreak/>
        <w:t>In 202</w:t>
      </w:r>
      <w:r w:rsidR="00F74331" w:rsidRPr="00BC13A0">
        <w:t>2</w:t>
      </w:r>
      <w:r w:rsidRPr="00BC13A0">
        <w:t>, 2</w:t>
      </w:r>
      <w:r w:rsidR="00F74331" w:rsidRPr="00BC13A0">
        <w:t>0</w:t>
      </w:r>
      <w:r w:rsidRPr="00BC13A0">
        <w:t xml:space="preserve"> (</w:t>
      </w:r>
      <w:r w:rsidR="00F74331" w:rsidRPr="00BC13A0">
        <w:t>9.4</w:t>
      </w:r>
      <w:r w:rsidRPr="00BC13A0">
        <w:t xml:space="preserve">%) public bodies did not reach the minimum 3% target compared to </w:t>
      </w:r>
      <w:r w:rsidR="00F74331" w:rsidRPr="00BC13A0">
        <w:t>27</w:t>
      </w:r>
      <w:r w:rsidRPr="00BC13A0">
        <w:t xml:space="preserve"> (</w:t>
      </w:r>
      <w:r w:rsidR="00F74331" w:rsidRPr="00BC13A0">
        <w:t>12.7</w:t>
      </w:r>
      <w:r w:rsidRPr="00BC13A0">
        <w:t>%) public bodies in 202</w:t>
      </w:r>
      <w:r w:rsidR="00F74331" w:rsidRPr="00BC13A0">
        <w:t>1</w:t>
      </w:r>
    </w:p>
    <w:p w14:paraId="7CF4AAAF" w14:textId="2BD5084A" w:rsidR="003E1B0B" w:rsidRPr="00BC13A0" w:rsidRDefault="003E1B0B" w:rsidP="00353454">
      <w:pPr>
        <w:pStyle w:val="ListBullet"/>
      </w:pPr>
      <w:r w:rsidRPr="00BC13A0">
        <w:t>In 202</w:t>
      </w:r>
      <w:r w:rsidR="00F74331" w:rsidRPr="00BC13A0">
        <w:t>2</w:t>
      </w:r>
      <w:r w:rsidRPr="00BC13A0">
        <w:t xml:space="preserve">, </w:t>
      </w:r>
      <w:r w:rsidR="00F74331" w:rsidRPr="00BC13A0">
        <w:t xml:space="preserve">103 </w:t>
      </w:r>
      <w:r w:rsidRPr="00BC13A0">
        <w:t>(</w:t>
      </w:r>
      <w:r w:rsidR="00F74331" w:rsidRPr="00BC13A0">
        <w:t>48.4</w:t>
      </w:r>
      <w:r w:rsidRPr="00BC13A0">
        <w:t>%) public bodies reported that a minimum of 6% of their employees were persons with disabilities. This is an increase from 202</w:t>
      </w:r>
      <w:r w:rsidR="00F74331" w:rsidRPr="00BC13A0">
        <w:t>1</w:t>
      </w:r>
      <w:r w:rsidRPr="00BC13A0">
        <w:t xml:space="preserve">, when </w:t>
      </w:r>
      <w:r w:rsidR="00F74331" w:rsidRPr="00BC13A0">
        <w:t>78</w:t>
      </w:r>
      <w:r w:rsidRPr="00BC13A0">
        <w:t xml:space="preserve"> (</w:t>
      </w:r>
      <w:r w:rsidR="00F74331" w:rsidRPr="00BC13A0">
        <w:t>36.6</w:t>
      </w:r>
      <w:r w:rsidRPr="00BC13A0">
        <w:t>%) public bodies reported that a minimum of 6% of their employees reported a disability</w:t>
      </w:r>
    </w:p>
    <w:p w14:paraId="6EA3E65A" w14:textId="56A98D95" w:rsidR="00064C9A" w:rsidRPr="0069488C" w:rsidRDefault="00986077" w:rsidP="00973B13">
      <w:pPr>
        <w:pStyle w:val="ListBullet"/>
      </w:pPr>
      <w:r w:rsidRPr="00BC13A0">
        <w:rPr>
          <w:rFonts w:cs="Arial"/>
          <w:szCs w:val="26"/>
          <w:lang w:eastAsia="en-IE"/>
        </w:rPr>
        <w:t>O</w:t>
      </w:r>
      <w:r w:rsidR="00973B13" w:rsidRPr="00BC13A0">
        <w:rPr>
          <w:rFonts w:cs="Arial"/>
          <w:szCs w:val="26"/>
          <w:lang w:eastAsia="en-IE"/>
        </w:rPr>
        <w:t>verall the public sector exceeded the mi</w:t>
      </w:r>
      <w:r w:rsidR="005D020E" w:rsidRPr="00BC13A0">
        <w:rPr>
          <w:rFonts w:cs="Arial"/>
          <w:szCs w:val="26"/>
          <w:lang w:eastAsia="en-IE"/>
        </w:rPr>
        <w:t xml:space="preserve">nimum target of 3% for the </w:t>
      </w:r>
      <w:r w:rsidR="00ED468B" w:rsidRPr="00BC13A0">
        <w:rPr>
          <w:rFonts w:cs="Arial"/>
          <w:szCs w:val="26"/>
          <w:lang w:eastAsia="en-IE"/>
        </w:rPr>
        <w:t>t</w:t>
      </w:r>
      <w:r w:rsidR="00F74331" w:rsidRPr="00BC13A0">
        <w:rPr>
          <w:rFonts w:cs="Arial"/>
          <w:szCs w:val="26"/>
          <w:lang w:eastAsia="en-IE"/>
        </w:rPr>
        <w:t>wel</w:t>
      </w:r>
      <w:r w:rsidR="0056603B">
        <w:rPr>
          <w:rFonts w:cs="Arial"/>
          <w:szCs w:val="26"/>
          <w:lang w:eastAsia="en-IE"/>
        </w:rPr>
        <w:t>f</w:t>
      </w:r>
      <w:r w:rsidR="00F74331" w:rsidRPr="00BC13A0">
        <w:rPr>
          <w:rFonts w:cs="Arial"/>
          <w:szCs w:val="26"/>
          <w:lang w:eastAsia="en-IE"/>
        </w:rPr>
        <w:t>th</w:t>
      </w:r>
      <w:r w:rsidR="00463BA2" w:rsidRPr="00BC13A0">
        <w:rPr>
          <w:rFonts w:cs="Arial"/>
          <w:szCs w:val="26"/>
          <w:lang w:eastAsia="en-IE"/>
        </w:rPr>
        <w:t xml:space="preserve"> successive year</w:t>
      </w:r>
    </w:p>
    <w:p w14:paraId="2966571F" w14:textId="2BF4EFE5" w:rsidR="00973B13" w:rsidRPr="00BC13A0" w:rsidRDefault="00973B13" w:rsidP="00973B13">
      <w:pPr>
        <w:pStyle w:val="Heading2"/>
      </w:pPr>
      <w:bookmarkStart w:id="23" w:name="_Toc146113853"/>
      <w:r w:rsidRPr="00BC13A0">
        <w:t>The HSE</w:t>
      </w:r>
      <w:bookmarkEnd w:id="23"/>
      <w:r w:rsidRPr="00BC13A0">
        <w:t xml:space="preserve"> </w:t>
      </w:r>
    </w:p>
    <w:p w14:paraId="0DA4660D" w14:textId="1EDCC688" w:rsidR="00585C40" w:rsidRDefault="00973B13" w:rsidP="00353454">
      <w:r w:rsidRPr="00BC13A0">
        <w:t>The HSE is the largest bo</w:t>
      </w:r>
      <w:r w:rsidR="00600937" w:rsidRPr="00BC13A0">
        <w:t>dy in the public sector.</w:t>
      </w:r>
      <w:r w:rsidR="006C1753">
        <w:t xml:space="preserve"> </w:t>
      </w:r>
      <w:r w:rsidR="00600937" w:rsidRPr="00BC13A0">
        <w:t>In 202</w:t>
      </w:r>
      <w:r w:rsidR="00B3021B" w:rsidRPr="00BC13A0">
        <w:t>2</w:t>
      </w:r>
      <w:r w:rsidR="00DA7868" w:rsidRPr="00BC13A0">
        <w:t>,</w:t>
      </w:r>
      <w:r w:rsidRPr="00BC13A0">
        <w:t xml:space="preserve"> this public b</w:t>
      </w:r>
      <w:r w:rsidR="000B736B" w:rsidRPr="00BC13A0">
        <w:t>od</w:t>
      </w:r>
      <w:r w:rsidR="00600937" w:rsidRPr="00BC13A0">
        <w:t>y reported an increase of 4,</w:t>
      </w:r>
      <w:r w:rsidR="008D5847" w:rsidRPr="00BC13A0">
        <w:t>3</w:t>
      </w:r>
      <w:r w:rsidR="00B3021B" w:rsidRPr="00BC13A0">
        <w:t>45</w:t>
      </w:r>
      <w:r w:rsidR="000B736B" w:rsidRPr="00BC13A0">
        <w:t xml:space="preserve"> employees from </w:t>
      </w:r>
      <w:r w:rsidR="008D5847" w:rsidRPr="00BC13A0">
        <w:t>96,675</w:t>
      </w:r>
      <w:r w:rsidR="00056CCB" w:rsidRPr="00BC13A0">
        <w:t xml:space="preserve"> employees in 202</w:t>
      </w:r>
      <w:r w:rsidR="008D5847" w:rsidRPr="00BC13A0">
        <w:t>1</w:t>
      </w:r>
      <w:r w:rsidR="00056CCB" w:rsidRPr="00BC13A0">
        <w:t xml:space="preserve"> to </w:t>
      </w:r>
      <w:r w:rsidR="008D5847" w:rsidRPr="00BC13A0">
        <w:t>101,020</w:t>
      </w:r>
      <w:r w:rsidR="00056CCB" w:rsidRPr="00BC13A0">
        <w:t xml:space="preserve"> employees in 202</w:t>
      </w:r>
      <w:r w:rsidR="008D5847" w:rsidRPr="00BC13A0">
        <w:t>2</w:t>
      </w:r>
      <w:r w:rsidRPr="00BC13A0">
        <w:t xml:space="preserve">. </w:t>
      </w:r>
    </w:p>
    <w:p w14:paraId="40BBFFE6" w14:textId="16B90C1A" w:rsidR="00E91393" w:rsidRDefault="00585C40" w:rsidP="00B86AC7">
      <w:r>
        <w:t>In 2022, the NDA is pleased to note that t</w:t>
      </w:r>
      <w:r w:rsidR="00973B13" w:rsidRPr="00BC13A0">
        <w:t>his public</w:t>
      </w:r>
      <w:r w:rsidR="00605BDB" w:rsidRPr="00BC13A0">
        <w:t xml:space="preserve"> body</w:t>
      </w:r>
      <w:r w:rsidR="00973B13" w:rsidRPr="00BC13A0">
        <w:t xml:space="preserve"> </w:t>
      </w:r>
      <w:r w:rsidR="00F26316" w:rsidRPr="00BC13A0">
        <w:t xml:space="preserve">also </w:t>
      </w:r>
      <w:r w:rsidR="00056CCB" w:rsidRPr="00BC13A0">
        <w:t>reported an increase in the number (+</w:t>
      </w:r>
      <w:r w:rsidR="008D5847" w:rsidRPr="00BC13A0">
        <w:t>823</w:t>
      </w:r>
      <w:r w:rsidR="000B736B" w:rsidRPr="00BC13A0">
        <w:t>)</w:t>
      </w:r>
      <w:r w:rsidR="00973B13" w:rsidRPr="00BC13A0">
        <w:t xml:space="preserve"> a</w:t>
      </w:r>
      <w:r w:rsidR="000B736B" w:rsidRPr="00BC13A0">
        <w:t xml:space="preserve">nd percentage </w:t>
      </w:r>
      <w:r w:rsidR="00B42D82" w:rsidRPr="00BC13A0">
        <w:t>(+</w:t>
      </w:r>
      <w:r w:rsidR="008D5847" w:rsidRPr="00BC13A0">
        <w:t>0.7</w:t>
      </w:r>
      <w:r w:rsidR="00F26316" w:rsidRPr="00BC13A0">
        <w:t xml:space="preserve">%) </w:t>
      </w:r>
      <w:r w:rsidR="000B736B" w:rsidRPr="00BC13A0">
        <w:t xml:space="preserve">of </w:t>
      </w:r>
      <w:r w:rsidR="005C02F0" w:rsidRPr="00BC13A0">
        <w:t>employees reporting</w:t>
      </w:r>
      <w:r w:rsidR="00056CCB" w:rsidRPr="00BC13A0">
        <w:t xml:space="preserve"> a disability from 202</w:t>
      </w:r>
      <w:r w:rsidR="008D5847" w:rsidRPr="00BC13A0">
        <w:t>1</w:t>
      </w:r>
      <w:r w:rsidR="00056CCB" w:rsidRPr="00BC13A0">
        <w:t xml:space="preserve"> to 202</w:t>
      </w:r>
      <w:r w:rsidR="008D5847" w:rsidRPr="00BC13A0">
        <w:t>2</w:t>
      </w:r>
      <w:r w:rsidR="00056CCB" w:rsidRPr="00BC13A0">
        <w:t>. In 202</w:t>
      </w:r>
      <w:r w:rsidR="008D5847" w:rsidRPr="00BC13A0">
        <w:t>1</w:t>
      </w:r>
      <w:r w:rsidR="000B736B" w:rsidRPr="00BC13A0">
        <w:t xml:space="preserve">, </w:t>
      </w:r>
      <w:r w:rsidR="008D5847" w:rsidRPr="00BC13A0">
        <w:t>1,508</w:t>
      </w:r>
      <w:r w:rsidR="00056CCB" w:rsidRPr="00BC13A0">
        <w:t xml:space="preserve"> (</w:t>
      </w:r>
      <w:r w:rsidR="008D5847" w:rsidRPr="00BC13A0">
        <w:t>1</w:t>
      </w:r>
      <w:r w:rsidR="00056CCB" w:rsidRPr="00BC13A0">
        <w:t>.6</w:t>
      </w:r>
      <w:r w:rsidR="00973B13" w:rsidRPr="00BC13A0">
        <w:t>%) employee</w:t>
      </w:r>
      <w:r w:rsidR="00056CCB" w:rsidRPr="00BC13A0">
        <w:t>s reported a disability, in 202</w:t>
      </w:r>
      <w:r w:rsidR="008D5847" w:rsidRPr="00BC13A0">
        <w:t>2</w:t>
      </w:r>
      <w:r w:rsidR="00056CCB" w:rsidRPr="00BC13A0">
        <w:t xml:space="preserve"> this increased to </w:t>
      </w:r>
      <w:r w:rsidR="008D5847" w:rsidRPr="00BC13A0">
        <w:t>2,331</w:t>
      </w:r>
      <w:r w:rsidR="00056CCB" w:rsidRPr="00BC13A0">
        <w:t xml:space="preserve"> (</w:t>
      </w:r>
      <w:r w:rsidR="008D5847" w:rsidRPr="00BC13A0">
        <w:t>2.3</w:t>
      </w:r>
      <w:r w:rsidR="00973B13" w:rsidRPr="00D43A0A">
        <w:t>%).</w:t>
      </w:r>
      <w:r w:rsidR="000108E0" w:rsidRPr="00D43A0A">
        <w:t xml:space="preserve"> </w:t>
      </w:r>
      <w:r w:rsidR="00D43A0A" w:rsidRPr="00DA2B08">
        <w:t>Although the HSE has not yet met the minimum target of 3%</w:t>
      </w:r>
      <w:r w:rsidR="006C1753">
        <w:t>,</w:t>
      </w:r>
      <w:r w:rsidR="00D43A0A" w:rsidRPr="00DA2B08">
        <w:t xml:space="preserve"> this is the largest number and percentage of</w:t>
      </w:r>
      <w:r w:rsidR="00770915">
        <w:t xml:space="preserve"> </w:t>
      </w:r>
      <w:r w:rsidR="000108E0">
        <w:t>emplo</w:t>
      </w:r>
      <w:r w:rsidR="005278B1">
        <w:t>y</w:t>
      </w:r>
      <w:r w:rsidR="000108E0">
        <w:t xml:space="preserve">ees with a disability that the HSE has </w:t>
      </w:r>
      <w:r w:rsidR="005278B1">
        <w:t xml:space="preserve">ever </w:t>
      </w:r>
      <w:r w:rsidR="000108E0">
        <w:t>reported</w:t>
      </w:r>
      <w:r w:rsidR="00770915">
        <w:t xml:space="preserve"> to date.</w:t>
      </w:r>
      <w:r>
        <w:t xml:space="preserve"> </w:t>
      </w:r>
    </w:p>
    <w:p w14:paraId="4C825E11" w14:textId="5411F9DE" w:rsidR="00D43A0A" w:rsidRPr="00DA2B08" w:rsidRDefault="00D43A0A" w:rsidP="00DA2B08">
      <w:pPr>
        <w:rPr>
          <w:rFonts w:cs="Arial"/>
          <w:szCs w:val="26"/>
          <w:lang w:eastAsia="en-IE"/>
        </w:rPr>
      </w:pPr>
      <w:r w:rsidRPr="00D43A0A">
        <w:rPr>
          <w:rStyle w:val="cf01"/>
          <w:rFonts w:ascii="Gill Sans MT" w:hAnsi="Gill Sans MT"/>
          <w:sz w:val="26"/>
          <w:szCs w:val="26"/>
        </w:rPr>
        <w:t>The increase in the number of employees reporting a disability in the HSE accounted for over half the overall increase in the number of employees reporting a disability in the public sector</w:t>
      </w:r>
      <w:r w:rsidR="006C1753">
        <w:rPr>
          <w:rStyle w:val="cf01"/>
          <w:rFonts w:ascii="Gill Sans MT" w:hAnsi="Gill Sans MT"/>
          <w:sz w:val="26"/>
          <w:szCs w:val="26"/>
        </w:rPr>
        <w:t>,</w:t>
      </w:r>
      <w:r w:rsidRPr="00D43A0A">
        <w:rPr>
          <w:rStyle w:val="cf01"/>
          <w:rFonts w:ascii="Gill Sans MT" w:hAnsi="Gill Sans MT"/>
          <w:sz w:val="26"/>
          <w:szCs w:val="26"/>
        </w:rPr>
        <w:t xml:space="preserve"> thus making a significant contribution to the overall 4.1%. </w:t>
      </w:r>
    </w:p>
    <w:p w14:paraId="52E557EB" w14:textId="245B543B" w:rsidR="00A431D2" w:rsidRDefault="00A40925" w:rsidP="00A431D2">
      <w:pPr>
        <w:pStyle w:val="Heading2"/>
      </w:pPr>
      <w:bookmarkStart w:id="24" w:name="_Toc146113854"/>
      <w:r>
        <w:t xml:space="preserve">Key </w:t>
      </w:r>
      <w:r w:rsidR="00411486">
        <w:t>Points</w:t>
      </w:r>
      <w:r w:rsidR="005C3812">
        <w:t xml:space="preserve"> regarding public bodies’ performance in 2022</w:t>
      </w:r>
      <w:bookmarkEnd w:id="24"/>
    </w:p>
    <w:p w14:paraId="0738761C" w14:textId="5998BD0F" w:rsidR="0069128D" w:rsidRDefault="00A431D2" w:rsidP="0069128D">
      <w:pPr>
        <w:rPr>
          <w:sz w:val="24"/>
          <w:lang w:eastAsia="en-IE"/>
        </w:rPr>
      </w:pPr>
      <w:r>
        <w:t xml:space="preserve">The minimum statutory employment target currently remains at 3%. </w:t>
      </w:r>
      <w:r w:rsidR="0069128D">
        <w:t xml:space="preserve">This will be increasing from 3% to </w:t>
      </w:r>
      <w:r w:rsidR="00403AF2">
        <w:t xml:space="preserve">4.5% in 2024 and </w:t>
      </w:r>
      <w:r w:rsidR="0069128D">
        <w:t>6% by 2025</w:t>
      </w:r>
      <w:r w:rsidR="00E91393">
        <w:t>,</w:t>
      </w:r>
      <w:r w:rsidR="0069128D">
        <w:t xml:space="preserve"> as outlined in the enacted Assisted Decision-Making (Capacity) (Amendment) Act 2022.</w:t>
      </w:r>
    </w:p>
    <w:p w14:paraId="1C17B364" w14:textId="50AB8ADF" w:rsidR="0069128D" w:rsidRDefault="0069128D" w:rsidP="0069128D">
      <w:r>
        <w:t xml:space="preserve">The NDA consistently advises public bodies that the 3% is a minimum compliance target. We highlight that it’s important for them to focus on exceeding this target and progressing towards reaching the new minimum of </w:t>
      </w:r>
      <w:r w:rsidR="007628CF">
        <w:t xml:space="preserve">4.5% by 2024 and </w:t>
      </w:r>
      <w:r>
        <w:t>6%</w:t>
      </w:r>
      <w:r w:rsidR="007628CF">
        <w:t xml:space="preserve"> by 2025</w:t>
      </w:r>
      <w:r>
        <w:t>.</w:t>
      </w:r>
    </w:p>
    <w:p w14:paraId="55F3DEAF" w14:textId="2F1B516C" w:rsidR="00A431D2" w:rsidRDefault="0069128D" w:rsidP="00A40925">
      <w:r>
        <w:t>The NDA is pleased to see the following improvements in public bodies performance:</w:t>
      </w:r>
    </w:p>
    <w:p w14:paraId="69D76B27" w14:textId="77777777" w:rsidR="0014516C" w:rsidRPr="0014516C" w:rsidRDefault="00B86AC7" w:rsidP="005C3812">
      <w:pPr>
        <w:pStyle w:val="Heading3"/>
        <w:rPr>
          <w:color w:val="000000" w:themeColor="text1"/>
        </w:rPr>
      </w:pPr>
      <w:r w:rsidRPr="00F95A36">
        <w:t>Consistent improvement in data quality</w:t>
      </w:r>
    </w:p>
    <w:p w14:paraId="34711F62" w14:textId="4C2934D8" w:rsidR="00411486" w:rsidRPr="005C3812" w:rsidRDefault="00ED2587" w:rsidP="005C3812">
      <w:pPr>
        <w:rPr>
          <w:color w:val="000000" w:themeColor="text1"/>
        </w:rPr>
      </w:pPr>
      <w:r>
        <w:t xml:space="preserve">In 2019, the NDA commissioned a Review of the Part 5 process. One of the objectives of the Review was to improve </w:t>
      </w:r>
      <w:r w:rsidR="00411486">
        <w:t xml:space="preserve">the quality of the Part 5 data we </w:t>
      </w:r>
      <w:r w:rsidR="00411486">
        <w:lastRenderedPageBreak/>
        <w:t xml:space="preserve">received from public bodies. In 2020 </w:t>
      </w:r>
      <w:hyperlink r:id="rId11" w:history="1">
        <w:r w:rsidR="00411486" w:rsidRPr="00114E29">
          <w:rPr>
            <w:rStyle w:val="Hyperlink"/>
          </w:rPr>
          <w:t>a paper detailing the research findings developed as part of the Review and setting out recommendations for next steps</w:t>
        </w:r>
      </w:hyperlink>
      <w:r w:rsidR="00411486" w:rsidRPr="005C3812">
        <w:rPr>
          <w:color w:val="000000" w:themeColor="text1"/>
        </w:rPr>
        <w:t xml:space="preserve"> was produced.</w:t>
      </w:r>
      <w:r w:rsidR="00114E29" w:rsidRPr="005C3812">
        <w:rPr>
          <w:color w:val="000000" w:themeColor="text1"/>
        </w:rPr>
        <w:t xml:space="preserve"> Part 5 is a complex process and changing this process takes time.  Some of the recommendations from the Review require legislative changes. Since 2021, the NDA has therefore been implementing the recommendations from the Review on a phased basis.  </w:t>
      </w:r>
    </w:p>
    <w:p w14:paraId="1A9A5850" w14:textId="78E4D24B" w:rsidR="00ED2587" w:rsidRDefault="00114E29" w:rsidP="005C3812">
      <w:r>
        <w:t xml:space="preserve">One of the key recommendations the NDA </w:t>
      </w:r>
      <w:r w:rsidR="00CE160B">
        <w:t>has implemented was providing Monitoring Committees and public bodies with updated advice on improving their dat</w:t>
      </w:r>
      <w:r w:rsidR="003E1073">
        <w:t>a</w:t>
      </w:r>
      <w:r w:rsidR="00CE160B">
        <w:t xml:space="preserve"> collection processes and e</w:t>
      </w:r>
      <w:r w:rsidR="00F95A36">
        <w:t>nsuring data they submitted was accurate, in line with their statutory obligations under Part 5.</w:t>
      </w:r>
    </w:p>
    <w:p w14:paraId="58891510" w14:textId="77777777" w:rsidR="000B503C" w:rsidRDefault="00971D63" w:rsidP="005C3812">
      <w:r>
        <w:t xml:space="preserve">The NDA is pleased to note that </w:t>
      </w:r>
      <w:r w:rsidR="00CE160B">
        <w:t>public bodies have acted on this guidance and the quality of the Part 5 data we receive from them continues to improve on a consistent basis.</w:t>
      </w:r>
    </w:p>
    <w:p w14:paraId="5A3E92B1" w14:textId="107EA0AC" w:rsidR="008E3E57" w:rsidRDefault="00971D63" w:rsidP="005C3812">
      <w:r>
        <w:t>In the Part 5 return</w:t>
      </w:r>
      <w:r w:rsidR="00F1772C">
        <w:t>s</w:t>
      </w:r>
      <w:r>
        <w:t xml:space="preserve"> for 2022, </w:t>
      </w:r>
      <w:r w:rsidR="00FE3C65">
        <w:t xml:space="preserve">for example, </w:t>
      </w:r>
      <w:r>
        <w:t>the majority of public bodies  provided information regarding</w:t>
      </w:r>
      <w:r w:rsidR="008E3E57">
        <w:t xml:space="preserve"> the </w:t>
      </w:r>
      <w:r w:rsidR="008E3E57" w:rsidRPr="00A94BF0">
        <w:rPr>
          <w:b/>
          <w:bCs/>
        </w:rPr>
        <w:t>models of good practice they had in place</w:t>
      </w:r>
      <w:r w:rsidR="008E3E57">
        <w:t xml:space="preserve"> to meet their obligations under Part 5. These public bodies </w:t>
      </w:r>
      <w:r w:rsidR="00A94BF0">
        <w:t xml:space="preserve">demonstrated </w:t>
      </w:r>
      <w:r w:rsidR="008E3E57">
        <w:t>how these models of good practice helped them achieve or exceed the minimum 3% target regardless of whether they reported a significant increase or decrease in the total number of employees and the number and percentage of employees that reported a disability.</w:t>
      </w:r>
    </w:p>
    <w:p w14:paraId="40A9CAF6" w14:textId="1F9527D0" w:rsidR="00A94BF0" w:rsidRDefault="00A94BF0" w:rsidP="00A94BF0">
      <w:r>
        <w:t>Changes in public bodies’ figure</w:t>
      </w:r>
      <w:r w:rsidR="00CD5456">
        <w:t>s</w:t>
      </w:r>
      <w:r>
        <w:t xml:space="preserve"> can occur for a number of reasons.</w:t>
      </w:r>
    </w:p>
    <w:p w14:paraId="6232C6D9" w14:textId="622D5061" w:rsidR="00A94BF0" w:rsidRDefault="00A94BF0" w:rsidP="00A94BF0">
      <w:r>
        <w:t xml:space="preserve">In 2022, some public bodies reported </w:t>
      </w:r>
      <w:r w:rsidRPr="00E91393">
        <w:rPr>
          <w:b/>
          <w:bCs/>
        </w:rPr>
        <w:t>a significant</w:t>
      </w:r>
      <w:r w:rsidRPr="00F075EB">
        <w:rPr>
          <w:b/>
          <w:bCs/>
        </w:rPr>
        <w:t xml:space="preserve"> increase in the total number of employees </w:t>
      </w:r>
      <w:r>
        <w:t>as they were focussed on recruitment. These public bodies also reported an increase in the total number and percentage of employees reporting a disability; that they had exceeded the minimum 3% target and were focussed on progressing towards the minimum 4.5% by 2024 and 6% target by 2025.</w:t>
      </w:r>
    </w:p>
    <w:p w14:paraId="51034F5E" w14:textId="730F56A3" w:rsidR="00A94BF0" w:rsidRDefault="00A94BF0" w:rsidP="00A94BF0">
      <w:r>
        <w:t xml:space="preserve">Some public bodies reported </w:t>
      </w:r>
      <w:r w:rsidRPr="00E91393">
        <w:rPr>
          <w:b/>
          <w:bCs/>
        </w:rPr>
        <w:t xml:space="preserve">a </w:t>
      </w:r>
      <w:r w:rsidRPr="00F075EB">
        <w:rPr>
          <w:b/>
          <w:bCs/>
        </w:rPr>
        <w:t>significant decrease in the total number of employees</w:t>
      </w:r>
      <w:r>
        <w:rPr>
          <w:b/>
          <w:bCs/>
        </w:rPr>
        <w:t xml:space="preserve"> </w:t>
      </w:r>
      <w:r w:rsidRPr="00F075EB">
        <w:rPr>
          <w:b/>
          <w:bCs/>
        </w:rPr>
        <w:t>and a decrease in the number and percentage of employees reporting a disability</w:t>
      </w:r>
      <w:r>
        <w:t>. These public bodies reported different reasons for th</w:t>
      </w:r>
      <w:r w:rsidR="007F6C95">
        <w:t>is</w:t>
      </w:r>
      <w:r>
        <w:t xml:space="preserve"> decrease in their employee figures which included the disruption the COVID-19 pandemic caused to </w:t>
      </w:r>
      <w:r w:rsidR="006C1753">
        <w:t xml:space="preserve">their </w:t>
      </w:r>
      <w:r>
        <w:t>operations. Depending on the nature of their business, some public bod</w:t>
      </w:r>
      <w:r w:rsidR="00770915">
        <w:t>i</w:t>
      </w:r>
      <w:r>
        <w:t>es had to close down their operations and operate with a significantly reduced work force. These public bodies are only beginning to get their operations running again and are now focussing on recruiting new employees.</w:t>
      </w:r>
    </w:p>
    <w:p w14:paraId="2097665C" w14:textId="7C86B158" w:rsidR="00A94BF0" w:rsidRDefault="00A94BF0" w:rsidP="005C3812">
      <w:r>
        <w:lastRenderedPageBreak/>
        <w:t>Other public bodies reported that they experienced significant organisational restructuring with a subsequent loss of employees via voluntary redundancy, retirements or employees leaving to pursue employment opportunities elsewhere. These public bodies</w:t>
      </w:r>
      <w:r w:rsidR="006C1753">
        <w:t xml:space="preserve"> </w:t>
      </w:r>
      <w:r>
        <w:t xml:space="preserve">reported that because they </w:t>
      </w:r>
      <w:r w:rsidR="00CD5456">
        <w:t>were</w:t>
      </w:r>
      <w:r>
        <w:t xml:space="preserve"> focussing on the logistics of the organisational transformation, they h</w:t>
      </w:r>
      <w:r w:rsidR="00CD5456">
        <w:t>ad</w:t>
      </w:r>
      <w:r>
        <w:t xml:space="preserve"> few resources to recruit new employees to fill existing vacancies.</w:t>
      </w:r>
    </w:p>
    <w:p w14:paraId="17E6E46D" w14:textId="0D09A89D" w:rsidR="000B503C" w:rsidRDefault="008E3E57" w:rsidP="005C3812">
      <w:r>
        <w:t xml:space="preserve">Public bodies also </w:t>
      </w:r>
      <w:r w:rsidR="00971D63">
        <w:t xml:space="preserve">stated that </w:t>
      </w:r>
      <w:r w:rsidR="00A94BF0">
        <w:t xml:space="preserve">their Part 5 </w:t>
      </w:r>
      <w:r w:rsidR="00971D63">
        <w:t xml:space="preserve">data was collected in compliance with </w:t>
      </w:r>
      <w:r w:rsidR="003272C7">
        <w:t xml:space="preserve">the </w:t>
      </w:r>
      <w:r w:rsidR="00971D63">
        <w:t>General Data Protection Regulation</w:t>
      </w:r>
      <w:r w:rsidR="00A94BF0">
        <w:t xml:space="preserve">, as per NDA’s guidance. </w:t>
      </w:r>
      <w:r w:rsidR="00F1772C">
        <w:t>The Monitoring Committe</w:t>
      </w:r>
      <w:r w:rsidR="0056603B">
        <w:t>e</w:t>
      </w:r>
      <w:r w:rsidR="00F1772C">
        <w:t xml:space="preserve">s confirmed that the Part 5 data for 2022 they submitted to the NDA was accurate.  </w:t>
      </w:r>
    </w:p>
    <w:p w14:paraId="78AD396B" w14:textId="2AC150AC" w:rsidR="00FE3C65" w:rsidRDefault="00F95A36" w:rsidP="000B503C">
      <w:r>
        <w:t>The NDA is in the process of implementing the next phase of recommendations from the Review of Part 5 that focus</w:t>
      </w:r>
      <w:r w:rsidR="006C1753">
        <w:t>es</w:t>
      </w:r>
      <w:r>
        <w:t xml:space="preserve"> on obtaining </w:t>
      </w:r>
      <w:r w:rsidR="00FE3C65">
        <w:t>more granular</w:t>
      </w:r>
      <w:r>
        <w:t xml:space="preserve"> data from public bodies </w:t>
      </w:r>
      <w:r w:rsidRPr="004C3D5B">
        <w:t xml:space="preserve">on the measures </w:t>
      </w:r>
      <w:r>
        <w:t xml:space="preserve">they </w:t>
      </w:r>
      <w:r w:rsidRPr="004C3D5B">
        <w:t xml:space="preserve">have in place to </w:t>
      </w:r>
      <w:r w:rsidR="00FE3C65">
        <w:t xml:space="preserve">progress towards </w:t>
      </w:r>
      <w:r w:rsidR="0056603B">
        <w:t>m</w:t>
      </w:r>
      <w:r w:rsidR="00FE3C65">
        <w:t xml:space="preserve">eeting the </w:t>
      </w:r>
      <w:r w:rsidR="0056603B">
        <w:t>m</w:t>
      </w:r>
      <w:r w:rsidR="00FE3C65">
        <w:t>i</w:t>
      </w:r>
      <w:r w:rsidR="00770915">
        <w:t>nimum</w:t>
      </w:r>
      <w:r w:rsidR="00FE3C65">
        <w:t xml:space="preserve"> </w:t>
      </w:r>
      <w:r w:rsidR="00403AF2">
        <w:t xml:space="preserve">4.5% by 2024 and </w:t>
      </w:r>
      <w:r w:rsidR="006C1753">
        <w:t xml:space="preserve">the minimum </w:t>
      </w:r>
      <w:r w:rsidR="00FE3C65">
        <w:t xml:space="preserve">6% target by 2025 </w:t>
      </w:r>
      <w:r w:rsidRPr="004C3D5B">
        <w:t>and</w:t>
      </w:r>
      <w:r w:rsidR="00FE3C65">
        <w:t xml:space="preserve"> the impact these measures are having regarding increasing the recruitment of persons with disabilities in the public sector.</w:t>
      </w:r>
      <w:r>
        <w:t xml:space="preserve"> </w:t>
      </w:r>
      <w:r w:rsidR="00480B4A">
        <w:t>Providing public bodies with the skills to continuously improve their data collection skills including improving employee response rates to their surveys will also be a key recommendation that the NDA will be implementing.</w:t>
      </w:r>
    </w:p>
    <w:p w14:paraId="2CB19819" w14:textId="1A93157E" w:rsidR="00A94BF0" w:rsidRDefault="00F95A36" w:rsidP="00A94BF0">
      <w:r>
        <w:t xml:space="preserve">These recommendations will also focus on implementing </w:t>
      </w:r>
      <w:r w:rsidRPr="004C3D5B">
        <w:t>a more user friendly, streamlined, efficient and feasible process overall for the NDA to manage.</w:t>
      </w:r>
      <w:r>
        <w:t xml:space="preserve"> </w:t>
      </w:r>
      <w:r w:rsidR="0014516C">
        <w:t xml:space="preserve">A summary of the recommendations that we will be implementing </w:t>
      </w:r>
      <w:r w:rsidR="00E91393">
        <w:t xml:space="preserve">is </w:t>
      </w:r>
      <w:r w:rsidR="0014516C">
        <w:t xml:space="preserve">detailed in </w:t>
      </w:r>
      <w:r w:rsidR="0014516C" w:rsidRPr="00586740">
        <w:rPr>
          <w:b/>
          <w:bCs/>
        </w:rPr>
        <w:t xml:space="preserve">Section </w:t>
      </w:r>
      <w:r w:rsidR="002858EC">
        <w:rPr>
          <w:b/>
          <w:bCs/>
        </w:rPr>
        <w:t>1.3</w:t>
      </w:r>
      <w:r w:rsidR="0014516C" w:rsidRPr="005C3812">
        <w:t xml:space="preserve"> of this report.</w:t>
      </w:r>
    </w:p>
    <w:p w14:paraId="44ED52CA" w14:textId="33505AA1" w:rsidR="00A94BF0" w:rsidRDefault="00A94BF0" w:rsidP="00A94BF0">
      <w:pPr>
        <w:pStyle w:val="Heading3"/>
      </w:pPr>
      <w:r>
        <w:t xml:space="preserve">Models of Good Practice </w:t>
      </w:r>
    </w:p>
    <w:p w14:paraId="60C0B8E9" w14:textId="5D350AF4" w:rsidR="00A94BF0" w:rsidRDefault="00A94BF0" w:rsidP="00A94BF0">
      <w:r w:rsidRPr="008E3E57">
        <w:rPr>
          <w:b/>
          <w:bCs/>
        </w:rPr>
        <w:t>Section 2.4 of this report</w:t>
      </w:r>
      <w:r>
        <w:t xml:space="preserve"> provides a brief summary of models of good practice that public bodies and Government Departments have implemented to meet their obligations under Part 5</w:t>
      </w:r>
      <w:r w:rsidR="00A47B7A">
        <w:t>, as per the NDA’s advice and guidance.</w:t>
      </w:r>
    </w:p>
    <w:p w14:paraId="5D34BF4A" w14:textId="7926C216" w:rsidR="00A94BF0" w:rsidRDefault="00A94BF0" w:rsidP="00A94BF0">
      <w:r>
        <w:t xml:space="preserve">These models of good practice help public bodies </w:t>
      </w:r>
      <w:r w:rsidR="00A47B7A">
        <w:t>to c</w:t>
      </w:r>
      <w:r>
        <w:t>reate Equitable Diverse and Inclusive (EDI) work cultures that</w:t>
      </w:r>
      <w:r w:rsidR="00A47B7A">
        <w:t xml:space="preserve"> are focussed on increasing the recruitment and retention of persons with disabilities; supporting employees with disabilities to feel comfortable sharing their disability status and improving their data collection processes.</w:t>
      </w:r>
    </w:p>
    <w:p w14:paraId="7A293F43" w14:textId="55C822C2" w:rsidR="002808C4" w:rsidRDefault="003E01C9" w:rsidP="002808C4">
      <w:r>
        <w:t>Implementing these models of good practice has resulted in some public bodies reporting an increase in the number and percentage of employees reporting and</w:t>
      </w:r>
      <w:r w:rsidR="002808C4">
        <w:t xml:space="preserve"> demonstrating the progress they are making towards reaching the minimum 4.5% by 2024 and </w:t>
      </w:r>
      <w:r w:rsidR="006C1753">
        <w:t xml:space="preserve">the minimum </w:t>
      </w:r>
      <w:r w:rsidR="002808C4">
        <w:t>6% target by 2025.</w:t>
      </w:r>
    </w:p>
    <w:p w14:paraId="51A3B507" w14:textId="0E1F9A7A" w:rsidR="00A94BF0" w:rsidRDefault="002808C4" w:rsidP="00A94BF0">
      <w:r>
        <w:lastRenderedPageBreak/>
        <w:t xml:space="preserve">For some public bodies that have experienced </w:t>
      </w:r>
      <w:r w:rsidR="00576686">
        <w:t>significant organisational restructuring and/or considerable disruption to their operations due to the COVID-19 pandemic, having models of good practice in place has helped them to demonstrate that despite these events they are still working towards meeting their obligations under Part 5</w:t>
      </w:r>
      <w:r w:rsidR="00D012C4">
        <w:t>.</w:t>
      </w:r>
    </w:p>
    <w:p w14:paraId="337AC800" w14:textId="7CEC0F3A" w:rsidR="001B3DD4" w:rsidRPr="001B3DD4" w:rsidRDefault="001B3DD4" w:rsidP="00F64E08">
      <w:pPr>
        <w:pStyle w:val="Heading2"/>
        <w:rPr>
          <w:lang w:eastAsia="en-IE"/>
        </w:rPr>
      </w:pPr>
      <w:bookmarkStart w:id="25" w:name="_Toc146113855"/>
      <w:r>
        <w:rPr>
          <w:lang w:eastAsia="en-IE"/>
        </w:rPr>
        <w:t xml:space="preserve">Public bodies that didn’t make the  minimum 3% </w:t>
      </w:r>
      <w:r w:rsidR="00646039">
        <w:rPr>
          <w:lang w:eastAsia="en-IE"/>
        </w:rPr>
        <w:t>t</w:t>
      </w:r>
      <w:r>
        <w:rPr>
          <w:lang w:eastAsia="en-IE"/>
        </w:rPr>
        <w:t>arget</w:t>
      </w:r>
      <w:bookmarkEnd w:id="25"/>
    </w:p>
    <w:p w14:paraId="294942E4" w14:textId="69057317" w:rsidR="007458AB" w:rsidRPr="003343F5" w:rsidRDefault="00E21011" w:rsidP="00A017F6">
      <w:r w:rsidRPr="003343F5">
        <w:rPr>
          <w:lang w:eastAsia="en-IE"/>
        </w:rPr>
        <w:t xml:space="preserve">The number of public bodies that did not make the minimum 3% target decreased from </w:t>
      </w:r>
      <w:r w:rsidRPr="003343F5">
        <w:t xml:space="preserve">27 (12.7%) in 2021 to 20 (9.4%) in 2022. </w:t>
      </w:r>
    </w:p>
    <w:p w14:paraId="7EFB94A7" w14:textId="68FC6DEF" w:rsidR="00C21B88" w:rsidRPr="003343F5" w:rsidRDefault="00E21011" w:rsidP="00A017F6">
      <w:pPr>
        <w:rPr>
          <w:lang w:eastAsia="en-IE"/>
        </w:rPr>
      </w:pPr>
      <w:r w:rsidRPr="003343F5">
        <w:t>These public bodies reported different reasons for not meeting the minimum 3% target</w:t>
      </w:r>
      <w:r w:rsidR="00B2553D" w:rsidRPr="003343F5">
        <w:t>,</w:t>
      </w:r>
      <w:r w:rsidR="009C01B9" w:rsidRPr="003343F5">
        <w:t xml:space="preserve"> </w:t>
      </w:r>
      <w:r w:rsidRPr="003343F5">
        <w:t xml:space="preserve">including </w:t>
      </w:r>
      <w:r w:rsidR="00C77A24" w:rsidRPr="003343F5">
        <w:rPr>
          <w:lang w:eastAsia="en-IE"/>
        </w:rPr>
        <w:t xml:space="preserve">merging with other public bodies; experiencing significant organisational restructuring; returning to normal operations after the COVID-19 pandemic. The NDA acknowledges that these events can have an impact on a public body’s ability to meet its obligations under Part </w:t>
      </w:r>
      <w:r w:rsidR="00C21B88" w:rsidRPr="003343F5">
        <w:rPr>
          <w:lang w:eastAsia="en-IE"/>
        </w:rPr>
        <w:t>5. Employees with disabilities retiring or leaving a public body and employees choosing not to share their disability status can also impact a public body’s ability to meet the minimum 3% target.</w:t>
      </w:r>
      <w:r w:rsidR="009E14AD" w:rsidRPr="003343F5">
        <w:rPr>
          <w:lang w:eastAsia="en-IE"/>
        </w:rPr>
        <w:t xml:space="preserve">  </w:t>
      </w:r>
    </w:p>
    <w:p w14:paraId="53169E4A" w14:textId="77777777" w:rsidR="002D2A3D" w:rsidRPr="003343F5" w:rsidRDefault="002D2A3D" w:rsidP="002D2A3D">
      <w:pPr>
        <w:rPr>
          <w:sz w:val="24"/>
        </w:rPr>
      </w:pPr>
      <w:r w:rsidRPr="003343F5">
        <w:rPr>
          <w:szCs w:val="26"/>
        </w:rPr>
        <w:t xml:space="preserve">The NDA acknowledges that if a public body is very small, with less than 50 staff, then its size does impact its ability to make the minimum 3% target. </w:t>
      </w:r>
      <w:r w:rsidRPr="003343F5">
        <w:t>The departure of a staff member with a disability through retirement, via career break, or through a voluntary redundancy scheme, is one of the main factors that has prevented small public bodies from reaching the minimum 3% target. Losing (or hiring) one extra staff member for bodies of this size represents the difference between meeting and not meeting the minimum compliance target of 3%</w:t>
      </w:r>
      <w:r w:rsidRPr="003343F5">
        <w:rPr>
          <w:sz w:val="24"/>
        </w:rPr>
        <w:t>.</w:t>
      </w:r>
    </w:p>
    <w:p w14:paraId="25C36BDB" w14:textId="77777777" w:rsidR="002D2A3D" w:rsidRPr="003343F5" w:rsidRDefault="002D2A3D" w:rsidP="002D2A3D">
      <w:pPr>
        <w:rPr>
          <w:b/>
          <w:color w:val="CC3399"/>
          <w:sz w:val="28"/>
          <w:szCs w:val="28"/>
        </w:rPr>
      </w:pPr>
      <w:r w:rsidRPr="003343F5">
        <w:t xml:space="preserve">In public bodies of this small size, employees with disabilities may also not be comfortable sharing their disability status and this can also impact these public bodies’ ability to accurately report on </w:t>
      </w:r>
      <w:r w:rsidRPr="003343F5">
        <w:rPr>
          <w:color w:val="000000"/>
        </w:rPr>
        <w:t>meeting</w:t>
      </w:r>
      <w:r w:rsidRPr="003343F5">
        <w:rPr>
          <w:color w:val="FF0000"/>
        </w:rPr>
        <w:t xml:space="preserve"> </w:t>
      </w:r>
      <w:r w:rsidRPr="003343F5">
        <w:t>their obligations under Part 5 of the Disability Act 2005.</w:t>
      </w:r>
    </w:p>
    <w:p w14:paraId="08F8D021" w14:textId="62DDA005" w:rsidR="002D2A3D" w:rsidRPr="003343F5" w:rsidRDefault="002D2A3D" w:rsidP="00A017F6">
      <w:pPr>
        <w:rPr>
          <w:lang w:eastAsia="en-IE"/>
        </w:rPr>
      </w:pPr>
      <w:r w:rsidRPr="003343F5">
        <w:rPr>
          <w:lang w:eastAsia="en-IE"/>
        </w:rPr>
        <w:t xml:space="preserve">The NDA has consistently provided public bodies with advice on how to increase the recruitment of persons with disabilities and create work cultures where employees feel more supported  sharing their disability status.  </w:t>
      </w:r>
    </w:p>
    <w:p w14:paraId="1A630996" w14:textId="79EA450A" w:rsidR="00C863F4" w:rsidRPr="003343F5" w:rsidRDefault="002D2A3D" w:rsidP="00C863F4">
      <w:pPr>
        <w:rPr>
          <w:lang w:eastAsia="en-IE"/>
        </w:rPr>
      </w:pPr>
      <w:r w:rsidRPr="003343F5">
        <w:rPr>
          <w:lang w:eastAsia="en-IE"/>
        </w:rPr>
        <w:t xml:space="preserve">However, there are situations where </w:t>
      </w:r>
      <w:r w:rsidR="00C863F4" w:rsidRPr="003343F5">
        <w:rPr>
          <w:lang w:eastAsia="en-IE"/>
        </w:rPr>
        <w:t xml:space="preserve">some </w:t>
      </w:r>
      <w:r w:rsidRPr="003343F5">
        <w:rPr>
          <w:lang w:eastAsia="en-IE"/>
        </w:rPr>
        <w:t xml:space="preserve">public bodies with over 50 employees report that they have not made the minimum 3% target for two consecutive years. </w:t>
      </w:r>
      <w:r w:rsidR="00C863F4" w:rsidRPr="003343F5">
        <w:rPr>
          <w:lang w:eastAsia="en-IE"/>
        </w:rPr>
        <w:t>In their Part 5 returns for these specific two year periods</w:t>
      </w:r>
      <w:r w:rsidR="006C1753">
        <w:rPr>
          <w:lang w:eastAsia="en-IE"/>
        </w:rPr>
        <w:t>,</w:t>
      </w:r>
      <w:r w:rsidR="00C863F4" w:rsidRPr="003343F5">
        <w:rPr>
          <w:lang w:eastAsia="en-IE"/>
        </w:rPr>
        <w:t xml:space="preserve"> some of these public bodies have also provided little evidence that they had measures in place to increase the recruitment and retention of persons with disabilities; supporting </w:t>
      </w:r>
      <w:r w:rsidR="00C863F4" w:rsidRPr="003343F5">
        <w:rPr>
          <w:lang w:eastAsia="en-IE"/>
        </w:rPr>
        <w:lastRenderedPageBreak/>
        <w:t xml:space="preserve">employees to feel comfortable sharing their disability status and improving their data collection processes.  </w:t>
      </w:r>
    </w:p>
    <w:p w14:paraId="7A21118C" w14:textId="2F1EE0FF" w:rsidR="00C863F4" w:rsidRPr="003343F5" w:rsidRDefault="00C863F4" w:rsidP="00A017F6">
      <w:pPr>
        <w:rPr>
          <w:szCs w:val="26"/>
          <w:lang w:eastAsia="en-IE"/>
        </w:rPr>
      </w:pPr>
      <w:r w:rsidRPr="003343F5">
        <w:rPr>
          <w:szCs w:val="26"/>
          <w:lang w:eastAsia="en-IE"/>
        </w:rPr>
        <w:t xml:space="preserve">Under Section 49 of the Disability Act 2005, the NDA </w:t>
      </w:r>
      <w:r w:rsidRPr="003343F5">
        <w:rPr>
          <w:szCs w:val="26"/>
        </w:rPr>
        <w:t>can request further information from these public bodies to determine if they had measures in place to meet their obligations under Part 5.</w:t>
      </w:r>
      <w:r w:rsidR="00F37ED9" w:rsidRPr="003343F5">
        <w:rPr>
          <w:szCs w:val="26"/>
          <w:lang w:eastAsia="en-IE"/>
        </w:rPr>
        <w:t xml:space="preserve"> </w:t>
      </w:r>
      <w:r w:rsidR="00F37ED9" w:rsidRPr="003343F5">
        <w:rPr>
          <w:b/>
          <w:bCs/>
          <w:szCs w:val="26"/>
          <w:lang w:eastAsia="en-IE"/>
        </w:rPr>
        <w:t>Section 3.1 of this report</w:t>
      </w:r>
      <w:r w:rsidR="00F37ED9" w:rsidRPr="003343F5">
        <w:rPr>
          <w:szCs w:val="26"/>
          <w:lang w:eastAsia="en-IE"/>
        </w:rPr>
        <w:t xml:space="preserve"> provides a detailed summary on the process the NDA uses to determine whether a public body is complaint under Part</w:t>
      </w:r>
      <w:r w:rsidR="002157E5" w:rsidRPr="003343F5">
        <w:rPr>
          <w:szCs w:val="26"/>
          <w:lang w:eastAsia="en-IE"/>
        </w:rPr>
        <w:t xml:space="preserve"> 5.</w:t>
      </w:r>
    </w:p>
    <w:p w14:paraId="065A865F" w14:textId="2B67854C" w:rsidR="002D2A3D" w:rsidRPr="003343F5" w:rsidRDefault="00C863F4" w:rsidP="00A017F6">
      <w:pPr>
        <w:rPr>
          <w:szCs w:val="26"/>
          <w:lang w:eastAsia="en-IE"/>
        </w:rPr>
      </w:pPr>
      <w:r w:rsidRPr="003343F5">
        <w:rPr>
          <w:szCs w:val="26"/>
          <w:lang w:eastAsia="en-IE"/>
        </w:rPr>
        <w:t>I</w:t>
      </w:r>
      <w:r w:rsidR="00646039" w:rsidRPr="003343F5">
        <w:rPr>
          <w:szCs w:val="26"/>
          <w:lang w:eastAsia="en-IE"/>
        </w:rPr>
        <w:t xml:space="preserve">t is therefore essential that public bodies </w:t>
      </w:r>
      <w:r w:rsidRPr="003343F5">
        <w:rPr>
          <w:szCs w:val="26"/>
          <w:lang w:eastAsia="en-IE"/>
        </w:rPr>
        <w:t>demonstrate that they</w:t>
      </w:r>
      <w:r w:rsidR="007F6C95">
        <w:rPr>
          <w:szCs w:val="26"/>
          <w:lang w:eastAsia="en-IE"/>
        </w:rPr>
        <w:t xml:space="preserve"> have</w:t>
      </w:r>
      <w:r w:rsidR="00646039" w:rsidRPr="003343F5">
        <w:rPr>
          <w:szCs w:val="26"/>
          <w:lang w:eastAsia="en-IE"/>
        </w:rPr>
        <w:t xml:space="preserve"> models of good practice to help them progress through mergers</w:t>
      </w:r>
      <w:r w:rsidR="00B2553D" w:rsidRPr="003343F5">
        <w:rPr>
          <w:szCs w:val="26"/>
          <w:lang w:eastAsia="en-IE"/>
        </w:rPr>
        <w:t xml:space="preserve"> and </w:t>
      </w:r>
      <w:r w:rsidR="00646039" w:rsidRPr="003343F5">
        <w:rPr>
          <w:szCs w:val="26"/>
          <w:lang w:eastAsia="en-IE"/>
        </w:rPr>
        <w:t xml:space="preserve">significant organisational </w:t>
      </w:r>
      <w:r w:rsidR="00E21011" w:rsidRPr="003343F5">
        <w:rPr>
          <w:szCs w:val="26"/>
          <w:lang w:eastAsia="en-IE"/>
        </w:rPr>
        <w:t xml:space="preserve">changes and focus on progressing towards meeting the minimum </w:t>
      </w:r>
      <w:r w:rsidR="006A602E" w:rsidRPr="003343F5">
        <w:rPr>
          <w:szCs w:val="26"/>
          <w:lang w:eastAsia="en-IE"/>
        </w:rPr>
        <w:t xml:space="preserve">4.5% and </w:t>
      </w:r>
      <w:r w:rsidR="00E21011" w:rsidRPr="003343F5">
        <w:rPr>
          <w:szCs w:val="26"/>
          <w:lang w:eastAsia="en-IE"/>
        </w:rPr>
        <w:t>6% target</w:t>
      </w:r>
      <w:r w:rsidR="006A602E" w:rsidRPr="003343F5">
        <w:rPr>
          <w:szCs w:val="26"/>
          <w:lang w:eastAsia="en-IE"/>
        </w:rPr>
        <w:t>s</w:t>
      </w:r>
      <w:r w:rsidR="006C1753">
        <w:rPr>
          <w:szCs w:val="26"/>
          <w:lang w:eastAsia="en-IE"/>
        </w:rPr>
        <w:t>.</w:t>
      </w:r>
    </w:p>
    <w:p w14:paraId="56710045" w14:textId="1274DAD1" w:rsidR="00662D89" w:rsidRPr="003343F5" w:rsidRDefault="00E21011" w:rsidP="00A017F6">
      <w:pPr>
        <w:rPr>
          <w:szCs w:val="26"/>
          <w:lang w:eastAsia="en-IE"/>
        </w:rPr>
      </w:pPr>
      <w:r w:rsidRPr="003343F5">
        <w:rPr>
          <w:szCs w:val="26"/>
          <w:lang w:eastAsia="en-IE"/>
        </w:rPr>
        <w:t xml:space="preserve">The NDA will continue to work with public bodies </w:t>
      </w:r>
      <w:r w:rsidR="00B2553D" w:rsidRPr="003343F5">
        <w:rPr>
          <w:szCs w:val="26"/>
          <w:lang w:eastAsia="en-IE"/>
        </w:rPr>
        <w:t>experiencing difficulties in meeting their obligations under Part 5</w:t>
      </w:r>
      <w:r w:rsidR="00005D40" w:rsidRPr="003343F5">
        <w:rPr>
          <w:szCs w:val="26"/>
          <w:lang w:eastAsia="en-IE"/>
        </w:rPr>
        <w:t xml:space="preserve">. However, the NDA will advise these public bodies </w:t>
      </w:r>
      <w:r w:rsidRPr="003343F5">
        <w:rPr>
          <w:szCs w:val="26"/>
          <w:lang w:eastAsia="en-IE"/>
        </w:rPr>
        <w:t>that we expect a</w:t>
      </w:r>
      <w:r w:rsidR="00F64E08" w:rsidRPr="003343F5">
        <w:rPr>
          <w:szCs w:val="26"/>
          <w:lang w:eastAsia="en-IE"/>
        </w:rPr>
        <w:t xml:space="preserve"> considerable improvement in their performance in the next two years.</w:t>
      </w:r>
    </w:p>
    <w:p w14:paraId="66B6C7F5" w14:textId="3B319F6D" w:rsidR="00662D89" w:rsidRPr="00A40925" w:rsidRDefault="00662D89" w:rsidP="00C863F4">
      <w:pPr>
        <w:pStyle w:val="Heading3"/>
      </w:pPr>
      <w:r w:rsidRPr="00A40925">
        <w:t xml:space="preserve">NDA engagement with </w:t>
      </w:r>
      <w:r w:rsidR="003343F5">
        <w:t xml:space="preserve">the </w:t>
      </w:r>
      <w:r w:rsidRPr="00A40925">
        <w:t>HSE</w:t>
      </w:r>
    </w:p>
    <w:p w14:paraId="72486D4C" w14:textId="15305368" w:rsidR="00F37ED9" w:rsidRDefault="00F37ED9" w:rsidP="00662D89">
      <w:pPr>
        <w:rPr>
          <w:color w:val="0D0D0D" w:themeColor="text1" w:themeTint="F2"/>
        </w:rPr>
      </w:pPr>
      <w:r>
        <w:rPr>
          <w:color w:val="0D0D0D" w:themeColor="text1" w:themeTint="F2"/>
        </w:rPr>
        <w:t>The NDA’s strategic engagement with the HSE exemplifies how consistent advice and support combined with an expectation of improvement in performance can help a public body demonstrate some progress in this regard.</w:t>
      </w:r>
    </w:p>
    <w:p w14:paraId="0D21F9D1" w14:textId="7F06FA37" w:rsidR="00662D89" w:rsidRPr="000108E0" w:rsidRDefault="00F37ED9" w:rsidP="00662D89">
      <w:pPr>
        <w:rPr>
          <w:color w:val="0D0D0D" w:themeColor="text1" w:themeTint="F2"/>
        </w:rPr>
      </w:pPr>
      <w:r>
        <w:rPr>
          <w:color w:val="0D0D0D" w:themeColor="text1" w:themeTint="F2"/>
        </w:rPr>
        <w:t xml:space="preserve">The NDA </w:t>
      </w:r>
      <w:r w:rsidR="00662D89" w:rsidRPr="000108E0">
        <w:rPr>
          <w:color w:val="0D0D0D" w:themeColor="text1" w:themeTint="F2"/>
        </w:rPr>
        <w:t>has consistently advised the HSE on measures it could implement to develop data collection processes that can accurately reflect the impact of the actions this public body is taking, to create an inclusive work environment where employees feel supported in sharing their disability status and where the recruitment and retention of persons with disabilities is also promoted and supported.</w:t>
      </w:r>
    </w:p>
    <w:p w14:paraId="6B798B68" w14:textId="0A8D7B7A" w:rsidR="00662D89" w:rsidRDefault="00662D89" w:rsidP="00662D89">
      <w:pPr>
        <w:rPr>
          <w:color w:val="0D0D0D" w:themeColor="text1" w:themeTint="F2"/>
        </w:rPr>
      </w:pPr>
      <w:r w:rsidRPr="000108E0">
        <w:rPr>
          <w:color w:val="0D0D0D" w:themeColor="text1" w:themeTint="F2"/>
        </w:rPr>
        <w:t xml:space="preserve">Since June 2020, the NDA has initiated and engaged in a strategic process of engagement with a designated team that has been appointed in the HSE to focus on improving this public body’s performance under Part 5. The NDA has </w:t>
      </w:r>
      <w:r>
        <w:rPr>
          <w:color w:val="0D0D0D" w:themeColor="text1" w:themeTint="F2"/>
        </w:rPr>
        <w:t>quarterly meetings with this team via Zoom and is pleased to note that the HSE is making some progress towards meeting its obligations under Part 5 as detailed  in Table 1.</w:t>
      </w:r>
    </w:p>
    <w:p w14:paraId="70C6B07D" w14:textId="116D9BF5" w:rsidR="002A13BC" w:rsidRDefault="002A13BC" w:rsidP="00662D89">
      <w:pPr>
        <w:rPr>
          <w:color w:val="0D0D0D" w:themeColor="text1" w:themeTint="F2"/>
        </w:rPr>
      </w:pPr>
    </w:p>
    <w:p w14:paraId="3504B2E3" w14:textId="104F80BD" w:rsidR="002A13BC" w:rsidRDefault="002A13BC" w:rsidP="00662D89">
      <w:pPr>
        <w:rPr>
          <w:color w:val="0D0D0D" w:themeColor="text1" w:themeTint="F2"/>
        </w:rPr>
      </w:pPr>
    </w:p>
    <w:p w14:paraId="550A9712" w14:textId="77777777" w:rsidR="002A13BC" w:rsidRPr="000108E0" w:rsidRDefault="002A13BC" w:rsidP="00662D89">
      <w:pPr>
        <w:rPr>
          <w:color w:val="0D0D0D" w:themeColor="text1" w:themeTint="F2"/>
        </w:rPr>
      </w:pPr>
    </w:p>
    <w:p w14:paraId="30E615BC" w14:textId="77777777" w:rsidR="00662D89" w:rsidRPr="004A4B7A" w:rsidRDefault="00662D89" w:rsidP="00662D89">
      <w:pPr>
        <w:pStyle w:val="TableTitle"/>
        <w:rPr>
          <w:color w:val="0D0D0D" w:themeColor="text1" w:themeTint="F2"/>
        </w:rPr>
      </w:pPr>
      <w:r w:rsidRPr="004A4B7A">
        <w:rPr>
          <w:color w:val="0D0D0D" w:themeColor="text1" w:themeTint="F2"/>
        </w:rPr>
        <w:lastRenderedPageBreak/>
        <w:t>Table 1. Summary of HSE’s performance 2019 – 202</w:t>
      </w:r>
      <w:r>
        <w:rPr>
          <w:color w:val="0D0D0D" w:themeColor="text1" w:themeTint="F2"/>
        </w:rPr>
        <w:t>2</w:t>
      </w:r>
    </w:p>
    <w:tbl>
      <w:tblPr>
        <w:tblStyle w:val="TableGrid1"/>
        <w:tblW w:w="8640" w:type="dxa"/>
        <w:tblLayout w:type="fixed"/>
        <w:tblLook w:val="0020" w:firstRow="1" w:lastRow="0" w:firstColumn="0" w:lastColumn="0" w:noHBand="0" w:noVBand="0"/>
      </w:tblPr>
      <w:tblGrid>
        <w:gridCol w:w="1728"/>
        <w:gridCol w:w="1728"/>
        <w:gridCol w:w="1728"/>
        <w:gridCol w:w="1728"/>
        <w:gridCol w:w="1728"/>
      </w:tblGrid>
      <w:tr w:rsidR="00662D89" w:rsidRPr="004A4B7A" w14:paraId="1FC00333" w14:textId="77777777" w:rsidTr="004029C8">
        <w:tc>
          <w:tcPr>
            <w:tcW w:w="1728" w:type="dxa"/>
          </w:tcPr>
          <w:p w14:paraId="05DC9801" w14:textId="77777777" w:rsidR="00662D89" w:rsidRPr="004A4B7A" w:rsidRDefault="00662D89" w:rsidP="009448C6">
            <w:pPr>
              <w:pStyle w:val="TableHead"/>
              <w:jc w:val="right"/>
              <w:rPr>
                <w:color w:val="0D0D0D" w:themeColor="text1" w:themeTint="F2"/>
              </w:rPr>
            </w:pPr>
          </w:p>
        </w:tc>
        <w:tc>
          <w:tcPr>
            <w:tcW w:w="1728" w:type="dxa"/>
          </w:tcPr>
          <w:p w14:paraId="7AC01582" w14:textId="77777777" w:rsidR="00662D89" w:rsidRPr="004A4B7A" w:rsidRDefault="00662D89" w:rsidP="009448C6">
            <w:pPr>
              <w:pStyle w:val="TableHead"/>
              <w:jc w:val="right"/>
              <w:rPr>
                <w:color w:val="0D0D0D" w:themeColor="text1" w:themeTint="F2"/>
                <w:sz w:val="22"/>
                <w:szCs w:val="22"/>
              </w:rPr>
            </w:pPr>
            <w:r w:rsidRPr="004A4B7A">
              <w:rPr>
                <w:color w:val="0D0D0D" w:themeColor="text1" w:themeTint="F2"/>
                <w:sz w:val="22"/>
                <w:szCs w:val="22"/>
              </w:rPr>
              <w:t>2019</w:t>
            </w:r>
          </w:p>
        </w:tc>
        <w:tc>
          <w:tcPr>
            <w:tcW w:w="1728" w:type="dxa"/>
          </w:tcPr>
          <w:p w14:paraId="36061071" w14:textId="77777777" w:rsidR="00662D89" w:rsidRPr="004A4B7A" w:rsidRDefault="00662D89" w:rsidP="009448C6">
            <w:pPr>
              <w:pStyle w:val="TableHead"/>
              <w:jc w:val="right"/>
              <w:rPr>
                <w:color w:val="0D0D0D" w:themeColor="text1" w:themeTint="F2"/>
                <w:sz w:val="22"/>
                <w:szCs w:val="22"/>
              </w:rPr>
            </w:pPr>
            <w:r w:rsidRPr="004A4B7A">
              <w:rPr>
                <w:color w:val="0D0D0D" w:themeColor="text1" w:themeTint="F2"/>
                <w:sz w:val="22"/>
                <w:szCs w:val="22"/>
              </w:rPr>
              <w:t>2020</w:t>
            </w:r>
          </w:p>
        </w:tc>
        <w:tc>
          <w:tcPr>
            <w:tcW w:w="1728" w:type="dxa"/>
          </w:tcPr>
          <w:p w14:paraId="21B18E67" w14:textId="77777777" w:rsidR="00662D89" w:rsidRPr="004A4B7A" w:rsidRDefault="00662D89" w:rsidP="009448C6">
            <w:pPr>
              <w:pStyle w:val="TableHead"/>
              <w:jc w:val="right"/>
              <w:rPr>
                <w:color w:val="0D0D0D" w:themeColor="text1" w:themeTint="F2"/>
                <w:sz w:val="22"/>
                <w:szCs w:val="22"/>
              </w:rPr>
            </w:pPr>
            <w:r w:rsidRPr="004A4B7A">
              <w:rPr>
                <w:color w:val="0D0D0D" w:themeColor="text1" w:themeTint="F2"/>
                <w:sz w:val="22"/>
                <w:szCs w:val="22"/>
              </w:rPr>
              <w:t>2021</w:t>
            </w:r>
          </w:p>
        </w:tc>
        <w:tc>
          <w:tcPr>
            <w:tcW w:w="1728" w:type="dxa"/>
          </w:tcPr>
          <w:p w14:paraId="33B0C69B" w14:textId="77777777" w:rsidR="00662D89" w:rsidRPr="004A4B7A" w:rsidRDefault="00662D89" w:rsidP="009448C6">
            <w:pPr>
              <w:pStyle w:val="TableHead"/>
              <w:jc w:val="right"/>
              <w:rPr>
                <w:color w:val="0D0D0D" w:themeColor="text1" w:themeTint="F2"/>
                <w:sz w:val="22"/>
                <w:szCs w:val="22"/>
              </w:rPr>
            </w:pPr>
            <w:r>
              <w:rPr>
                <w:color w:val="0D0D0D" w:themeColor="text1" w:themeTint="F2"/>
                <w:sz w:val="22"/>
                <w:szCs w:val="22"/>
              </w:rPr>
              <w:t>2022</w:t>
            </w:r>
          </w:p>
        </w:tc>
      </w:tr>
      <w:tr w:rsidR="00662D89" w:rsidRPr="004A4B7A" w14:paraId="504D1FF6" w14:textId="77777777" w:rsidTr="004029C8">
        <w:tc>
          <w:tcPr>
            <w:tcW w:w="1728" w:type="dxa"/>
          </w:tcPr>
          <w:p w14:paraId="24477BAB" w14:textId="77777777" w:rsidR="00662D89" w:rsidRPr="004A4B7A" w:rsidRDefault="00662D89" w:rsidP="009448C6">
            <w:pPr>
              <w:spacing w:after="0"/>
              <w:rPr>
                <w:b/>
                <w:color w:val="0D0D0D" w:themeColor="text1" w:themeTint="F2"/>
                <w:sz w:val="22"/>
                <w:szCs w:val="22"/>
              </w:rPr>
            </w:pPr>
            <w:r w:rsidRPr="004A4B7A">
              <w:rPr>
                <w:b/>
                <w:color w:val="0D0D0D" w:themeColor="text1" w:themeTint="F2"/>
                <w:sz w:val="22"/>
                <w:szCs w:val="22"/>
              </w:rPr>
              <w:t>Total Number of employees</w:t>
            </w:r>
          </w:p>
        </w:tc>
        <w:tc>
          <w:tcPr>
            <w:tcW w:w="1728" w:type="dxa"/>
          </w:tcPr>
          <w:p w14:paraId="6560152D" w14:textId="77777777" w:rsidR="00662D89" w:rsidRPr="004A4B7A" w:rsidRDefault="00662D89" w:rsidP="009448C6">
            <w:pPr>
              <w:pStyle w:val="TableCell"/>
              <w:jc w:val="right"/>
              <w:rPr>
                <w:color w:val="0D0D0D" w:themeColor="text1" w:themeTint="F2"/>
              </w:rPr>
            </w:pPr>
            <w:r w:rsidRPr="004A4B7A">
              <w:rPr>
                <w:rFonts w:cs="Arial"/>
                <w:color w:val="0D0D0D" w:themeColor="text1" w:themeTint="F2"/>
                <w:sz w:val="22"/>
                <w:szCs w:val="22"/>
              </w:rPr>
              <w:t>88,215</w:t>
            </w:r>
          </w:p>
        </w:tc>
        <w:tc>
          <w:tcPr>
            <w:tcW w:w="1728" w:type="dxa"/>
          </w:tcPr>
          <w:p w14:paraId="3219592F" w14:textId="77777777" w:rsidR="00662D89" w:rsidRPr="004A4B7A" w:rsidRDefault="00662D89" w:rsidP="009448C6">
            <w:pPr>
              <w:spacing w:after="0"/>
              <w:jc w:val="right"/>
              <w:rPr>
                <w:rFonts w:cs="Calibri"/>
                <w:color w:val="0D0D0D" w:themeColor="text1" w:themeTint="F2"/>
                <w:sz w:val="22"/>
                <w:szCs w:val="22"/>
                <w:lang w:eastAsia="en-IE"/>
              </w:rPr>
            </w:pPr>
            <w:r w:rsidRPr="004A4B7A">
              <w:rPr>
                <w:rFonts w:cs="Calibri"/>
                <w:color w:val="0D0D0D" w:themeColor="text1" w:themeTint="F2"/>
                <w:sz w:val="22"/>
                <w:szCs w:val="22"/>
              </w:rPr>
              <w:t>92,612</w:t>
            </w:r>
          </w:p>
          <w:p w14:paraId="117F20E4" w14:textId="77777777" w:rsidR="00662D89" w:rsidRPr="004A4B7A" w:rsidRDefault="00662D89" w:rsidP="009448C6">
            <w:pPr>
              <w:pStyle w:val="TableCell"/>
              <w:jc w:val="right"/>
              <w:rPr>
                <w:color w:val="0D0D0D" w:themeColor="text1" w:themeTint="F2"/>
              </w:rPr>
            </w:pPr>
          </w:p>
        </w:tc>
        <w:tc>
          <w:tcPr>
            <w:tcW w:w="1728" w:type="dxa"/>
          </w:tcPr>
          <w:p w14:paraId="551D82E0" w14:textId="77777777" w:rsidR="00662D89" w:rsidRPr="004A4B7A" w:rsidRDefault="00662D89" w:rsidP="009448C6">
            <w:pPr>
              <w:spacing w:after="0"/>
              <w:jc w:val="right"/>
              <w:rPr>
                <w:rFonts w:cs="Calibri"/>
                <w:color w:val="0D0D0D" w:themeColor="text1" w:themeTint="F2"/>
                <w:sz w:val="22"/>
                <w:szCs w:val="22"/>
                <w:lang w:eastAsia="en-IE"/>
              </w:rPr>
            </w:pPr>
            <w:r w:rsidRPr="004A4B7A">
              <w:rPr>
                <w:rFonts w:cs="Calibri"/>
                <w:color w:val="0D0D0D" w:themeColor="text1" w:themeTint="F2"/>
                <w:sz w:val="22"/>
                <w:szCs w:val="22"/>
              </w:rPr>
              <w:t>96,675</w:t>
            </w:r>
          </w:p>
          <w:p w14:paraId="6832A01E" w14:textId="77777777" w:rsidR="00662D89" w:rsidRPr="004A4B7A" w:rsidRDefault="00662D89" w:rsidP="009448C6">
            <w:pPr>
              <w:pStyle w:val="TableCell"/>
              <w:jc w:val="right"/>
              <w:rPr>
                <w:color w:val="0D0D0D" w:themeColor="text1" w:themeTint="F2"/>
              </w:rPr>
            </w:pPr>
          </w:p>
        </w:tc>
        <w:tc>
          <w:tcPr>
            <w:tcW w:w="1728" w:type="dxa"/>
          </w:tcPr>
          <w:p w14:paraId="79358971" w14:textId="77777777" w:rsidR="00662D89" w:rsidRDefault="00662D89" w:rsidP="009448C6">
            <w:pPr>
              <w:spacing w:after="0"/>
              <w:jc w:val="right"/>
              <w:rPr>
                <w:rFonts w:cs="Calibri"/>
                <w:color w:val="000000"/>
                <w:sz w:val="22"/>
                <w:szCs w:val="22"/>
                <w:lang w:eastAsia="en-IE"/>
              </w:rPr>
            </w:pPr>
            <w:r>
              <w:rPr>
                <w:rFonts w:cs="Calibri"/>
                <w:color w:val="000000"/>
                <w:sz w:val="22"/>
                <w:szCs w:val="22"/>
              </w:rPr>
              <w:t>101,020</w:t>
            </w:r>
          </w:p>
          <w:p w14:paraId="15E6BF7F" w14:textId="77777777" w:rsidR="00662D89" w:rsidRPr="004A4B7A" w:rsidRDefault="00662D89" w:rsidP="009448C6">
            <w:pPr>
              <w:spacing w:after="0"/>
              <w:jc w:val="right"/>
              <w:rPr>
                <w:rFonts w:cs="Calibri"/>
                <w:color w:val="0D0D0D" w:themeColor="text1" w:themeTint="F2"/>
                <w:sz w:val="22"/>
                <w:szCs w:val="22"/>
              </w:rPr>
            </w:pPr>
          </w:p>
        </w:tc>
      </w:tr>
      <w:tr w:rsidR="00662D89" w:rsidRPr="00006EAC" w14:paraId="6F0AA476" w14:textId="77777777" w:rsidTr="004029C8">
        <w:tc>
          <w:tcPr>
            <w:tcW w:w="1728" w:type="dxa"/>
          </w:tcPr>
          <w:p w14:paraId="39CFFC61" w14:textId="77777777" w:rsidR="00662D89" w:rsidRPr="004A4B7A" w:rsidRDefault="00662D89" w:rsidP="009448C6">
            <w:pPr>
              <w:spacing w:after="0"/>
              <w:rPr>
                <w:b/>
                <w:color w:val="0D0D0D" w:themeColor="text1" w:themeTint="F2"/>
                <w:sz w:val="22"/>
                <w:szCs w:val="22"/>
              </w:rPr>
            </w:pPr>
            <w:r w:rsidRPr="004A4B7A">
              <w:rPr>
                <w:b/>
                <w:color w:val="0D0D0D" w:themeColor="text1" w:themeTint="F2"/>
                <w:sz w:val="22"/>
                <w:szCs w:val="22"/>
              </w:rPr>
              <w:t>Number and % of employees reporting a disability</w:t>
            </w:r>
          </w:p>
        </w:tc>
        <w:tc>
          <w:tcPr>
            <w:tcW w:w="1728" w:type="dxa"/>
          </w:tcPr>
          <w:p w14:paraId="7B11F12C" w14:textId="77777777" w:rsidR="00662D89" w:rsidRPr="004A4B7A" w:rsidRDefault="00662D89" w:rsidP="009448C6">
            <w:pPr>
              <w:pStyle w:val="TableCell"/>
              <w:jc w:val="right"/>
              <w:rPr>
                <w:color w:val="0D0D0D" w:themeColor="text1" w:themeTint="F2"/>
              </w:rPr>
            </w:pPr>
            <w:r w:rsidRPr="004A4B7A">
              <w:rPr>
                <w:color w:val="0D0D0D" w:themeColor="text1" w:themeTint="F2"/>
                <w:sz w:val="22"/>
                <w:szCs w:val="22"/>
                <w:lang w:eastAsia="en-IE"/>
              </w:rPr>
              <w:t>464 (0.5%)</w:t>
            </w:r>
          </w:p>
        </w:tc>
        <w:tc>
          <w:tcPr>
            <w:tcW w:w="1728" w:type="dxa"/>
          </w:tcPr>
          <w:p w14:paraId="7A5E2050" w14:textId="77777777" w:rsidR="00662D89" w:rsidRPr="004A4B7A" w:rsidRDefault="00662D89" w:rsidP="009448C6">
            <w:pPr>
              <w:spacing w:after="0"/>
              <w:jc w:val="right"/>
              <w:rPr>
                <w:rFonts w:cs="Calibri"/>
                <w:color w:val="0D0D0D" w:themeColor="text1" w:themeTint="F2"/>
                <w:sz w:val="22"/>
                <w:szCs w:val="22"/>
                <w:lang w:eastAsia="en-IE"/>
              </w:rPr>
            </w:pPr>
            <w:r w:rsidRPr="004A4B7A">
              <w:rPr>
                <w:rFonts w:cs="Calibri"/>
                <w:color w:val="0D0D0D" w:themeColor="text1" w:themeTint="F2"/>
                <w:sz w:val="22"/>
                <w:szCs w:val="22"/>
              </w:rPr>
              <w:t>514 (0.6%)</w:t>
            </w:r>
          </w:p>
          <w:p w14:paraId="080A9CAB" w14:textId="77777777" w:rsidR="00662D89" w:rsidRPr="004A4B7A" w:rsidRDefault="00662D89" w:rsidP="009448C6">
            <w:pPr>
              <w:pStyle w:val="TableCell"/>
              <w:jc w:val="right"/>
              <w:rPr>
                <w:color w:val="0D0D0D" w:themeColor="text1" w:themeTint="F2"/>
              </w:rPr>
            </w:pPr>
          </w:p>
        </w:tc>
        <w:tc>
          <w:tcPr>
            <w:tcW w:w="1728" w:type="dxa"/>
          </w:tcPr>
          <w:p w14:paraId="1A290C7D" w14:textId="77777777" w:rsidR="00662D89" w:rsidRPr="004A4B7A" w:rsidRDefault="00662D89" w:rsidP="009448C6">
            <w:pPr>
              <w:spacing w:after="0"/>
              <w:jc w:val="right"/>
              <w:rPr>
                <w:rFonts w:cs="Calibri"/>
                <w:color w:val="0D0D0D" w:themeColor="text1" w:themeTint="F2"/>
                <w:sz w:val="22"/>
                <w:szCs w:val="22"/>
                <w:lang w:eastAsia="en-IE"/>
              </w:rPr>
            </w:pPr>
            <w:r w:rsidRPr="004A4B7A">
              <w:rPr>
                <w:rFonts w:cs="Calibri"/>
                <w:color w:val="0D0D0D" w:themeColor="text1" w:themeTint="F2"/>
                <w:sz w:val="22"/>
                <w:szCs w:val="22"/>
              </w:rPr>
              <w:t>1,508</w:t>
            </w:r>
            <w:r w:rsidRPr="004A4B7A">
              <w:rPr>
                <w:rFonts w:cs="Calibri"/>
                <w:color w:val="0D0D0D" w:themeColor="text1" w:themeTint="F2"/>
                <w:sz w:val="22"/>
                <w:szCs w:val="22"/>
                <w:lang w:eastAsia="en-IE"/>
              </w:rPr>
              <w:t xml:space="preserve"> </w:t>
            </w:r>
            <w:r w:rsidRPr="004A4B7A">
              <w:rPr>
                <w:rFonts w:cs="Calibri"/>
                <w:color w:val="0D0D0D" w:themeColor="text1" w:themeTint="F2"/>
                <w:sz w:val="22"/>
                <w:szCs w:val="22"/>
              </w:rPr>
              <w:t>(1.6%)</w:t>
            </w:r>
          </w:p>
          <w:p w14:paraId="33D0CC03" w14:textId="77777777" w:rsidR="00662D89" w:rsidRPr="004A4B7A" w:rsidRDefault="00662D89" w:rsidP="009448C6">
            <w:pPr>
              <w:pStyle w:val="TableCell"/>
              <w:jc w:val="right"/>
              <w:rPr>
                <w:color w:val="0D0D0D" w:themeColor="text1" w:themeTint="F2"/>
              </w:rPr>
            </w:pPr>
          </w:p>
        </w:tc>
        <w:tc>
          <w:tcPr>
            <w:tcW w:w="1728" w:type="dxa"/>
          </w:tcPr>
          <w:p w14:paraId="6C2F5632" w14:textId="77777777" w:rsidR="00662D89" w:rsidRPr="004A4B7A" w:rsidRDefault="00662D89" w:rsidP="009448C6">
            <w:pPr>
              <w:spacing w:after="0"/>
              <w:jc w:val="right"/>
              <w:rPr>
                <w:rFonts w:cs="Calibri"/>
                <w:color w:val="0D0D0D" w:themeColor="text1" w:themeTint="F2"/>
                <w:sz w:val="22"/>
                <w:szCs w:val="22"/>
              </w:rPr>
            </w:pPr>
            <w:r>
              <w:rPr>
                <w:rFonts w:cs="Calibri"/>
                <w:color w:val="0D0D0D" w:themeColor="text1" w:themeTint="F2"/>
                <w:sz w:val="22"/>
                <w:szCs w:val="22"/>
              </w:rPr>
              <w:t>2,331 (2.3%)</w:t>
            </w:r>
          </w:p>
        </w:tc>
      </w:tr>
    </w:tbl>
    <w:p w14:paraId="06543D14" w14:textId="77777777" w:rsidR="00662D89" w:rsidRPr="00152735" w:rsidRDefault="00662D89" w:rsidP="00662D89">
      <w:pPr>
        <w:pStyle w:val="TableNote"/>
        <w:spacing w:after="0"/>
        <w:jc w:val="left"/>
        <w:rPr>
          <w:color w:val="0D0D0D" w:themeColor="text1" w:themeTint="F2"/>
        </w:rPr>
      </w:pPr>
    </w:p>
    <w:p w14:paraId="7EDB518C" w14:textId="6E2B7FD4" w:rsidR="00F37ED9" w:rsidRDefault="00662D89" w:rsidP="00D012C4">
      <w:r w:rsidRPr="00152735">
        <w:t>It is hoped that the HSE, with the continued support of the NDA, will improve its performance under Part 5 of the Disability Act 2005.</w:t>
      </w:r>
    </w:p>
    <w:p w14:paraId="2603F45D" w14:textId="49B9FAE7" w:rsidR="00F64E08" w:rsidRPr="006766F6" w:rsidRDefault="00F64E08" w:rsidP="00F64E08">
      <w:pPr>
        <w:pStyle w:val="Heading2"/>
        <w:rPr>
          <w:lang w:eastAsia="en-IE"/>
        </w:rPr>
      </w:pPr>
      <w:bookmarkStart w:id="26" w:name="_Toc146113856"/>
      <w:r>
        <w:rPr>
          <w:lang w:eastAsia="en-IE"/>
        </w:rPr>
        <w:t>Maintaining the momentum</w:t>
      </w:r>
      <w:bookmarkEnd w:id="26"/>
    </w:p>
    <w:p w14:paraId="1A8C475D" w14:textId="77777777" w:rsidR="003343F5" w:rsidRDefault="003343F5" w:rsidP="003343F5">
      <w:r>
        <w:t xml:space="preserve">The NDA is pleased to note the increase in the overall number and percentage of employees reporting a disability in 2022. </w:t>
      </w:r>
    </w:p>
    <w:p w14:paraId="129A74A2" w14:textId="1B6C9A9C" w:rsidR="003343F5" w:rsidRDefault="003343F5" w:rsidP="003343F5">
      <w:r>
        <w:t xml:space="preserve">However, the NDA has advised public bodies that the </w:t>
      </w:r>
      <w:r w:rsidR="002A13BC">
        <w:t xml:space="preserve">minimum </w:t>
      </w:r>
      <w:r>
        <w:t>statutory employment target will increase to 4.5% by 2024. In 2022</w:t>
      </w:r>
      <w:r w:rsidRPr="00474F82">
        <w:t xml:space="preserve"> </w:t>
      </w:r>
      <w:r>
        <w:t>141 public bodies (66.2%) met the 4.5% target and 72 bodies (33.8%) did not reach this target. The NDA therefore con</w:t>
      </w:r>
      <w:r w:rsidR="002A13BC">
        <w:t>sistently</w:t>
      </w:r>
      <w:r>
        <w:t xml:space="preserve"> advise</w:t>
      </w:r>
      <w:r w:rsidR="002A13BC">
        <w:t>s</w:t>
      </w:r>
      <w:r>
        <w:t xml:space="preserve"> public bodies that they need to continue to maintain the momentum and focus on continually improving their performance under Part 5</w:t>
      </w:r>
      <w:r w:rsidR="00CD5456">
        <w:t xml:space="preserve">. This is essential </w:t>
      </w:r>
      <w:r>
        <w:t xml:space="preserve">if there is to be a significant increase in the number and percentage of public bodies that meet the minimum 4.5% when the </w:t>
      </w:r>
      <w:r w:rsidRPr="003343F5">
        <w:rPr>
          <w:b/>
          <w:bCs/>
        </w:rPr>
        <w:t>Report on Compliance with Part 5 of the Disability Act 2005 for 2024</w:t>
      </w:r>
      <w:r>
        <w:t xml:space="preserve"> is produced in two years time.</w:t>
      </w:r>
    </w:p>
    <w:p w14:paraId="4A792705" w14:textId="55A7E80A" w:rsidR="003343F5" w:rsidRDefault="003343F5" w:rsidP="003343F5">
      <w:r>
        <w:t xml:space="preserve">The NDA also notes that the number and percentage of public bodies reporting that </w:t>
      </w:r>
      <w:r w:rsidRPr="00BC13A0">
        <w:t>a minimum of 6% of their employees reported a disability</w:t>
      </w:r>
      <w:r>
        <w:t xml:space="preserve"> increased from </w:t>
      </w:r>
      <w:r w:rsidRPr="00BC13A0">
        <w:t>78 (36.6%)</w:t>
      </w:r>
      <w:r>
        <w:t xml:space="preserve"> in 2021 to </w:t>
      </w:r>
      <w:r w:rsidRPr="00BC13A0">
        <w:t>103</w:t>
      </w:r>
      <w:r>
        <w:t xml:space="preserve"> </w:t>
      </w:r>
      <w:r w:rsidRPr="00BC13A0">
        <w:t xml:space="preserve">(48.4%) </w:t>
      </w:r>
      <w:r>
        <w:t>in 2022.  In this context, we have consistent</w:t>
      </w:r>
      <w:r w:rsidR="00770915">
        <w:t>l</w:t>
      </w:r>
      <w:r>
        <w:t>y advised public bodies that it is essential for them to focus on progressing from</w:t>
      </w:r>
      <w:r w:rsidR="002A13BC">
        <w:t xml:space="preserve"> a minimum of</w:t>
      </w:r>
      <w:r>
        <w:t xml:space="preserve"> 4.5% to </w:t>
      </w:r>
      <w:r w:rsidR="002A13BC">
        <w:t xml:space="preserve">a minimum of </w:t>
      </w:r>
      <w:r>
        <w:t>6% in the next few years.</w:t>
      </w:r>
    </w:p>
    <w:p w14:paraId="65C56E4F" w14:textId="7FB86766" w:rsidR="009E3EB0" w:rsidRDefault="009E3EB0" w:rsidP="00A017F6"/>
    <w:p w14:paraId="75832832" w14:textId="1E99C950" w:rsidR="00005D40" w:rsidRDefault="00005D40">
      <w:pPr>
        <w:spacing w:after="0"/>
        <w:rPr>
          <w:rFonts w:ascii="Gill Sans" w:hAnsi="Gill Sans"/>
        </w:rPr>
      </w:pPr>
      <w:r>
        <w:br w:type="page"/>
      </w:r>
    </w:p>
    <w:p w14:paraId="57A4513E" w14:textId="4CC3BBAF" w:rsidR="00973B13" w:rsidRPr="00775630" w:rsidRDefault="00973B13" w:rsidP="00366C86">
      <w:pPr>
        <w:pStyle w:val="Heading1"/>
        <w:rPr>
          <w:b w:val="0"/>
        </w:rPr>
      </w:pPr>
      <w:bookmarkStart w:id="27" w:name="_Toc498585826"/>
      <w:bookmarkStart w:id="28" w:name="_Toc526435808"/>
      <w:bookmarkStart w:id="29" w:name="_Toc18680242"/>
      <w:bookmarkStart w:id="30" w:name="_Toc146113857"/>
      <w:r w:rsidRPr="00775630">
        <w:rPr>
          <w:rStyle w:val="Heading1Char"/>
          <w:b/>
        </w:rPr>
        <w:lastRenderedPageBreak/>
        <w:t>1 Introduction</w:t>
      </w:r>
      <w:bookmarkEnd w:id="27"/>
      <w:bookmarkEnd w:id="28"/>
      <w:bookmarkEnd w:id="29"/>
      <w:bookmarkEnd w:id="30"/>
    </w:p>
    <w:p w14:paraId="55CDA0CC" w14:textId="77777777" w:rsidR="00973B13" w:rsidRPr="00775630" w:rsidRDefault="00973B13" w:rsidP="00973B13">
      <w:pPr>
        <w:pStyle w:val="Heading2"/>
      </w:pPr>
      <w:bookmarkStart w:id="31" w:name="_Toc498585827"/>
      <w:bookmarkStart w:id="32" w:name="_Toc526435809"/>
      <w:bookmarkStart w:id="33" w:name="_Toc18680243"/>
      <w:bookmarkStart w:id="34" w:name="_Toc146113858"/>
      <w:r w:rsidRPr="00775630">
        <w:t>1.1 Legislative background</w:t>
      </w:r>
      <w:bookmarkEnd w:id="31"/>
      <w:bookmarkEnd w:id="32"/>
      <w:bookmarkEnd w:id="33"/>
      <w:bookmarkEnd w:id="34"/>
    </w:p>
    <w:p w14:paraId="4C9E93D1" w14:textId="3608BCC7" w:rsidR="00973B13" w:rsidRPr="00775630" w:rsidRDefault="00973B13" w:rsidP="003652F9">
      <w:r w:rsidRPr="00775630">
        <w:t>Part 5 of the Disability Act 2005 sets out a statutory role for the National Disability Authority (NDA) in monitoring employment of persons with disabilities in the public sector. It also details the reporting and monitoring ob</w:t>
      </w:r>
      <w:r w:rsidR="00647A00" w:rsidRPr="00775630">
        <w:t>ligations of public bodies and Government D</w:t>
      </w:r>
      <w:r w:rsidRPr="00775630">
        <w:t>epartments in employment.</w:t>
      </w:r>
    </w:p>
    <w:p w14:paraId="7A998D5E" w14:textId="77777777" w:rsidR="00973B13" w:rsidRPr="00775630" w:rsidRDefault="00973B13" w:rsidP="003652F9">
      <w:r w:rsidRPr="00775630">
        <w:t>In summary, the obligations detailed in the Act are:</w:t>
      </w:r>
    </w:p>
    <w:p w14:paraId="6FD1442F" w14:textId="77777777" w:rsidR="00973B13" w:rsidRPr="00775630" w:rsidRDefault="00973B13" w:rsidP="003652F9">
      <w:pPr>
        <w:pStyle w:val="ListBullet"/>
      </w:pPr>
      <w:r w:rsidRPr="00775630">
        <w:t>Public bodies shall</w:t>
      </w:r>
      <w:r w:rsidR="00F84925" w:rsidRPr="00775630">
        <w:t>, in</w:t>
      </w:r>
      <w:r w:rsidRPr="00775630">
        <w:t xml:space="preserve"> so far as practicable</w:t>
      </w:r>
      <w:r w:rsidR="00F84925" w:rsidRPr="00775630">
        <w:t>,</w:t>
      </w:r>
      <w:r w:rsidRPr="00775630">
        <w:t xml:space="preserve"> take all reasonable measures to promote and support the employment by it of persons with disabilities (S.47.1a)</w:t>
      </w:r>
    </w:p>
    <w:p w14:paraId="4A31B4C9" w14:textId="77777777" w:rsidR="00973B13" w:rsidRPr="00775630" w:rsidRDefault="00973B13" w:rsidP="003652F9">
      <w:pPr>
        <w:pStyle w:val="ListBullet"/>
      </w:pPr>
      <w:r w:rsidRPr="00775630">
        <w:t xml:space="preserve">Public bodies shall ensure, unless there is good reason to the contrary for not doing so, that they reach any compliance targets prescribed (S.47.2) </w:t>
      </w:r>
    </w:p>
    <w:p w14:paraId="6FF16AA5" w14:textId="77777777" w:rsidR="00973B13" w:rsidRPr="00775630" w:rsidRDefault="00973B13" w:rsidP="003652F9">
      <w:pPr>
        <w:pStyle w:val="ListBullet"/>
      </w:pPr>
      <w:r w:rsidRPr="00775630">
        <w:t>Ministers shall establish a Monitoring Committee in their Departments (S.48.1)</w:t>
      </w:r>
    </w:p>
    <w:p w14:paraId="1B951DCD" w14:textId="77777777" w:rsidR="00973B13" w:rsidRPr="00775630" w:rsidRDefault="00973B13" w:rsidP="003652F9">
      <w:pPr>
        <w:pStyle w:val="ListBullet"/>
      </w:pPr>
      <w:r w:rsidRPr="00775630">
        <w:t>Public bodies shall submit an annual report on compliance to their Departmental Monitoring Committee by 31 March each year (S.48.2)</w:t>
      </w:r>
    </w:p>
    <w:p w14:paraId="42A4FDA4" w14:textId="77777777" w:rsidR="00973B13" w:rsidRPr="00775630" w:rsidRDefault="00973B13" w:rsidP="003652F9">
      <w:pPr>
        <w:pStyle w:val="ListBullet"/>
      </w:pPr>
      <w:r w:rsidRPr="00775630">
        <w:t xml:space="preserve">The Monitoring Committee shall submit an annual report to the NDA by 30 June each year (S.48.5 d) </w:t>
      </w:r>
    </w:p>
    <w:p w14:paraId="4EA350F2" w14:textId="77777777" w:rsidR="00973B13" w:rsidRPr="00775630" w:rsidRDefault="00973B13" w:rsidP="003652F9">
      <w:pPr>
        <w:pStyle w:val="ListBullet"/>
      </w:pPr>
      <w:r w:rsidRPr="00775630">
        <w:t>Where a Minister or the NDA requests more information about compliance, a public body shall provide information within three months (S.49.1)</w:t>
      </w:r>
    </w:p>
    <w:p w14:paraId="6A6541FB" w14:textId="24DABF30" w:rsidR="00973B13" w:rsidRPr="00775630" w:rsidRDefault="00973B13" w:rsidP="003652F9">
      <w:pPr>
        <w:pStyle w:val="ListBullet"/>
      </w:pPr>
      <w:r w:rsidRPr="00775630">
        <w:t>After two successive years of non-compliance by any public body, where the NDA is of the opinion that the body is not compliant, it can request ‘specific measures’ that the public body shall take to achieve compliance</w:t>
      </w:r>
    </w:p>
    <w:p w14:paraId="49A133DE" w14:textId="77777777" w:rsidR="00973B13" w:rsidRPr="00775630" w:rsidRDefault="00973B13" w:rsidP="00973B13">
      <w:pPr>
        <w:pStyle w:val="Heading2"/>
      </w:pPr>
      <w:bookmarkStart w:id="35" w:name="_Toc498585828"/>
      <w:bookmarkStart w:id="36" w:name="_Toc526435810"/>
      <w:bookmarkStart w:id="37" w:name="_Toc18680244"/>
      <w:bookmarkStart w:id="38" w:name="_Toc146113859"/>
      <w:r w:rsidRPr="00775630">
        <w:t>1.2 Counting employees with disabilities</w:t>
      </w:r>
      <w:bookmarkEnd w:id="35"/>
      <w:bookmarkEnd w:id="36"/>
      <w:bookmarkEnd w:id="37"/>
      <w:bookmarkEnd w:id="38"/>
    </w:p>
    <w:p w14:paraId="484FA4E3" w14:textId="3C4BF10D" w:rsidR="00973B13" w:rsidRPr="00775630" w:rsidRDefault="00973B13" w:rsidP="003652F9">
      <w:r w:rsidRPr="00775630">
        <w:t xml:space="preserve">Section 48 (2) of the Disability Act 2005 states that public bodies must collect data on employees and especially employees with disabilities </w:t>
      </w:r>
      <w:r w:rsidRPr="00775630">
        <w:rPr>
          <w:b/>
        </w:rPr>
        <w:t>on an annual basis</w:t>
      </w:r>
      <w:r w:rsidRPr="00775630">
        <w:t>.</w:t>
      </w:r>
    </w:p>
    <w:p w14:paraId="32757F1E" w14:textId="77777777" w:rsidR="00973B13" w:rsidRPr="00775630" w:rsidRDefault="00973B13" w:rsidP="003652F9">
      <w:pPr>
        <w:pStyle w:val="BlockQuote"/>
      </w:pPr>
      <w:r w:rsidRPr="00775630">
        <w:t xml:space="preserve"> “Subject to </w:t>
      </w:r>
      <w:r w:rsidRPr="00775630">
        <w:rPr>
          <w:i/>
          <w:iCs/>
        </w:rPr>
        <w:t xml:space="preserve">subsection (7) </w:t>
      </w:r>
      <w:r w:rsidRPr="00775630">
        <w:t xml:space="preserve">a public body shall, not later than 31 March in each year, draw up a report in writing in relation to its compliance with this Part during the </w:t>
      </w:r>
      <w:r w:rsidRPr="00775630">
        <w:rPr>
          <w:b/>
        </w:rPr>
        <w:t>preceding year</w:t>
      </w:r>
      <w:r w:rsidRPr="00775630">
        <w:t xml:space="preserve"> and submit it to the relevant monitoring committee”</w:t>
      </w:r>
    </w:p>
    <w:p w14:paraId="609A75E4" w14:textId="4CFF0F8B" w:rsidR="00973B13" w:rsidRPr="00775630" w:rsidRDefault="00973B13" w:rsidP="003652F9">
      <w:r w:rsidRPr="00775630">
        <w:t xml:space="preserve">The Act does not set out any particular methods of counting or identifying employees with disabilities, although the NDA has previously advised public bodies about various methods that may be used to collect and update data on an annual basis. Each public body is responsible for choosing </w:t>
      </w:r>
      <w:r w:rsidR="00F84925" w:rsidRPr="00775630">
        <w:t xml:space="preserve">an </w:t>
      </w:r>
      <w:r w:rsidRPr="00775630">
        <w:t xml:space="preserve">appropriate method </w:t>
      </w:r>
      <w:r w:rsidRPr="00775630">
        <w:lastRenderedPageBreak/>
        <w:t>for counting employees with disabilities in their organisation each year. The NDA has advised</w:t>
      </w:r>
      <w:r w:rsidRPr="00775630">
        <w:rPr>
          <w:color w:val="FF0000"/>
        </w:rPr>
        <w:t xml:space="preserve"> </w:t>
      </w:r>
      <w:r w:rsidRPr="00775630">
        <w:t>public bodies to maintain consistent approaches over time where possible, to avoid any major variations in the reported data</w:t>
      </w:r>
      <w:r w:rsidR="00F84925" w:rsidRPr="00775630">
        <w:t>, a</w:t>
      </w:r>
      <w:r w:rsidR="00CF04AD" w:rsidRPr="00775630">
        <w:t>lthough the NDA recognises that this may not always be possible or appropriate when seeking to improve the accuracy of the returns</w:t>
      </w:r>
      <w:r w:rsidR="00BF25A5" w:rsidRPr="00775630">
        <w:t>.</w:t>
      </w:r>
    </w:p>
    <w:p w14:paraId="20A99D6C" w14:textId="535B4210" w:rsidR="00973B13" w:rsidRPr="00775630" w:rsidRDefault="00973B13" w:rsidP="003652F9">
      <w:r w:rsidRPr="00775630">
        <w:t>A census of all employees, where each employee is invited to identify themselves as having a disability or not, is an important measure in identifying employees with disabilities. Returns from public bodies show wide variations in census response rates by employees. It can be challenging to create an environment where emplo</w:t>
      </w:r>
      <w:r w:rsidR="00EC64E5" w:rsidRPr="00775630">
        <w:t xml:space="preserve">yees are comfortable sharing </w:t>
      </w:r>
      <w:r w:rsidRPr="00775630">
        <w:t>their disability status. Our experience indicates that the best results are achieved when:</w:t>
      </w:r>
    </w:p>
    <w:p w14:paraId="2608F9CC" w14:textId="6E045C6C" w:rsidR="00973B13" w:rsidRPr="00775630" w:rsidRDefault="00973B13" w:rsidP="003652F9">
      <w:pPr>
        <w:pStyle w:val="ListBullet"/>
      </w:pPr>
      <w:r w:rsidRPr="00775630">
        <w:t>The census is accompanied with a broad programme of communication around the reasons for the census, the security of the information provided and the benefits for employees and the organisation as a whole. Partnership with trade unions and other stakeholders can also be helpful in this regard</w:t>
      </w:r>
    </w:p>
    <w:p w14:paraId="4163DE7A" w14:textId="0C9CB1D2" w:rsidR="00973B13" w:rsidRPr="00775630" w:rsidRDefault="00973B13" w:rsidP="003652F9">
      <w:pPr>
        <w:pStyle w:val="ListBullet"/>
      </w:pPr>
      <w:r w:rsidRPr="00775630">
        <w:t xml:space="preserve">The employer creates a culture and environment where the employee is comfortable that </w:t>
      </w:r>
      <w:r w:rsidR="004331C8">
        <w:t>sharing</w:t>
      </w:r>
      <w:r w:rsidRPr="00775630">
        <w:t xml:space="preserve"> their disability </w:t>
      </w:r>
      <w:r w:rsidR="004331C8">
        <w:t xml:space="preserve">status </w:t>
      </w:r>
      <w:r w:rsidRPr="00775630">
        <w:t>will not have any negative impacts for their employment.</w:t>
      </w:r>
    </w:p>
    <w:p w14:paraId="2F5AC038" w14:textId="6E9105B8" w:rsidR="00973B13" w:rsidRPr="00775630" w:rsidRDefault="00973B13" w:rsidP="003652F9">
      <w:r w:rsidRPr="00775630">
        <w:t xml:space="preserve">It is not always necessary to carry out a full census every year. Some public bodies will carry out a census periodically, and use HR records of staff who have joined, staff who have left, or requests for reasonable accommodations to </w:t>
      </w:r>
      <w:r w:rsidR="00E41F51" w:rsidRPr="00775630">
        <w:t xml:space="preserve">annually </w:t>
      </w:r>
      <w:r w:rsidRPr="00775630">
        <w:t>identify changes in intermediate years, with appropriate data protection measures in place. Where a census has not taken place for a number of years, it can be a useful tool in itself to highlight the importance of the employment of persons with disabilitie</w:t>
      </w:r>
      <w:r w:rsidR="007F5DC6" w:rsidRPr="00775630">
        <w:t>s, and it can be an element of supporting more employees t</w:t>
      </w:r>
      <w:r w:rsidR="003060EF" w:rsidRPr="00775630">
        <w:t>o feel comfortable sharing their</w:t>
      </w:r>
      <w:r w:rsidR="007F5DC6" w:rsidRPr="00775630">
        <w:t xml:space="preserve"> disability status</w:t>
      </w:r>
      <w:r w:rsidRPr="00775630">
        <w:t>.</w:t>
      </w:r>
      <w:r w:rsidR="00E41F51" w:rsidRPr="00775630">
        <w:t xml:space="preserve"> Regardless of what </w:t>
      </w:r>
      <w:r w:rsidR="00F323C5">
        <w:t xml:space="preserve">method of </w:t>
      </w:r>
      <w:r w:rsidR="00E41F51" w:rsidRPr="00775630">
        <w:t>data collection is applied in a public body, the legislation stipulates that information should be updated and submitted to the NDA on an annual basis.</w:t>
      </w:r>
    </w:p>
    <w:p w14:paraId="779F5B22" w14:textId="700417BE" w:rsidR="004E4BC4" w:rsidRPr="00775630" w:rsidRDefault="00973B13" w:rsidP="003652F9">
      <w:r w:rsidRPr="00775630">
        <w:t xml:space="preserve">The NDA has also advised that it is essential that </w:t>
      </w:r>
      <w:r w:rsidR="00782F2C" w:rsidRPr="00775630">
        <w:t xml:space="preserve">all </w:t>
      </w:r>
      <w:r w:rsidRPr="00775630">
        <w:t xml:space="preserve">employees are informed </w:t>
      </w:r>
      <w:r w:rsidR="00F84925" w:rsidRPr="00775630">
        <w:t xml:space="preserve">as to </w:t>
      </w:r>
      <w:r w:rsidRPr="00775630">
        <w:t xml:space="preserve">why their data is being collected and the purpose for which it is being used. </w:t>
      </w:r>
    </w:p>
    <w:p w14:paraId="4137BCD2" w14:textId="2DE9E1C3" w:rsidR="002678F1" w:rsidRPr="00775630" w:rsidRDefault="002678F1" w:rsidP="003652F9">
      <w:r w:rsidRPr="00775630">
        <w:t>As in previous years, the NDA continue</w:t>
      </w:r>
      <w:r w:rsidR="004331C8">
        <w:t>s</w:t>
      </w:r>
      <w:r w:rsidRPr="00775630">
        <w:t xml:space="preserve"> to provide clarification regarding how employees can apply the definition of disability under the Disability Act 2005, which is as follows: </w:t>
      </w:r>
    </w:p>
    <w:p w14:paraId="12539357" w14:textId="30D83752" w:rsidR="002678F1" w:rsidRPr="00775630" w:rsidRDefault="002678F1" w:rsidP="003652F9">
      <w:pPr>
        <w:pStyle w:val="BlockQuote"/>
      </w:pPr>
      <w:r w:rsidRPr="00775630">
        <w:t>“a substantial restriction in the capacity of the person to carry out a profession, business or occupation in the State or to participate in social or cultural life in the State by reason of an enduring physical, sensory, mental health or intellectual impairment</w:t>
      </w:r>
      <w:r w:rsidR="00222CD7" w:rsidRPr="00775630">
        <w:t>.</w:t>
      </w:r>
      <w:r w:rsidRPr="00775630">
        <w:t>”</w:t>
      </w:r>
    </w:p>
    <w:p w14:paraId="2B483C49" w14:textId="77777777" w:rsidR="002678F1" w:rsidRPr="00775630" w:rsidRDefault="002678F1" w:rsidP="003652F9">
      <w:r w:rsidRPr="00775630">
        <w:lastRenderedPageBreak/>
        <w:t xml:space="preserve">The NDA advised that it was important to review the term </w:t>
      </w:r>
      <w:r w:rsidRPr="00775630">
        <w:rPr>
          <w:b/>
          <w:bCs/>
        </w:rPr>
        <w:t xml:space="preserve">“substantial restriction”, </w:t>
      </w:r>
      <w:r w:rsidRPr="00775630">
        <w:t xml:space="preserve">in terms of existing barriers e.g. </w:t>
      </w:r>
    </w:p>
    <w:p w14:paraId="0D3D8188" w14:textId="2A966178" w:rsidR="002678F1" w:rsidRPr="00775630" w:rsidRDefault="002678F1" w:rsidP="003652F9">
      <w:pPr>
        <w:pStyle w:val="ListBullet"/>
      </w:pPr>
      <w:r w:rsidRPr="00775630">
        <w:t xml:space="preserve">Inaccessible written, spoken and digital communications (websites, mobile apps) that may prevent persons with disabilities from accessing job advertisements and applying for jobs, accessing travel information </w:t>
      </w:r>
      <w:r w:rsidR="00182475" w:rsidRPr="00775630">
        <w:t>etc.</w:t>
      </w:r>
    </w:p>
    <w:p w14:paraId="0B9EFD0D" w14:textId="77777777" w:rsidR="002678F1" w:rsidRPr="00775630" w:rsidRDefault="002678F1" w:rsidP="003652F9">
      <w:pPr>
        <w:pStyle w:val="ListBullet"/>
      </w:pPr>
      <w:r w:rsidRPr="00775630">
        <w:t xml:space="preserve">Lack of access to public transport services that impacts persons with disabilities getting to and from their workplace, schools, colleges, universities, social events and medical appointments  </w:t>
      </w:r>
    </w:p>
    <w:p w14:paraId="6D5E8980" w14:textId="2CFD808E" w:rsidR="002678F1" w:rsidRPr="00775630" w:rsidRDefault="002678F1" w:rsidP="003652F9">
      <w:pPr>
        <w:pStyle w:val="ListBullet"/>
      </w:pPr>
      <w:r w:rsidRPr="00775630">
        <w:t>Inaccessible public spaces that prevent persons with disabilities from</w:t>
      </w:r>
      <w:r w:rsidR="00222CD7" w:rsidRPr="00775630">
        <w:t xml:space="preserve"> being able to access buildings.</w:t>
      </w:r>
    </w:p>
    <w:p w14:paraId="5ECDF307" w14:textId="77777777" w:rsidR="002678F1" w:rsidRPr="00775630" w:rsidRDefault="002678F1" w:rsidP="003652F9">
      <w:r w:rsidRPr="00775630">
        <w:t xml:space="preserve">These substantial restrictions can prevent persons with disabilities from accessing and retaining employment opportunities and participating in mainstream society. </w:t>
      </w:r>
    </w:p>
    <w:p w14:paraId="1DF13361" w14:textId="77777777" w:rsidR="002678F1" w:rsidRPr="00775630" w:rsidRDefault="002678F1" w:rsidP="003652F9">
      <w:r w:rsidRPr="00775630">
        <w:t xml:space="preserve">Article 2 of the </w:t>
      </w:r>
      <w:r w:rsidRPr="00775630">
        <w:rPr>
          <w:b/>
        </w:rPr>
        <w:t>UN Convention on the Rights of Persons with Disabilities</w:t>
      </w:r>
      <w:r w:rsidRPr="00775630">
        <w:t xml:space="preserve"> focuses on Definitions. Under this Article, discrimination on the basis of disability means any distinction, exclusion or </w:t>
      </w:r>
      <w:r w:rsidRPr="00775630">
        <w:rPr>
          <w:b/>
        </w:rPr>
        <w:t>restriction</w:t>
      </w:r>
      <w:r w:rsidRPr="00775630">
        <w:t xml:space="preserve"> on the basis of disability which has the purpose or effect of impairing or nullifying the recognition, enjoyment or exercise, on an equal basis with others, of all human rights and fundamental freedoms in the political, economic, social, cultural, civil or any other field. It includes all forms of discrimination, including denial of reasonable accommodation.</w:t>
      </w:r>
    </w:p>
    <w:p w14:paraId="494CCFED" w14:textId="77777777" w:rsidR="002678F1" w:rsidRPr="00775630" w:rsidRDefault="002678F1" w:rsidP="003652F9">
      <w:r w:rsidRPr="00775630">
        <w:t xml:space="preserve">Article 4 of </w:t>
      </w:r>
      <w:r w:rsidRPr="00775630">
        <w:rPr>
          <w:b/>
        </w:rPr>
        <w:t>UN Convention on the Rights of Persons with Disabilities</w:t>
      </w:r>
      <w:r w:rsidRPr="00775630">
        <w:t xml:space="preserve"> focuses on General Obligations. This Article states that there should be no restrictions on the rights of persons with disabilities to access mainstream public services and to participate in society.</w:t>
      </w:r>
    </w:p>
    <w:p w14:paraId="22D1A013" w14:textId="77777777" w:rsidR="002678F1" w:rsidRPr="00775630" w:rsidRDefault="002678F1" w:rsidP="003652F9">
      <w:r w:rsidRPr="00775630">
        <w:t>The core element of the NDA’s advice and guidance on creating EDI work environments that promote and support the increased recruitment and retention of persons with disabilities and support employees to feel comfortable sharing their disability status, is to identify ways of removing these restrictions to accessing employment and other mainstream public services, as detailed under Articles 2 and 4 of the UN Convention.</w:t>
      </w:r>
    </w:p>
    <w:p w14:paraId="5EF6BEBC" w14:textId="58905868" w:rsidR="002678F1" w:rsidRDefault="002678F1" w:rsidP="003652F9">
      <w:r w:rsidRPr="00775630">
        <w:t xml:space="preserve">The NDA’s advice and guidance also provides public bodies with practical proactive measures to help public bodies provide accessible public services, in line with their obligations under Article 9 of the </w:t>
      </w:r>
      <w:r w:rsidRPr="00775630">
        <w:rPr>
          <w:b/>
        </w:rPr>
        <w:t>UN Convention</w:t>
      </w:r>
      <w:r w:rsidRPr="00775630">
        <w:t>.</w:t>
      </w:r>
    </w:p>
    <w:p w14:paraId="650644EC" w14:textId="77777777" w:rsidR="00005D40" w:rsidRDefault="00005D40" w:rsidP="002858EC">
      <w:pPr>
        <w:pStyle w:val="Heading2"/>
      </w:pPr>
      <w:bookmarkStart w:id="39" w:name="_Toc124367209"/>
    </w:p>
    <w:p w14:paraId="539F64AD" w14:textId="77777777" w:rsidR="00005D40" w:rsidRDefault="00005D40" w:rsidP="002858EC">
      <w:pPr>
        <w:pStyle w:val="Heading2"/>
      </w:pPr>
    </w:p>
    <w:p w14:paraId="4D10C7CD" w14:textId="3C8EF6D0" w:rsidR="002858EC" w:rsidRPr="004C3D5B" w:rsidRDefault="002858EC" w:rsidP="002858EC">
      <w:pPr>
        <w:pStyle w:val="Heading2"/>
      </w:pPr>
      <w:bookmarkStart w:id="40" w:name="_Toc146113860"/>
      <w:r>
        <w:lastRenderedPageBreak/>
        <w:t xml:space="preserve">1.3 </w:t>
      </w:r>
      <w:bookmarkEnd w:id="39"/>
      <w:r>
        <w:t>Review of Part 5 – Implementing the next phase of recommendations</w:t>
      </w:r>
      <w:bookmarkEnd w:id="40"/>
    </w:p>
    <w:p w14:paraId="62E61531" w14:textId="228050B7" w:rsidR="00AD1C00" w:rsidRPr="005C3812" w:rsidRDefault="002858EC" w:rsidP="00AD1C00">
      <w:pPr>
        <w:rPr>
          <w:color w:val="000000" w:themeColor="text1"/>
        </w:rPr>
      </w:pPr>
      <w:r>
        <w:rPr>
          <w:rFonts w:eastAsia="SimSun"/>
          <w:lang w:eastAsia="en-IE"/>
        </w:rPr>
        <w:t>In 2019, t</w:t>
      </w:r>
      <w:r w:rsidRPr="004C3D5B">
        <w:rPr>
          <w:rFonts w:eastAsia="SimSun"/>
          <w:lang w:eastAsia="en-IE"/>
        </w:rPr>
        <w:t>he NDA commissioned a Review of the operation of Part 5 of the Disability Act 2005</w:t>
      </w:r>
      <w:r>
        <w:t xml:space="preserve">. In 2020 </w:t>
      </w:r>
      <w:hyperlink r:id="rId12" w:history="1">
        <w:r w:rsidRPr="00114E29">
          <w:rPr>
            <w:rStyle w:val="Hyperlink"/>
          </w:rPr>
          <w:t>a paper detailing the research findings developed as part of the Review and setting out recommendations for next steps</w:t>
        </w:r>
      </w:hyperlink>
      <w:r w:rsidRPr="005C3812">
        <w:rPr>
          <w:color w:val="000000" w:themeColor="text1"/>
        </w:rPr>
        <w:t xml:space="preserve"> was produced. </w:t>
      </w:r>
      <w:r w:rsidR="00AD1C00" w:rsidRPr="005C3812">
        <w:rPr>
          <w:color w:val="000000" w:themeColor="text1"/>
        </w:rPr>
        <w:t xml:space="preserve">Part 5 is a complex process and changing this process takes time. Some of the recommendations from the Review require legislative changes. Since 2021, the NDA has therefore been implementing the recommendations from the Review on a phased basis.  </w:t>
      </w:r>
    </w:p>
    <w:p w14:paraId="2FC7D976" w14:textId="7E501363" w:rsidR="00AD1C00" w:rsidRDefault="00AD1C00" w:rsidP="00AD1C00">
      <w:r>
        <w:t>One of the key recommendations the NDA has implemented was providing Monitoring Committees and public bodies with updated advice on improving their date collection processes and ensuring data they submitted was accurate, in line with their statutory obligations under Part 5.</w:t>
      </w:r>
    </w:p>
    <w:p w14:paraId="73C546C7" w14:textId="77777777" w:rsidR="009C01B9" w:rsidRDefault="00E068C9" w:rsidP="00E068C9">
      <w:r>
        <w:t xml:space="preserve">The NDA is pleased to note that public bodies have acted on this guidance and the quality of the Part 5 data we receive from them continues to improve on a consistent basis. </w:t>
      </w:r>
    </w:p>
    <w:p w14:paraId="0BAF2568" w14:textId="376071E7" w:rsidR="00E068C9" w:rsidRDefault="00E068C9" w:rsidP="00E068C9">
      <w:pPr>
        <w:rPr>
          <w:b/>
          <w:bCs/>
        </w:rPr>
      </w:pPr>
      <w:r>
        <w:t xml:space="preserve">In the Part 5 returns for 2022, </w:t>
      </w:r>
      <w:proofErr w:type="gramStart"/>
      <w:r>
        <w:t>the majority of</w:t>
      </w:r>
      <w:proofErr w:type="gramEnd"/>
      <w:r>
        <w:t xml:space="preserve"> public bodies provided information regarding why they </w:t>
      </w:r>
      <w:proofErr w:type="gramStart"/>
      <w:r>
        <w:t>experienced  significant</w:t>
      </w:r>
      <w:proofErr w:type="gramEnd"/>
      <w:r>
        <w:t xml:space="preserve"> increases or decreases in the total number of employees and the number and percentage of employees reporting a disability. They also stated that data was collected in compliance with General Data Protection Regulation</w:t>
      </w:r>
      <w:r w:rsidR="00F323C5">
        <w:t>s</w:t>
      </w:r>
      <w:r>
        <w:t>. The Monitoring Committe</w:t>
      </w:r>
      <w:r w:rsidR="00714A94">
        <w:t>e</w:t>
      </w:r>
      <w:r>
        <w:t xml:space="preserve">s confirmed that the Part 5 data for 2022 they submitted to the NDA was accurate. Public bodies have also provided more detailed information regarding models of good practice they implemented to improve their performance under Part 5.  Examples of these models of good practice are provided in more detail in </w:t>
      </w:r>
      <w:r w:rsidRPr="00586740">
        <w:rPr>
          <w:b/>
          <w:bCs/>
        </w:rPr>
        <w:t xml:space="preserve">Section </w:t>
      </w:r>
      <w:r>
        <w:rPr>
          <w:b/>
          <w:bCs/>
        </w:rPr>
        <w:t xml:space="preserve">2.4 </w:t>
      </w:r>
      <w:r w:rsidRPr="00586740">
        <w:rPr>
          <w:b/>
          <w:bCs/>
        </w:rPr>
        <w:t>of this report</w:t>
      </w:r>
      <w:r w:rsidR="00F323C5">
        <w:rPr>
          <w:b/>
          <w:bCs/>
        </w:rPr>
        <w:t>.</w:t>
      </w:r>
    </w:p>
    <w:p w14:paraId="37300D29" w14:textId="77777777" w:rsidR="00E068C9" w:rsidRPr="003343F5" w:rsidRDefault="00E068C9" w:rsidP="00E068C9">
      <w:r w:rsidRPr="003343F5">
        <w:t>The NDA is in the process of implementing the next phase of recommendations from the Review of Part 5 that focus on:</w:t>
      </w:r>
    </w:p>
    <w:p w14:paraId="6B40C3A9" w14:textId="34239A47" w:rsidR="00005D40" w:rsidRPr="003343F5" w:rsidRDefault="00005D40" w:rsidP="00005D40">
      <w:pPr>
        <w:pStyle w:val="ListParagraph"/>
        <w:numPr>
          <w:ilvl w:val="0"/>
          <w:numId w:val="18"/>
        </w:numPr>
        <w:spacing w:after="120"/>
        <w:ind w:left="714" w:hanging="357"/>
        <w:contextualSpacing w:val="0"/>
        <w:rPr>
          <w:rFonts w:ascii="Gill Sans MT" w:hAnsi="Gill Sans MT"/>
        </w:rPr>
      </w:pPr>
      <w:r w:rsidRPr="003343F5">
        <w:rPr>
          <w:rFonts w:ascii="Gill Sans MT" w:hAnsi="Gill Sans MT"/>
        </w:rPr>
        <w:t xml:space="preserve">Obtaining more granular data from public bodies on the measures they have in place to meet their obligations under Part 5 to progress towards </w:t>
      </w:r>
      <w:r w:rsidR="00045E0A" w:rsidRPr="003343F5">
        <w:rPr>
          <w:rFonts w:ascii="Gill Sans MT" w:hAnsi="Gill Sans MT"/>
        </w:rPr>
        <w:t>m</w:t>
      </w:r>
      <w:r w:rsidRPr="003343F5">
        <w:rPr>
          <w:rFonts w:ascii="Gill Sans MT" w:hAnsi="Gill Sans MT"/>
        </w:rPr>
        <w:t xml:space="preserve">eeting the </w:t>
      </w:r>
      <w:r w:rsidR="00045E0A" w:rsidRPr="003343F5">
        <w:rPr>
          <w:rFonts w:ascii="Gill Sans MT" w:hAnsi="Gill Sans MT"/>
        </w:rPr>
        <w:t>mini</w:t>
      </w:r>
      <w:r w:rsidRPr="003343F5">
        <w:rPr>
          <w:rFonts w:ascii="Gill Sans MT" w:hAnsi="Gill Sans MT"/>
        </w:rPr>
        <w:t xml:space="preserve">mum </w:t>
      </w:r>
      <w:r w:rsidR="00403AF2" w:rsidRPr="003343F5">
        <w:rPr>
          <w:rFonts w:ascii="Gill Sans MT" w:hAnsi="Gill Sans MT"/>
        </w:rPr>
        <w:t xml:space="preserve">4.5% by 2024 and </w:t>
      </w:r>
      <w:r w:rsidR="00C80DA2">
        <w:rPr>
          <w:rFonts w:ascii="Gill Sans MT" w:hAnsi="Gill Sans MT"/>
        </w:rPr>
        <w:t xml:space="preserve">the minimum </w:t>
      </w:r>
      <w:r w:rsidRPr="003343F5">
        <w:rPr>
          <w:rFonts w:ascii="Gill Sans MT" w:hAnsi="Gill Sans MT"/>
        </w:rPr>
        <w:t>6% target by 2025 and the impact these measures are having regarding increasing the recruitment of persons with disabilities in the public sector</w:t>
      </w:r>
    </w:p>
    <w:p w14:paraId="5DD4AB66" w14:textId="1F3D7696" w:rsidR="00E068C9" w:rsidRPr="003343F5" w:rsidRDefault="00005D40" w:rsidP="00714A94">
      <w:pPr>
        <w:pStyle w:val="ListParagraph"/>
        <w:numPr>
          <w:ilvl w:val="0"/>
          <w:numId w:val="18"/>
        </w:numPr>
        <w:spacing w:after="120"/>
        <w:ind w:left="714" w:hanging="357"/>
        <w:contextualSpacing w:val="0"/>
        <w:rPr>
          <w:rFonts w:ascii="Gill Sans MT" w:hAnsi="Gill Sans MT"/>
        </w:rPr>
      </w:pPr>
      <w:r w:rsidRPr="003343F5">
        <w:rPr>
          <w:rFonts w:ascii="Gill Sans MT" w:hAnsi="Gill Sans MT"/>
        </w:rPr>
        <w:t>Providing public bodies with the skills to continuously improve their data collection skills including improving employee</w:t>
      </w:r>
      <w:r w:rsidR="00C80DA2">
        <w:rPr>
          <w:rFonts w:ascii="Gill Sans MT" w:hAnsi="Gill Sans MT"/>
        </w:rPr>
        <w:t>s’</w:t>
      </w:r>
      <w:r w:rsidRPr="003343F5">
        <w:rPr>
          <w:rFonts w:ascii="Gill Sans MT" w:hAnsi="Gill Sans MT"/>
        </w:rPr>
        <w:t xml:space="preserve"> response rates to their surveys</w:t>
      </w:r>
    </w:p>
    <w:p w14:paraId="6104AEB4" w14:textId="13FB2393" w:rsidR="00E068C9" w:rsidRPr="003343F5" w:rsidRDefault="00E068C9" w:rsidP="007643A7">
      <w:pPr>
        <w:pStyle w:val="ListParagraph"/>
        <w:numPr>
          <w:ilvl w:val="0"/>
          <w:numId w:val="18"/>
        </w:numPr>
        <w:rPr>
          <w:rFonts w:ascii="Gill Sans MT" w:hAnsi="Gill Sans MT"/>
        </w:rPr>
      </w:pPr>
      <w:r w:rsidRPr="003343F5">
        <w:rPr>
          <w:rFonts w:ascii="Gill Sans MT" w:hAnsi="Gill Sans MT"/>
        </w:rPr>
        <w:lastRenderedPageBreak/>
        <w:t xml:space="preserve">Implementing a more user friendly, streamlined, efficient and feasible process overall for the NDA to manage </w:t>
      </w:r>
    </w:p>
    <w:p w14:paraId="0BCB303D" w14:textId="24907208" w:rsidR="00E75DA9" w:rsidRDefault="00E068C9" w:rsidP="00E068C9">
      <w:r>
        <w:t xml:space="preserve">The NDA has set up an advisory group to help us to </w:t>
      </w:r>
      <w:r w:rsidR="00E75DA9">
        <w:t>implement the following recommendations:</w:t>
      </w:r>
    </w:p>
    <w:p w14:paraId="20F5FF9E" w14:textId="47BF43CF" w:rsidR="00E75DA9" w:rsidRPr="004C3D5B" w:rsidRDefault="00E75DA9" w:rsidP="00E75DA9">
      <w:pPr>
        <w:pStyle w:val="ListBullet"/>
      </w:pPr>
      <w:r>
        <w:t>Develop and pilot q</w:t>
      </w:r>
      <w:r w:rsidRPr="004C3D5B">
        <w:t xml:space="preserve">uestions to </w:t>
      </w:r>
      <w:r>
        <w:t xml:space="preserve">get </w:t>
      </w:r>
      <w:r w:rsidRPr="004C3D5B">
        <w:t>richer data from public bodies on the measures they have in place to create an EDI work culture using a Universal Design approach</w:t>
      </w:r>
      <w:r>
        <w:t>. It is envisioned that these questions will be ready for the Part 5 data collection process for 2023</w:t>
      </w:r>
      <w:r w:rsidR="00F323C5">
        <w:t>.</w:t>
      </w:r>
      <w:r>
        <w:t xml:space="preserve"> </w:t>
      </w:r>
    </w:p>
    <w:p w14:paraId="185C25D2" w14:textId="365CEFCF" w:rsidR="00E75DA9" w:rsidRPr="004C3D5B" w:rsidRDefault="00E75DA9" w:rsidP="00E75DA9">
      <w:pPr>
        <w:pStyle w:val="ListBullet"/>
      </w:pPr>
      <w:r>
        <w:t>Develop and pilot q</w:t>
      </w:r>
      <w:r w:rsidRPr="004C3D5B">
        <w:t>uestions to capture public sector employees’ perception of their respective organisations and the progress they are making in creating an EDI work culture</w:t>
      </w:r>
      <w:r>
        <w:t>. It is envisaged that these questions will be piloted at a future date</w:t>
      </w:r>
    </w:p>
    <w:p w14:paraId="6C9E785B" w14:textId="3181D749" w:rsidR="00E75DA9" w:rsidRDefault="00E75DA9" w:rsidP="00E068C9">
      <w:r>
        <w:t>This advisory group</w:t>
      </w:r>
      <w:r w:rsidR="009C01B9">
        <w:t xml:space="preserve"> </w:t>
      </w:r>
      <w:r>
        <w:t>include</w:t>
      </w:r>
      <w:r w:rsidR="009C01B9">
        <w:t>s</w:t>
      </w:r>
      <w:r w:rsidRPr="00E75DA9">
        <w:t xml:space="preserve"> </w:t>
      </w:r>
      <w:r w:rsidRPr="004C3D5B">
        <w:t xml:space="preserve">Disabled Person’s Organisations (DPOs), individual persons with disabilities, </w:t>
      </w:r>
      <w:r>
        <w:t xml:space="preserve">disability stakeholders, </w:t>
      </w:r>
      <w:r w:rsidR="00F323C5">
        <w:t>s</w:t>
      </w:r>
      <w:r w:rsidRPr="004C3D5B">
        <w:t xml:space="preserve">enior </w:t>
      </w:r>
      <w:r w:rsidR="00F323C5">
        <w:t>m</w:t>
      </w:r>
      <w:r w:rsidRPr="004C3D5B">
        <w:t>anagement and employees with and without disabilities in the public sector and public sector trade unions.</w:t>
      </w:r>
    </w:p>
    <w:p w14:paraId="03660595" w14:textId="69F47D20" w:rsidR="00005D40" w:rsidRDefault="00005D40" w:rsidP="00E068C9">
      <w:r>
        <w:t>The NDA will also be providing</w:t>
      </w:r>
      <w:r w:rsidR="009C01B9">
        <w:t xml:space="preserve"> </w:t>
      </w:r>
      <w:r>
        <w:t>training sessions for the Monitoring Committees and public bodies regarding responding to these new questions; improving employee</w:t>
      </w:r>
      <w:r w:rsidR="00C80DA2">
        <w:t>s’</w:t>
      </w:r>
      <w:r>
        <w:t xml:space="preserve"> responses to their staff censuses and</w:t>
      </w:r>
      <w:r w:rsidR="00850534">
        <w:t xml:space="preserve"> enhancing  their data collection </w:t>
      </w:r>
      <w:r w:rsidR="00F323C5">
        <w:t>processes</w:t>
      </w:r>
      <w:r w:rsidR="00850534">
        <w:t>.</w:t>
      </w:r>
    </w:p>
    <w:p w14:paraId="64BDCAA8" w14:textId="27426E5A" w:rsidR="00E75DA9" w:rsidRDefault="00E75DA9" w:rsidP="00E068C9">
      <w:r>
        <w:t>The NDA has also</w:t>
      </w:r>
      <w:r w:rsidR="00A431D2">
        <w:t xml:space="preserve"> commenced work on scoping out the essential requirements for an online monitoring system </w:t>
      </w:r>
      <w:r w:rsidR="00A431D2" w:rsidRPr="004C3D5B">
        <w:t xml:space="preserve">that </w:t>
      </w:r>
      <w:r w:rsidR="00F323C5">
        <w:t>may have the potential to</w:t>
      </w:r>
      <w:r w:rsidR="00F323C5" w:rsidRPr="004C3D5B">
        <w:t xml:space="preserve"> </w:t>
      </w:r>
      <w:r w:rsidR="00A431D2" w:rsidRPr="004C3D5B">
        <w:t xml:space="preserve">streamline the data collection and verification process and facilitate more in-depth analysis </w:t>
      </w:r>
      <w:r w:rsidR="003343F5">
        <w:t xml:space="preserve">for </w:t>
      </w:r>
      <w:r w:rsidR="00A431D2" w:rsidRPr="004C3D5B">
        <w:t>Part 5</w:t>
      </w:r>
      <w:r w:rsidR="003343F5">
        <w:t>.</w:t>
      </w:r>
    </w:p>
    <w:p w14:paraId="40C09F10" w14:textId="70AF9CB1" w:rsidR="002858EC" w:rsidRPr="00775630" w:rsidRDefault="00A431D2" w:rsidP="003652F9">
      <w:r>
        <w:rPr>
          <w:lang w:eastAsia="en-IE"/>
        </w:rPr>
        <w:t>The NDA will provide the public sector with updates regarding implementing the next phase of these recommendations from the Review of Part 5.</w:t>
      </w:r>
    </w:p>
    <w:p w14:paraId="42254073" w14:textId="77777777" w:rsidR="00850534" w:rsidRDefault="00850534">
      <w:pPr>
        <w:spacing w:after="0"/>
        <w:rPr>
          <w:rFonts w:ascii="Rockwell" w:hAnsi="Rockwell"/>
          <w:b/>
          <w:color w:val="CC3399"/>
          <w:sz w:val="56"/>
          <w:szCs w:val="56"/>
        </w:rPr>
      </w:pPr>
      <w:r>
        <w:br w:type="page"/>
      </w:r>
    </w:p>
    <w:p w14:paraId="49C25DA9" w14:textId="4940485F" w:rsidR="007F4313" w:rsidRPr="00BC13A0" w:rsidRDefault="007F4313" w:rsidP="001D1C7F">
      <w:pPr>
        <w:pStyle w:val="Heading1"/>
      </w:pPr>
      <w:bookmarkStart w:id="41" w:name="_Toc146113861"/>
      <w:r w:rsidRPr="00BC13A0">
        <w:lastRenderedPageBreak/>
        <w:t>2. Key</w:t>
      </w:r>
      <w:r w:rsidR="00973B13" w:rsidRPr="00BC13A0">
        <w:t xml:space="preserve"> Findings for 20</w:t>
      </w:r>
      <w:r w:rsidR="00E3525E" w:rsidRPr="00BC13A0">
        <w:t>2</w:t>
      </w:r>
      <w:r w:rsidR="00006EAC" w:rsidRPr="00BC13A0">
        <w:t>2</w:t>
      </w:r>
      <w:bookmarkEnd w:id="41"/>
    </w:p>
    <w:p w14:paraId="06E74A06" w14:textId="181DF619" w:rsidR="001D1C7F" w:rsidRPr="00BC13A0" w:rsidRDefault="001D1C7F" w:rsidP="00A53ACB">
      <w:pPr>
        <w:pStyle w:val="Heading2"/>
        <w:rPr>
          <w:lang w:eastAsia="en-IE"/>
        </w:rPr>
      </w:pPr>
      <w:bookmarkStart w:id="42" w:name="_Toc146113862"/>
      <w:r w:rsidRPr="00BC13A0">
        <w:rPr>
          <w:lang w:eastAsia="en-IE"/>
        </w:rPr>
        <w:t>2.1 Key findings for 202</w:t>
      </w:r>
      <w:r w:rsidR="00006EAC" w:rsidRPr="00BC13A0">
        <w:rPr>
          <w:lang w:eastAsia="en-IE"/>
        </w:rPr>
        <w:t>2</w:t>
      </w:r>
      <w:bookmarkEnd w:id="42"/>
    </w:p>
    <w:p w14:paraId="0E34CF29" w14:textId="3A902E57" w:rsidR="001D1C7F" w:rsidRDefault="001D1C7F" w:rsidP="003652F9">
      <w:pPr>
        <w:pStyle w:val="ListBullet"/>
        <w:rPr>
          <w:rFonts w:cs="Arial"/>
          <w:szCs w:val="26"/>
          <w:lang w:eastAsia="en-IE"/>
        </w:rPr>
      </w:pPr>
      <w:r w:rsidRPr="00BC13A0">
        <w:t>At the end of 202</w:t>
      </w:r>
      <w:r w:rsidR="00367C62" w:rsidRPr="00BC13A0">
        <w:t>2</w:t>
      </w:r>
      <w:r w:rsidRPr="00BC13A0">
        <w:t>, the total number of employees in the relevant public sector bodies was 2</w:t>
      </w:r>
      <w:r w:rsidR="00367C62" w:rsidRPr="00BC13A0">
        <w:t>60,434</w:t>
      </w:r>
      <w:r w:rsidRPr="00BC13A0">
        <w:rPr>
          <w:rFonts w:cs="Arial"/>
          <w:szCs w:val="26"/>
          <w:lang w:eastAsia="en-IE"/>
        </w:rPr>
        <w:t>, an incr</w:t>
      </w:r>
      <w:r w:rsidR="0049049A" w:rsidRPr="00BC13A0">
        <w:rPr>
          <w:rFonts w:cs="Arial"/>
          <w:szCs w:val="26"/>
          <w:lang w:eastAsia="en-IE"/>
        </w:rPr>
        <w:t xml:space="preserve">ease of </w:t>
      </w:r>
      <w:r w:rsidR="00367C62" w:rsidRPr="00BC13A0">
        <w:rPr>
          <w:rFonts w:cs="Arial"/>
          <w:szCs w:val="26"/>
          <w:lang w:eastAsia="en-IE"/>
        </w:rPr>
        <w:t>8,882</w:t>
      </w:r>
      <w:r w:rsidR="0049049A" w:rsidRPr="00BC13A0">
        <w:rPr>
          <w:rFonts w:cs="Arial"/>
          <w:szCs w:val="26"/>
          <w:lang w:eastAsia="en-IE"/>
        </w:rPr>
        <w:t xml:space="preserve"> (+</w:t>
      </w:r>
      <w:r w:rsidR="00367C62" w:rsidRPr="00BC13A0">
        <w:rPr>
          <w:rFonts w:cs="Arial"/>
          <w:szCs w:val="26"/>
          <w:lang w:eastAsia="en-IE"/>
        </w:rPr>
        <w:t>3.5</w:t>
      </w:r>
      <w:r w:rsidR="0049049A" w:rsidRPr="00BC13A0">
        <w:rPr>
          <w:rFonts w:cs="Arial"/>
          <w:szCs w:val="26"/>
          <w:lang w:eastAsia="en-IE"/>
        </w:rPr>
        <w:t>%) from 202</w:t>
      </w:r>
      <w:r w:rsidR="00367C62" w:rsidRPr="00BC13A0">
        <w:rPr>
          <w:rFonts w:cs="Arial"/>
          <w:szCs w:val="26"/>
          <w:lang w:eastAsia="en-IE"/>
        </w:rPr>
        <w:t>1</w:t>
      </w:r>
    </w:p>
    <w:p w14:paraId="65129321" w14:textId="08001782" w:rsidR="001206A2" w:rsidRDefault="001206A2" w:rsidP="001206A2">
      <w:pPr>
        <w:pStyle w:val="ListBullet"/>
        <w:rPr>
          <w:lang w:eastAsia="en-IE"/>
        </w:rPr>
      </w:pPr>
      <w:r>
        <w:t xml:space="preserve">The NDA is pleased to note that for the first time in 2022 </w:t>
      </w:r>
      <w:r w:rsidR="001D1C7F" w:rsidRPr="00BC13A0">
        <w:rPr>
          <w:lang w:eastAsia="en-IE"/>
        </w:rPr>
        <w:t xml:space="preserve">the number of employees reporting a disability was </w:t>
      </w:r>
      <w:r w:rsidR="00367C62" w:rsidRPr="00BC13A0">
        <w:rPr>
          <w:lang w:eastAsia="en-IE"/>
        </w:rPr>
        <w:t>10,631</w:t>
      </w:r>
      <w:r w:rsidR="001D1C7F" w:rsidRPr="00BC13A0">
        <w:rPr>
          <w:lang w:eastAsia="en-IE"/>
        </w:rPr>
        <w:t xml:space="preserve"> (</w:t>
      </w:r>
      <w:r w:rsidR="00367C62" w:rsidRPr="00BC13A0">
        <w:rPr>
          <w:lang w:eastAsia="en-IE"/>
        </w:rPr>
        <w:t>4.1</w:t>
      </w:r>
      <w:r w:rsidR="001D1C7F" w:rsidRPr="00BC13A0">
        <w:rPr>
          <w:lang w:eastAsia="en-IE"/>
        </w:rPr>
        <w:t>%), an increase of 1,</w:t>
      </w:r>
      <w:r w:rsidR="00367C62" w:rsidRPr="00BC13A0">
        <w:rPr>
          <w:lang w:eastAsia="en-IE"/>
        </w:rPr>
        <w:t>620</w:t>
      </w:r>
      <w:r w:rsidR="001D1C7F" w:rsidRPr="00BC13A0">
        <w:rPr>
          <w:lang w:eastAsia="en-IE"/>
        </w:rPr>
        <w:t xml:space="preserve"> (+18.0%) from the 202</w:t>
      </w:r>
      <w:r w:rsidR="00367C62" w:rsidRPr="00BC13A0">
        <w:rPr>
          <w:lang w:eastAsia="en-IE"/>
        </w:rPr>
        <w:t>1</w:t>
      </w:r>
      <w:r w:rsidR="001D1C7F" w:rsidRPr="00BC13A0">
        <w:rPr>
          <w:lang w:eastAsia="en-IE"/>
        </w:rPr>
        <w:t xml:space="preserve"> figures</w:t>
      </w:r>
    </w:p>
    <w:p w14:paraId="43B1BB4B" w14:textId="77777777" w:rsidR="003343F5" w:rsidRDefault="001206A2" w:rsidP="00C80DA2">
      <w:pPr>
        <w:pStyle w:val="ListBullet"/>
        <w:spacing w:after="240"/>
        <w:ind w:left="357" w:hanging="357"/>
        <w:rPr>
          <w:rFonts w:cs="Arial"/>
          <w:szCs w:val="26"/>
          <w:lang w:eastAsia="en-IE"/>
        </w:rPr>
      </w:pPr>
      <w:r>
        <w:rPr>
          <w:lang w:eastAsia="en-IE"/>
        </w:rPr>
        <w:t xml:space="preserve">The NDA is also pleased to note that the </w:t>
      </w:r>
      <w:r w:rsidR="001D1C7F" w:rsidRPr="00BC13A0">
        <w:t xml:space="preserve">proportion of employees declaring a disability in the public service exceeded the minimum 3% target for the </w:t>
      </w:r>
      <w:r w:rsidR="00B3021B" w:rsidRPr="00BC13A0">
        <w:t>t</w:t>
      </w:r>
      <w:r w:rsidR="00FB74C6" w:rsidRPr="00BC13A0">
        <w:t>wel</w:t>
      </w:r>
      <w:r w:rsidR="003F20E8">
        <w:t>fth</w:t>
      </w:r>
      <w:r w:rsidR="001D1C7F" w:rsidRPr="00BC13A0">
        <w:t xml:space="preserve"> successive year</w:t>
      </w:r>
    </w:p>
    <w:p w14:paraId="7BE54D58" w14:textId="67DB36EA" w:rsidR="001D1C7F" w:rsidRPr="003343F5" w:rsidRDefault="001D1C7F" w:rsidP="003343F5">
      <w:pPr>
        <w:pStyle w:val="ListBullet"/>
        <w:numPr>
          <w:ilvl w:val="0"/>
          <w:numId w:val="0"/>
        </w:numPr>
        <w:rPr>
          <w:rFonts w:cs="Arial"/>
          <w:szCs w:val="26"/>
          <w:lang w:eastAsia="en-IE"/>
        </w:rPr>
      </w:pPr>
      <w:r w:rsidRPr="00BC13A0">
        <w:t xml:space="preserve">Table </w:t>
      </w:r>
      <w:r w:rsidR="003343F5">
        <w:t>2</w:t>
      </w:r>
      <w:r w:rsidRPr="00BC13A0">
        <w:t xml:space="preserve"> captures these key </w:t>
      </w:r>
      <w:r w:rsidR="000F66D5" w:rsidRPr="00BC13A0">
        <w:t>findings for</w:t>
      </w:r>
      <w:r w:rsidRPr="00BC13A0">
        <w:t xml:space="preserve"> 202</w:t>
      </w:r>
      <w:r w:rsidR="00FB74C6" w:rsidRPr="00BC13A0">
        <w:t>2</w:t>
      </w:r>
      <w:r w:rsidRPr="00BC13A0">
        <w:t xml:space="preserve"> and the progress the public sector has made in meeting the minimum 3% target from 2007 – 202</w:t>
      </w:r>
      <w:r w:rsidR="00FB74C6" w:rsidRPr="00BC13A0">
        <w:t>2</w:t>
      </w:r>
      <w:r w:rsidRPr="00BC13A0">
        <w:t>. In 2007, the NDA began monitoring the employment of persons with disabilities.</w:t>
      </w:r>
      <w:r w:rsidRPr="003343F5">
        <w:rPr>
          <w:rFonts w:cs="Arial"/>
          <w:szCs w:val="26"/>
          <w:lang w:eastAsia="en-IE"/>
        </w:rPr>
        <w:t xml:space="preserve"> </w:t>
      </w:r>
    </w:p>
    <w:p w14:paraId="54CAA5F7" w14:textId="3EA9FA82" w:rsidR="00A32E79" w:rsidRPr="00BC13A0" w:rsidRDefault="001D1C7F" w:rsidP="003652F9">
      <w:pPr>
        <w:rPr>
          <w:rFonts w:cs="Arial"/>
          <w:szCs w:val="26"/>
          <w:lang w:eastAsia="en-IE"/>
        </w:rPr>
      </w:pPr>
      <w:r w:rsidRPr="00BC13A0">
        <w:rPr>
          <w:rFonts w:cs="Arial"/>
          <w:szCs w:val="26"/>
          <w:lang w:eastAsia="en-IE"/>
        </w:rPr>
        <w:t xml:space="preserve">As detailed in Table </w:t>
      </w:r>
      <w:r w:rsidR="00850534">
        <w:rPr>
          <w:rFonts w:cs="Arial"/>
          <w:szCs w:val="26"/>
          <w:lang w:eastAsia="en-IE"/>
        </w:rPr>
        <w:t>2</w:t>
      </w:r>
      <w:r w:rsidRPr="00BC13A0">
        <w:rPr>
          <w:rFonts w:cs="Arial"/>
          <w:szCs w:val="26"/>
          <w:lang w:eastAsia="en-IE"/>
        </w:rPr>
        <w:t xml:space="preserve"> </w:t>
      </w:r>
      <w:r w:rsidRPr="00BC13A0">
        <w:t>b</w:t>
      </w:r>
      <w:r w:rsidR="00A32E79" w:rsidRPr="00BC13A0">
        <w:t xml:space="preserve">etween 2007 and 2013, the total number of public sector employees decreased year-on-year, while the total number of employees reporting a disability fluctuated over the same period. Since 2014, the total number of public sector employees has increased year-on-year. </w:t>
      </w:r>
      <w:r w:rsidR="00A32E79" w:rsidRPr="00BC13A0">
        <w:rPr>
          <w:color w:val="000000" w:themeColor="text1"/>
        </w:rPr>
        <w:t>At the end of 202</w:t>
      </w:r>
      <w:r w:rsidR="00FB74C6" w:rsidRPr="00BC13A0">
        <w:rPr>
          <w:color w:val="000000" w:themeColor="text1"/>
        </w:rPr>
        <w:t>2</w:t>
      </w:r>
      <w:r w:rsidR="00A32E79" w:rsidRPr="00BC13A0">
        <w:rPr>
          <w:color w:val="000000" w:themeColor="text1"/>
        </w:rPr>
        <w:t xml:space="preserve">, the total number of employees in the relevant public sector bodies was </w:t>
      </w:r>
      <w:r w:rsidR="00FB74C6" w:rsidRPr="00BC13A0">
        <w:rPr>
          <w:rFonts w:cs="Arial"/>
          <w:szCs w:val="26"/>
          <w:lang w:eastAsia="en-IE"/>
        </w:rPr>
        <w:t>260,434</w:t>
      </w:r>
      <w:r w:rsidR="00A32E79" w:rsidRPr="00BC13A0">
        <w:rPr>
          <w:rFonts w:cs="Arial"/>
          <w:szCs w:val="26"/>
          <w:lang w:eastAsia="en-IE"/>
        </w:rPr>
        <w:t xml:space="preserve">, an increase of </w:t>
      </w:r>
      <w:r w:rsidR="00FB74C6" w:rsidRPr="00BC13A0">
        <w:rPr>
          <w:rFonts w:cs="Arial"/>
          <w:szCs w:val="26"/>
          <w:lang w:eastAsia="en-IE"/>
        </w:rPr>
        <w:t>8,882</w:t>
      </w:r>
      <w:r w:rsidR="00A32E79" w:rsidRPr="00BC13A0">
        <w:rPr>
          <w:rFonts w:cs="Arial"/>
          <w:szCs w:val="26"/>
          <w:lang w:eastAsia="en-IE"/>
        </w:rPr>
        <w:t xml:space="preserve"> (+</w:t>
      </w:r>
      <w:r w:rsidR="00FB74C6" w:rsidRPr="00BC13A0">
        <w:rPr>
          <w:rFonts w:cs="Arial"/>
          <w:szCs w:val="26"/>
          <w:lang w:eastAsia="en-IE"/>
        </w:rPr>
        <w:t>3.5</w:t>
      </w:r>
      <w:r w:rsidR="00A32E79" w:rsidRPr="00BC13A0">
        <w:rPr>
          <w:rFonts w:cs="Arial"/>
          <w:szCs w:val="26"/>
          <w:lang w:eastAsia="en-IE"/>
        </w:rPr>
        <w:t>%) from 202</w:t>
      </w:r>
      <w:r w:rsidR="00FB74C6" w:rsidRPr="00BC13A0">
        <w:rPr>
          <w:rFonts w:cs="Arial"/>
          <w:szCs w:val="26"/>
          <w:lang w:eastAsia="en-IE"/>
        </w:rPr>
        <w:t>1</w:t>
      </w:r>
      <w:r w:rsidR="00A32E79" w:rsidRPr="00BC13A0">
        <w:rPr>
          <w:rFonts w:cs="Arial"/>
          <w:szCs w:val="26"/>
          <w:lang w:eastAsia="en-IE"/>
        </w:rPr>
        <w:t>.</w:t>
      </w:r>
    </w:p>
    <w:p w14:paraId="15EC67EA" w14:textId="76B6C865" w:rsidR="00415104" w:rsidRDefault="00A32E79" w:rsidP="00E068C9">
      <w:r w:rsidRPr="00BC13A0">
        <w:t xml:space="preserve">The number of employees reporting a disability increased each year from 2014 to 2017. However this number and percentage fell in 2018 to 3.3% and 3.1% in 2019. In 2020, the number of employees reporting a disability increased again but due to the overall increase in employee numbers in the public sector the overall percentage of employees reporting a disability remained at 3.1%. </w:t>
      </w:r>
      <w:r w:rsidR="00B8659B" w:rsidRPr="00BC13A0">
        <w:t xml:space="preserve">In 2021, the overall percentage of employees reporting a disability increased to 3.6%. </w:t>
      </w:r>
      <w:r w:rsidR="004F4FCD" w:rsidRPr="00BC13A0">
        <w:t>The NDA is pleased to note th</w:t>
      </w:r>
      <w:r w:rsidR="00C80DA2">
        <w:t>e</w:t>
      </w:r>
      <w:r w:rsidR="004F4FCD" w:rsidRPr="00BC13A0">
        <w:t xml:space="preserve"> progress the public sector has made in 202</w:t>
      </w:r>
      <w:r w:rsidR="00B8659B" w:rsidRPr="00BC13A0">
        <w:t>2</w:t>
      </w:r>
      <w:r w:rsidR="00C80DA2">
        <w:t>,</w:t>
      </w:r>
      <w:r w:rsidR="004F4FCD" w:rsidRPr="00BC13A0">
        <w:t xml:space="preserve"> in terms of reporting an </w:t>
      </w:r>
      <w:r w:rsidR="000F66D5" w:rsidRPr="00BC13A0">
        <w:t>increase in</w:t>
      </w:r>
      <w:r w:rsidR="004F4FCD" w:rsidRPr="00BC13A0">
        <w:t xml:space="preserve"> the number and percentage of employees reporting a </w:t>
      </w:r>
      <w:r w:rsidR="000F66D5" w:rsidRPr="00BC13A0">
        <w:t>disability</w:t>
      </w:r>
      <w:r w:rsidR="00256167" w:rsidRPr="00BC13A0">
        <w:t xml:space="preserve"> to 4.1%</w:t>
      </w:r>
      <w:r w:rsidR="004F4FCD" w:rsidRPr="00BC13A0">
        <w:t xml:space="preserve">. </w:t>
      </w:r>
    </w:p>
    <w:p w14:paraId="5D67C951" w14:textId="71A30782" w:rsidR="00F23185" w:rsidRDefault="00F23185" w:rsidP="00E068C9"/>
    <w:p w14:paraId="1663F353" w14:textId="2B5142E3" w:rsidR="00F23185" w:rsidRDefault="00F23185" w:rsidP="00E068C9"/>
    <w:p w14:paraId="677FBA2E" w14:textId="77777777" w:rsidR="004029C8" w:rsidRDefault="004029C8" w:rsidP="00E068C9"/>
    <w:p w14:paraId="5D0B551F" w14:textId="77777777" w:rsidR="00F23185" w:rsidRPr="00E068C9" w:rsidRDefault="00F23185" w:rsidP="00E068C9">
      <w:pPr>
        <w:rPr>
          <w:rFonts w:cs="Arial"/>
          <w:szCs w:val="26"/>
          <w:lang w:eastAsia="en-IE"/>
        </w:rPr>
      </w:pPr>
    </w:p>
    <w:p w14:paraId="743C058A" w14:textId="1AF4887B" w:rsidR="00973B13" w:rsidRPr="00BC13A0" w:rsidRDefault="00961DC1" w:rsidP="00973B13">
      <w:pPr>
        <w:keepNext/>
        <w:keepLines/>
        <w:spacing w:after="120"/>
        <w:rPr>
          <w:rFonts w:ascii="Gill Sans" w:hAnsi="Gill Sans"/>
          <w:b/>
        </w:rPr>
      </w:pPr>
      <w:r w:rsidRPr="00BC13A0">
        <w:rPr>
          <w:rFonts w:ascii="Gill Sans" w:hAnsi="Gill Sans"/>
          <w:b/>
        </w:rPr>
        <w:lastRenderedPageBreak/>
        <w:t xml:space="preserve">Table </w:t>
      </w:r>
      <w:r w:rsidR="00850534">
        <w:rPr>
          <w:rFonts w:ascii="Gill Sans" w:hAnsi="Gill Sans"/>
          <w:b/>
        </w:rPr>
        <w:t>2</w:t>
      </w:r>
      <w:r w:rsidR="00973B13" w:rsidRPr="00BC13A0">
        <w:rPr>
          <w:rFonts w:ascii="Gill Sans" w:hAnsi="Gill Sans"/>
          <w:b/>
        </w:rPr>
        <w:t>. Progress towa</w:t>
      </w:r>
      <w:r w:rsidR="00615A38" w:rsidRPr="00BC13A0">
        <w:rPr>
          <w:rFonts w:ascii="Gill Sans" w:hAnsi="Gill Sans"/>
          <w:b/>
        </w:rPr>
        <w:t>rds minimum 3% target, 2007-202</w:t>
      </w:r>
      <w:r w:rsidR="00742328" w:rsidRPr="00BC13A0">
        <w:rPr>
          <w:rFonts w:ascii="Gill Sans" w:hAnsi="Gill Sans"/>
          <w:b/>
        </w:rPr>
        <w:t>2</w:t>
      </w:r>
    </w:p>
    <w:tbl>
      <w:tblPr>
        <w:tblStyle w:val="TableGrid1"/>
        <w:tblW w:w="9308" w:type="dxa"/>
        <w:tblLayout w:type="fixed"/>
        <w:tblLook w:val="0220" w:firstRow="1" w:lastRow="0" w:firstColumn="0" w:lastColumn="0" w:noHBand="1" w:noVBand="0"/>
      </w:tblPr>
      <w:tblGrid>
        <w:gridCol w:w="2410"/>
        <w:gridCol w:w="2410"/>
        <w:gridCol w:w="2504"/>
        <w:gridCol w:w="1984"/>
      </w:tblGrid>
      <w:tr w:rsidR="00973B13" w:rsidRPr="00BC13A0" w14:paraId="2FE2AE82" w14:textId="77777777" w:rsidTr="004029C8">
        <w:tc>
          <w:tcPr>
            <w:tcW w:w="2410" w:type="dxa"/>
          </w:tcPr>
          <w:p w14:paraId="3DAD72F9" w14:textId="77777777" w:rsidR="00973B13" w:rsidRPr="00BC13A0" w:rsidRDefault="00973B13" w:rsidP="00DD1EE1">
            <w:pPr>
              <w:spacing w:after="0"/>
              <w:rPr>
                <w:b/>
                <w:color w:val="000000"/>
                <w:sz w:val="24"/>
              </w:rPr>
            </w:pPr>
            <w:r w:rsidRPr="00BC13A0">
              <w:rPr>
                <w:b/>
                <w:color w:val="000000"/>
                <w:sz w:val="24"/>
              </w:rPr>
              <w:t>Year</w:t>
            </w:r>
          </w:p>
        </w:tc>
        <w:tc>
          <w:tcPr>
            <w:tcW w:w="2410" w:type="dxa"/>
          </w:tcPr>
          <w:p w14:paraId="42208D67" w14:textId="45EE9686" w:rsidR="00973B13" w:rsidRPr="00BC13A0" w:rsidRDefault="00973B13" w:rsidP="00DD1EE1">
            <w:pPr>
              <w:spacing w:after="0"/>
              <w:rPr>
                <w:b/>
                <w:color w:val="000000"/>
                <w:sz w:val="24"/>
              </w:rPr>
            </w:pPr>
            <w:r w:rsidRPr="00BC13A0">
              <w:rPr>
                <w:b/>
                <w:color w:val="000000"/>
                <w:sz w:val="24"/>
              </w:rPr>
              <w:t xml:space="preserve">Total </w:t>
            </w:r>
            <w:r w:rsidR="007A1887" w:rsidRPr="00BC13A0">
              <w:rPr>
                <w:b/>
                <w:color w:val="000000"/>
                <w:sz w:val="24"/>
              </w:rPr>
              <w:t xml:space="preserve">number of </w:t>
            </w:r>
            <w:r w:rsidRPr="00BC13A0">
              <w:rPr>
                <w:b/>
                <w:color w:val="000000"/>
                <w:sz w:val="24"/>
              </w:rPr>
              <w:t>employees</w:t>
            </w:r>
          </w:p>
        </w:tc>
        <w:tc>
          <w:tcPr>
            <w:tcW w:w="2504" w:type="dxa"/>
          </w:tcPr>
          <w:p w14:paraId="75DD852D" w14:textId="40E426E7" w:rsidR="00973B13" w:rsidRPr="00BC13A0" w:rsidRDefault="00FE708A" w:rsidP="00DD1EE1">
            <w:pPr>
              <w:spacing w:after="0"/>
              <w:rPr>
                <w:b/>
                <w:color w:val="000000"/>
                <w:sz w:val="24"/>
              </w:rPr>
            </w:pPr>
            <w:r w:rsidRPr="00BC13A0">
              <w:rPr>
                <w:b/>
                <w:color w:val="000000"/>
                <w:sz w:val="24"/>
              </w:rPr>
              <w:t>E</w:t>
            </w:r>
            <w:r w:rsidR="00130320" w:rsidRPr="00BC13A0">
              <w:rPr>
                <w:b/>
                <w:color w:val="000000"/>
                <w:sz w:val="24"/>
              </w:rPr>
              <w:t xml:space="preserve">mployees reporting </w:t>
            </w:r>
            <w:r w:rsidR="00042640" w:rsidRPr="00BC13A0">
              <w:rPr>
                <w:b/>
                <w:color w:val="000000"/>
                <w:sz w:val="24"/>
              </w:rPr>
              <w:t>a</w:t>
            </w:r>
            <w:r w:rsidRPr="00BC13A0">
              <w:rPr>
                <w:b/>
                <w:color w:val="000000"/>
                <w:sz w:val="24"/>
              </w:rPr>
              <w:t xml:space="preserve"> </w:t>
            </w:r>
            <w:r w:rsidR="00042640" w:rsidRPr="00BC13A0">
              <w:rPr>
                <w:b/>
                <w:color w:val="000000"/>
                <w:sz w:val="24"/>
              </w:rPr>
              <w:t xml:space="preserve"> disability</w:t>
            </w:r>
          </w:p>
        </w:tc>
        <w:tc>
          <w:tcPr>
            <w:tcW w:w="1984" w:type="dxa"/>
          </w:tcPr>
          <w:p w14:paraId="4E4B0A9B" w14:textId="1130F4A9" w:rsidR="00973B13" w:rsidRPr="00BC13A0" w:rsidRDefault="00973B13" w:rsidP="00DD1EE1">
            <w:pPr>
              <w:spacing w:after="0"/>
              <w:rPr>
                <w:b/>
                <w:color w:val="000000"/>
                <w:sz w:val="24"/>
              </w:rPr>
            </w:pPr>
            <w:r w:rsidRPr="00BC13A0">
              <w:rPr>
                <w:b/>
                <w:color w:val="000000"/>
                <w:sz w:val="24"/>
              </w:rPr>
              <w:t xml:space="preserve">% of total employees </w:t>
            </w:r>
            <w:r w:rsidR="00130320" w:rsidRPr="00BC13A0">
              <w:rPr>
                <w:b/>
                <w:color w:val="000000"/>
                <w:sz w:val="24"/>
              </w:rPr>
              <w:t xml:space="preserve">reporting </w:t>
            </w:r>
            <w:r w:rsidR="00FE708A" w:rsidRPr="00BC13A0">
              <w:rPr>
                <w:b/>
                <w:color w:val="000000"/>
                <w:sz w:val="24"/>
              </w:rPr>
              <w:t xml:space="preserve"> </w:t>
            </w:r>
            <w:r w:rsidR="00042640" w:rsidRPr="00BC13A0">
              <w:rPr>
                <w:b/>
                <w:color w:val="000000"/>
                <w:sz w:val="24"/>
              </w:rPr>
              <w:t>a disability</w:t>
            </w:r>
          </w:p>
        </w:tc>
      </w:tr>
      <w:tr w:rsidR="00973B13" w:rsidRPr="00BC13A0" w14:paraId="4B17D5CD" w14:textId="77777777" w:rsidTr="004029C8">
        <w:tc>
          <w:tcPr>
            <w:tcW w:w="2410" w:type="dxa"/>
          </w:tcPr>
          <w:p w14:paraId="264D6EAB" w14:textId="77777777" w:rsidR="00973B13" w:rsidRPr="00BC13A0" w:rsidRDefault="00973B13" w:rsidP="00AD2F28">
            <w:pPr>
              <w:spacing w:after="0"/>
              <w:jc w:val="right"/>
              <w:rPr>
                <w:color w:val="000000"/>
                <w:sz w:val="24"/>
              </w:rPr>
            </w:pPr>
            <w:r w:rsidRPr="00BC13A0">
              <w:rPr>
                <w:color w:val="000000"/>
                <w:sz w:val="24"/>
              </w:rPr>
              <w:t>2007</w:t>
            </w:r>
          </w:p>
        </w:tc>
        <w:tc>
          <w:tcPr>
            <w:tcW w:w="2410" w:type="dxa"/>
          </w:tcPr>
          <w:p w14:paraId="039B6DDE" w14:textId="77777777" w:rsidR="00973B13" w:rsidRPr="00BC13A0" w:rsidRDefault="00973B13" w:rsidP="00AD2F28">
            <w:pPr>
              <w:spacing w:after="0"/>
              <w:jc w:val="right"/>
              <w:rPr>
                <w:color w:val="000000"/>
                <w:sz w:val="24"/>
              </w:rPr>
            </w:pPr>
            <w:r w:rsidRPr="00BC13A0">
              <w:rPr>
                <w:color w:val="000000"/>
                <w:sz w:val="24"/>
              </w:rPr>
              <w:t>238,833</w:t>
            </w:r>
          </w:p>
        </w:tc>
        <w:tc>
          <w:tcPr>
            <w:tcW w:w="2504" w:type="dxa"/>
          </w:tcPr>
          <w:p w14:paraId="7CD285A8" w14:textId="77777777" w:rsidR="00973B13" w:rsidRPr="00BC13A0" w:rsidRDefault="00973B13" w:rsidP="00AD2F28">
            <w:pPr>
              <w:spacing w:after="0"/>
              <w:jc w:val="right"/>
              <w:rPr>
                <w:color w:val="000000"/>
                <w:sz w:val="24"/>
              </w:rPr>
            </w:pPr>
            <w:r w:rsidRPr="00BC13A0">
              <w:rPr>
                <w:color w:val="000000"/>
                <w:sz w:val="24"/>
              </w:rPr>
              <w:t xml:space="preserve">5,879 </w:t>
            </w:r>
          </w:p>
        </w:tc>
        <w:tc>
          <w:tcPr>
            <w:tcW w:w="1984" w:type="dxa"/>
          </w:tcPr>
          <w:p w14:paraId="335E7E16" w14:textId="77777777" w:rsidR="00973B13" w:rsidRPr="00BC13A0" w:rsidRDefault="00973B13" w:rsidP="00AD2F28">
            <w:pPr>
              <w:spacing w:after="0"/>
              <w:jc w:val="right"/>
              <w:rPr>
                <w:color w:val="000000"/>
                <w:sz w:val="24"/>
              </w:rPr>
            </w:pPr>
            <w:r w:rsidRPr="00BC13A0">
              <w:rPr>
                <w:color w:val="000000"/>
                <w:sz w:val="24"/>
              </w:rPr>
              <w:t>2.5%</w:t>
            </w:r>
          </w:p>
        </w:tc>
      </w:tr>
      <w:tr w:rsidR="00973B13" w:rsidRPr="00BC13A0" w14:paraId="1C502877" w14:textId="77777777" w:rsidTr="004029C8">
        <w:tc>
          <w:tcPr>
            <w:tcW w:w="2410" w:type="dxa"/>
          </w:tcPr>
          <w:p w14:paraId="6C720212" w14:textId="77777777" w:rsidR="00973B13" w:rsidRPr="00BC13A0" w:rsidRDefault="00973B13" w:rsidP="00AD2F28">
            <w:pPr>
              <w:spacing w:after="0"/>
              <w:jc w:val="right"/>
              <w:rPr>
                <w:color w:val="000000"/>
                <w:sz w:val="24"/>
              </w:rPr>
            </w:pPr>
            <w:r w:rsidRPr="00BC13A0">
              <w:rPr>
                <w:color w:val="000000"/>
                <w:sz w:val="24"/>
              </w:rPr>
              <w:t>2008</w:t>
            </w:r>
          </w:p>
        </w:tc>
        <w:tc>
          <w:tcPr>
            <w:tcW w:w="2410" w:type="dxa"/>
          </w:tcPr>
          <w:p w14:paraId="6CC65C41" w14:textId="77777777" w:rsidR="00973B13" w:rsidRPr="00BC13A0" w:rsidRDefault="00973B13" w:rsidP="00AD2F28">
            <w:pPr>
              <w:spacing w:after="0"/>
              <w:jc w:val="right"/>
              <w:rPr>
                <w:color w:val="000000"/>
                <w:sz w:val="24"/>
              </w:rPr>
            </w:pPr>
            <w:r w:rsidRPr="00BC13A0">
              <w:rPr>
                <w:color w:val="000000"/>
                <w:sz w:val="24"/>
              </w:rPr>
              <w:t>229,000</w:t>
            </w:r>
          </w:p>
        </w:tc>
        <w:tc>
          <w:tcPr>
            <w:tcW w:w="2504" w:type="dxa"/>
          </w:tcPr>
          <w:p w14:paraId="10CE233A" w14:textId="77777777" w:rsidR="00973B13" w:rsidRPr="00BC13A0" w:rsidRDefault="00973B13" w:rsidP="00AD2F28">
            <w:pPr>
              <w:spacing w:after="0"/>
              <w:jc w:val="right"/>
              <w:rPr>
                <w:color w:val="000000"/>
                <w:sz w:val="24"/>
              </w:rPr>
            </w:pPr>
            <w:r w:rsidRPr="00BC13A0">
              <w:rPr>
                <w:color w:val="000000"/>
                <w:sz w:val="24"/>
              </w:rPr>
              <w:t xml:space="preserve"> 6,083 </w:t>
            </w:r>
          </w:p>
        </w:tc>
        <w:tc>
          <w:tcPr>
            <w:tcW w:w="1984" w:type="dxa"/>
          </w:tcPr>
          <w:p w14:paraId="4F2A140D" w14:textId="77777777" w:rsidR="00973B13" w:rsidRPr="00BC13A0" w:rsidRDefault="00973B13" w:rsidP="00AD2F28">
            <w:pPr>
              <w:spacing w:after="0"/>
              <w:jc w:val="right"/>
              <w:rPr>
                <w:color w:val="000000"/>
                <w:sz w:val="24"/>
              </w:rPr>
            </w:pPr>
            <w:r w:rsidRPr="00BC13A0">
              <w:rPr>
                <w:color w:val="000000"/>
                <w:sz w:val="24"/>
              </w:rPr>
              <w:t>2.7%</w:t>
            </w:r>
          </w:p>
        </w:tc>
      </w:tr>
      <w:tr w:rsidR="00973B13" w:rsidRPr="00BC13A0" w14:paraId="68F2699F" w14:textId="77777777" w:rsidTr="004029C8">
        <w:tc>
          <w:tcPr>
            <w:tcW w:w="2410" w:type="dxa"/>
          </w:tcPr>
          <w:p w14:paraId="4A2D2CBB" w14:textId="77777777" w:rsidR="00973B13" w:rsidRPr="00BC13A0" w:rsidRDefault="00973B13" w:rsidP="00AD2F28">
            <w:pPr>
              <w:spacing w:after="0"/>
              <w:jc w:val="right"/>
              <w:rPr>
                <w:color w:val="000000"/>
                <w:sz w:val="24"/>
              </w:rPr>
            </w:pPr>
            <w:r w:rsidRPr="00BC13A0">
              <w:rPr>
                <w:color w:val="000000"/>
                <w:sz w:val="24"/>
              </w:rPr>
              <w:t>2009</w:t>
            </w:r>
          </w:p>
        </w:tc>
        <w:tc>
          <w:tcPr>
            <w:tcW w:w="2410" w:type="dxa"/>
          </w:tcPr>
          <w:p w14:paraId="4219D10F" w14:textId="77777777" w:rsidR="00973B13" w:rsidRPr="00BC13A0" w:rsidRDefault="00973B13" w:rsidP="00AD2F28">
            <w:pPr>
              <w:spacing w:after="0"/>
              <w:jc w:val="right"/>
              <w:rPr>
                <w:color w:val="000000"/>
                <w:sz w:val="24"/>
              </w:rPr>
            </w:pPr>
            <w:r w:rsidRPr="00BC13A0">
              <w:rPr>
                <w:color w:val="000000"/>
                <w:sz w:val="24"/>
              </w:rPr>
              <w:t>219,653</w:t>
            </w:r>
          </w:p>
        </w:tc>
        <w:tc>
          <w:tcPr>
            <w:tcW w:w="2504" w:type="dxa"/>
          </w:tcPr>
          <w:p w14:paraId="7375FF18" w14:textId="77777777" w:rsidR="00973B13" w:rsidRPr="00BC13A0" w:rsidRDefault="00973B13" w:rsidP="00AD2F28">
            <w:pPr>
              <w:spacing w:after="0"/>
              <w:jc w:val="right"/>
              <w:rPr>
                <w:color w:val="000000"/>
                <w:sz w:val="24"/>
              </w:rPr>
            </w:pPr>
            <w:r w:rsidRPr="00BC13A0">
              <w:rPr>
                <w:color w:val="000000"/>
                <w:sz w:val="24"/>
              </w:rPr>
              <w:t xml:space="preserve">6,380 </w:t>
            </w:r>
          </w:p>
        </w:tc>
        <w:tc>
          <w:tcPr>
            <w:tcW w:w="1984" w:type="dxa"/>
          </w:tcPr>
          <w:p w14:paraId="10C822F9" w14:textId="77777777" w:rsidR="00973B13" w:rsidRPr="00BC13A0" w:rsidRDefault="00973B13" w:rsidP="00AD2F28">
            <w:pPr>
              <w:spacing w:after="0"/>
              <w:jc w:val="right"/>
              <w:rPr>
                <w:color w:val="000000"/>
                <w:sz w:val="24"/>
              </w:rPr>
            </w:pPr>
            <w:r w:rsidRPr="00BC13A0">
              <w:rPr>
                <w:color w:val="000000"/>
                <w:sz w:val="24"/>
              </w:rPr>
              <w:t>2.9%</w:t>
            </w:r>
          </w:p>
        </w:tc>
      </w:tr>
      <w:tr w:rsidR="00973B13" w:rsidRPr="00BC13A0" w14:paraId="287B34AC" w14:textId="77777777" w:rsidTr="004029C8">
        <w:tc>
          <w:tcPr>
            <w:tcW w:w="2410" w:type="dxa"/>
          </w:tcPr>
          <w:p w14:paraId="36CAD752" w14:textId="77777777" w:rsidR="00973B13" w:rsidRPr="00BC13A0" w:rsidRDefault="00973B13" w:rsidP="00AD2F28">
            <w:pPr>
              <w:spacing w:after="0"/>
              <w:jc w:val="right"/>
              <w:rPr>
                <w:color w:val="000000"/>
                <w:sz w:val="24"/>
              </w:rPr>
            </w:pPr>
            <w:r w:rsidRPr="00BC13A0">
              <w:rPr>
                <w:color w:val="000000"/>
                <w:sz w:val="24"/>
              </w:rPr>
              <w:t>2010</w:t>
            </w:r>
          </w:p>
        </w:tc>
        <w:tc>
          <w:tcPr>
            <w:tcW w:w="2410" w:type="dxa"/>
          </w:tcPr>
          <w:p w14:paraId="1EB34779" w14:textId="77777777" w:rsidR="00973B13" w:rsidRPr="00BC13A0" w:rsidRDefault="00973B13" w:rsidP="00AD2F28">
            <w:pPr>
              <w:spacing w:after="0"/>
              <w:jc w:val="right"/>
              <w:rPr>
                <w:color w:val="000000"/>
                <w:sz w:val="24"/>
              </w:rPr>
            </w:pPr>
            <w:r w:rsidRPr="00BC13A0">
              <w:rPr>
                <w:color w:val="000000"/>
                <w:sz w:val="24"/>
              </w:rPr>
              <w:t>210,249</w:t>
            </w:r>
          </w:p>
        </w:tc>
        <w:tc>
          <w:tcPr>
            <w:tcW w:w="2504" w:type="dxa"/>
          </w:tcPr>
          <w:p w14:paraId="5EC9A8E6" w14:textId="77777777" w:rsidR="00973B13" w:rsidRPr="00BC13A0" w:rsidRDefault="00973B13" w:rsidP="00AD2F28">
            <w:pPr>
              <w:spacing w:after="0"/>
              <w:jc w:val="right"/>
              <w:rPr>
                <w:color w:val="000000"/>
                <w:sz w:val="24"/>
              </w:rPr>
            </w:pPr>
            <w:r w:rsidRPr="00BC13A0">
              <w:rPr>
                <w:color w:val="000000"/>
                <w:sz w:val="24"/>
              </w:rPr>
              <w:t xml:space="preserve">5,748 </w:t>
            </w:r>
          </w:p>
        </w:tc>
        <w:tc>
          <w:tcPr>
            <w:tcW w:w="1984" w:type="dxa"/>
          </w:tcPr>
          <w:p w14:paraId="79616561" w14:textId="77777777" w:rsidR="00973B13" w:rsidRPr="00BC13A0" w:rsidRDefault="00973B13" w:rsidP="00AD2F28">
            <w:pPr>
              <w:spacing w:after="0"/>
              <w:jc w:val="right"/>
              <w:rPr>
                <w:color w:val="000000"/>
                <w:sz w:val="24"/>
              </w:rPr>
            </w:pPr>
            <w:r w:rsidRPr="00BC13A0">
              <w:rPr>
                <w:color w:val="000000"/>
                <w:sz w:val="24"/>
              </w:rPr>
              <w:t>2.7%</w:t>
            </w:r>
          </w:p>
        </w:tc>
      </w:tr>
      <w:tr w:rsidR="00973B13" w:rsidRPr="00BC13A0" w14:paraId="06A99A90" w14:textId="77777777" w:rsidTr="004029C8">
        <w:tc>
          <w:tcPr>
            <w:tcW w:w="2410" w:type="dxa"/>
          </w:tcPr>
          <w:p w14:paraId="19A07CD5" w14:textId="77777777" w:rsidR="00973B13" w:rsidRPr="00BC13A0" w:rsidRDefault="00973B13" w:rsidP="00AD2F28">
            <w:pPr>
              <w:spacing w:after="0"/>
              <w:jc w:val="right"/>
              <w:rPr>
                <w:color w:val="000000"/>
                <w:sz w:val="24"/>
              </w:rPr>
            </w:pPr>
            <w:r w:rsidRPr="00BC13A0">
              <w:rPr>
                <w:color w:val="000000"/>
                <w:sz w:val="24"/>
              </w:rPr>
              <w:t>2011</w:t>
            </w:r>
          </w:p>
        </w:tc>
        <w:tc>
          <w:tcPr>
            <w:tcW w:w="2410" w:type="dxa"/>
          </w:tcPr>
          <w:p w14:paraId="3CE1C2C2" w14:textId="77777777" w:rsidR="00973B13" w:rsidRPr="00BC13A0" w:rsidRDefault="00973B13" w:rsidP="00AD2F28">
            <w:pPr>
              <w:spacing w:after="0"/>
              <w:jc w:val="right"/>
              <w:rPr>
                <w:color w:val="000000"/>
                <w:sz w:val="24"/>
              </w:rPr>
            </w:pPr>
            <w:r w:rsidRPr="00BC13A0">
              <w:rPr>
                <w:color w:val="000000"/>
                <w:sz w:val="24"/>
              </w:rPr>
              <w:t>205,068</w:t>
            </w:r>
          </w:p>
        </w:tc>
        <w:tc>
          <w:tcPr>
            <w:tcW w:w="2504" w:type="dxa"/>
          </w:tcPr>
          <w:p w14:paraId="3BF95BFA" w14:textId="77777777" w:rsidR="00973B13" w:rsidRPr="00BC13A0" w:rsidRDefault="00973B13" w:rsidP="00AD2F28">
            <w:pPr>
              <w:spacing w:after="0"/>
              <w:jc w:val="right"/>
              <w:rPr>
                <w:color w:val="000000"/>
                <w:sz w:val="24"/>
              </w:rPr>
            </w:pPr>
            <w:r w:rsidRPr="00BC13A0">
              <w:rPr>
                <w:color w:val="000000"/>
                <w:sz w:val="24"/>
              </w:rPr>
              <w:t xml:space="preserve">6,171 </w:t>
            </w:r>
          </w:p>
        </w:tc>
        <w:tc>
          <w:tcPr>
            <w:tcW w:w="1984" w:type="dxa"/>
          </w:tcPr>
          <w:p w14:paraId="684A54F1" w14:textId="77777777" w:rsidR="00973B13" w:rsidRPr="00BC13A0" w:rsidRDefault="00973B13" w:rsidP="00AD2F28">
            <w:pPr>
              <w:spacing w:after="0"/>
              <w:jc w:val="right"/>
              <w:rPr>
                <w:color w:val="000000"/>
                <w:sz w:val="24"/>
              </w:rPr>
            </w:pPr>
            <w:r w:rsidRPr="00BC13A0">
              <w:rPr>
                <w:color w:val="000000"/>
                <w:sz w:val="24"/>
              </w:rPr>
              <w:t>3.0%</w:t>
            </w:r>
          </w:p>
        </w:tc>
      </w:tr>
      <w:tr w:rsidR="00973B13" w:rsidRPr="00BC13A0" w14:paraId="670559A9" w14:textId="77777777" w:rsidTr="004029C8">
        <w:tc>
          <w:tcPr>
            <w:tcW w:w="2410" w:type="dxa"/>
          </w:tcPr>
          <w:p w14:paraId="339B4734" w14:textId="77777777" w:rsidR="00973B13" w:rsidRPr="00BC13A0" w:rsidRDefault="00973B13" w:rsidP="00AD2F28">
            <w:pPr>
              <w:spacing w:after="0"/>
              <w:jc w:val="right"/>
              <w:rPr>
                <w:color w:val="000000"/>
                <w:sz w:val="24"/>
              </w:rPr>
            </w:pPr>
            <w:r w:rsidRPr="00BC13A0">
              <w:rPr>
                <w:color w:val="000000"/>
                <w:sz w:val="24"/>
              </w:rPr>
              <w:t>2012</w:t>
            </w:r>
          </w:p>
        </w:tc>
        <w:tc>
          <w:tcPr>
            <w:tcW w:w="2410" w:type="dxa"/>
          </w:tcPr>
          <w:p w14:paraId="670754E7" w14:textId="77777777" w:rsidR="00973B13" w:rsidRPr="00BC13A0" w:rsidRDefault="00973B13" w:rsidP="00AD2F28">
            <w:pPr>
              <w:spacing w:after="0"/>
              <w:jc w:val="right"/>
              <w:rPr>
                <w:color w:val="000000"/>
                <w:sz w:val="24"/>
              </w:rPr>
            </w:pPr>
            <w:r w:rsidRPr="00BC13A0">
              <w:rPr>
                <w:color w:val="000000"/>
                <w:sz w:val="24"/>
              </w:rPr>
              <w:t>197,588</w:t>
            </w:r>
          </w:p>
        </w:tc>
        <w:tc>
          <w:tcPr>
            <w:tcW w:w="2504" w:type="dxa"/>
          </w:tcPr>
          <w:p w14:paraId="1F5118E8" w14:textId="77777777" w:rsidR="00973B13" w:rsidRPr="00BC13A0" w:rsidRDefault="00973B13" w:rsidP="00AD2F28">
            <w:pPr>
              <w:spacing w:after="0"/>
              <w:jc w:val="right"/>
              <w:rPr>
                <w:color w:val="000000"/>
                <w:sz w:val="24"/>
              </w:rPr>
            </w:pPr>
            <w:r w:rsidRPr="00BC13A0">
              <w:rPr>
                <w:color w:val="000000"/>
                <w:sz w:val="24"/>
              </w:rPr>
              <w:t>6,611</w:t>
            </w:r>
          </w:p>
        </w:tc>
        <w:tc>
          <w:tcPr>
            <w:tcW w:w="1984" w:type="dxa"/>
          </w:tcPr>
          <w:p w14:paraId="053540D8" w14:textId="77777777" w:rsidR="00973B13" w:rsidRPr="00BC13A0" w:rsidRDefault="00973B13" w:rsidP="00AD2F28">
            <w:pPr>
              <w:spacing w:after="0"/>
              <w:jc w:val="right"/>
              <w:rPr>
                <w:color w:val="000000"/>
                <w:sz w:val="24"/>
              </w:rPr>
            </w:pPr>
            <w:r w:rsidRPr="00BC13A0">
              <w:rPr>
                <w:color w:val="000000"/>
                <w:sz w:val="24"/>
              </w:rPr>
              <w:t>3.3%</w:t>
            </w:r>
          </w:p>
        </w:tc>
      </w:tr>
      <w:tr w:rsidR="00973B13" w:rsidRPr="00BC13A0" w14:paraId="6B177568" w14:textId="77777777" w:rsidTr="004029C8">
        <w:tc>
          <w:tcPr>
            <w:tcW w:w="2410" w:type="dxa"/>
          </w:tcPr>
          <w:p w14:paraId="534D9544" w14:textId="77777777" w:rsidR="00973B13" w:rsidRPr="00BC13A0" w:rsidRDefault="00973B13" w:rsidP="00AD2F28">
            <w:pPr>
              <w:spacing w:after="0"/>
              <w:jc w:val="right"/>
              <w:rPr>
                <w:color w:val="000000"/>
                <w:sz w:val="24"/>
              </w:rPr>
            </w:pPr>
            <w:r w:rsidRPr="00BC13A0">
              <w:rPr>
                <w:color w:val="000000"/>
                <w:sz w:val="24"/>
              </w:rPr>
              <w:t>2013</w:t>
            </w:r>
          </w:p>
        </w:tc>
        <w:tc>
          <w:tcPr>
            <w:tcW w:w="2410" w:type="dxa"/>
          </w:tcPr>
          <w:p w14:paraId="6264289E" w14:textId="77777777" w:rsidR="00973B13" w:rsidRPr="00BC13A0" w:rsidRDefault="00973B13" w:rsidP="00AD2F28">
            <w:pPr>
              <w:spacing w:after="0"/>
              <w:jc w:val="right"/>
              <w:rPr>
                <w:color w:val="000000"/>
                <w:sz w:val="24"/>
              </w:rPr>
            </w:pPr>
            <w:r w:rsidRPr="00BC13A0">
              <w:rPr>
                <w:color w:val="000000"/>
                <w:sz w:val="24"/>
              </w:rPr>
              <w:t>192,576</w:t>
            </w:r>
          </w:p>
        </w:tc>
        <w:tc>
          <w:tcPr>
            <w:tcW w:w="2504" w:type="dxa"/>
          </w:tcPr>
          <w:p w14:paraId="37772A36" w14:textId="77777777" w:rsidR="00973B13" w:rsidRPr="00BC13A0" w:rsidRDefault="00973B13" w:rsidP="00AD2F28">
            <w:pPr>
              <w:spacing w:after="0"/>
              <w:jc w:val="right"/>
              <w:rPr>
                <w:color w:val="000000"/>
                <w:sz w:val="24"/>
              </w:rPr>
            </w:pPr>
            <w:r w:rsidRPr="00BC13A0">
              <w:rPr>
                <w:color w:val="000000"/>
                <w:sz w:val="24"/>
              </w:rPr>
              <w:t>6,464</w:t>
            </w:r>
          </w:p>
        </w:tc>
        <w:tc>
          <w:tcPr>
            <w:tcW w:w="1984" w:type="dxa"/>
          </w:tcPr>
          <w:p w14:paraId="719B3A46" w14:textId="77777777" w:rsidR="00973B13" w:rsidRPr="00BC13A0" w:rsidRDefault="00973B13" w:rsidP="00AD2F28">
            <w:pPr>
              <w:spacing w:after="0"/>
              <w:jc w:val="right"/>
              <w:rPr>
                <w:color w:val="000000"/>
                <w:sz w:val="24"/>
              </w:rPr>
            </w:pPr>
            <w:r w:rsidRPr="00BC13A0">
              <w:rPr>
                <w:color w:val="000000"/>
                <w:sz w:val="24"/>
              </w:rPr>
              <w:t>3.4%</w:t>
            </w:r>
          </w:p>
        </w:tc>
      </w:tr>
      <w:tr w:rsidR="00973B13" w:rsidRPr="00BC13A0" w14:paraId="0E26FE31" w14:textId="77777777" w:rsidTr="004029C8">
        <w:tc>
          <w:tcPr>
            <w:tcW w:w="2410" w:type="dxa"/>
          </w:tcPr>
          <w:p w14:paraId="7DFFF8DC" w14:textId="77777777" w:rsidR="00973B13" w:rsidRPr="00BC13A0" w:rsidRDefault="00973B13" w:rsidP="00AD2F28">
            <w:pPr>
              <w:spacing w:after="0"/>
              <w:jc w:val="right"/>
              <w:rPr>
                <w:color w:val="000000"/>
                <w:sz w:val="24"/>
              </w:rPr>
            </w:pPr>
            <w:r w:rsidRPr="00BC13A0">
              <w:rPr>
                <w:color w:val="000000"/>
                <w:sz w:val="24"/>
              </w:rPr>
              <w:t>2014</w:t>
            </w:r>
          </w:p>
        </w:tc>
        <w:tc>
          <w:tcPr>
            <w:tcW w:w="2410" w:type="dxa"/>
          </w:tcPr>
          <w:p w14:paraId="5FFB0748" w14:textId="77777777" w:rsidR="00973B13" w:rsidRPr="00BC13A0" w:rsidRDefault="00973B13" w:rsidP="00AD2F28">
            <w:pPr>
              <w:spacing w:after="0"/>
              <w:jc w:val="right"/>
              <w:rPr>
                <w:color w:val="000000"/>
                <w:sz w:val="24"/>
              </w:rPr>
            </w:pPr>
            <w:r w:rsidRPr="00BC13A0">
              <w:rPr>
                <w:color w:val="000000"/>
                <w:sz w:val="24"/>
              </w:rPr>
              <w:t>195,278</w:t>
            </w:r>
          </w:p>
        </w:tc>
        <w:tc>
          <w:tcPr>
            <w:tcW w:w="2504" w:type="dxa"/>
          </w:tcPr>
          <w:p w14:paraId="3C533CA2" w14:textId="77777777" w:rsidR="00973B13" w:rsidRPr="00BC13A0" w:rsidRDefault="00973B13" w:rsidP="00AD2F28">
            <w:pPr>
              <w:spacing w:after="0"/>
              <w:jc w:val="right"/>
              <w:rPr>
                <w:color w:val="000000"/>
                <w:sz w:val="24"/>
              </w:rPr>
            </w:pPr>
            <w:r w:rsidRPr="00BC13A0">
              <w:rPr>
                <w:color w:val="000000"/>
                <w:sz w:val="24"/>
              </w:rPr>
              <w:t>6,771</w:t>
            </w:r>
          </w:p>
        </w:tc>
        <w:tc>
          <w:tcPr>
            <w:tcW w:w="1984" w:type="dxa"/>
          </w:tcPr>
          <w:p w14:paraId="6049E6C5" w14:textId="77777777" w:rsidR="00973B13" w:rsidRPr="00BC13A0" w:rsidRDefault="00973B13" w:rsidP="00AD2F28">
            <w:pPr>
              <w:spacing w:after="0"/>
              <w:jc w:val="right"/>
              <w:rPr>
                <w:color w:val="000000"/>
                <w:sz w:val="24"/>
              </w:rPr>
            </w:pPr>
            <w:r w:rsidRPr="00BC13A0">
              <w:rPr>
                <w:color w:val="000000"/>
                <w:sz w:val="24"/>
              </w:rPr>
              <w:t>3.5%</w:t>
            </w:r>
          </w:p>
        </w:tc>
      </w:tr>
      <w:tr w:rsidR="00973B13" w:rsidRPr="00BC13A0" w14:paraId="2BE8A968" w14:textId="77777777" w:rsidTr="004029C8">
        <w:tc>
          <w:tcPr>
            <w:tcW w:w="2410" w:type="dxa"/>
          </w:tcPr>
          <w:p w14:paraId="08F2637D" w14:textId="77777777" w:rsidR="00973B13" w:rsidRPr="00BC13A0" w:rsidRDefault="00973B13" w:rsidP="00AD2F28">
            <w:pPr>
              <w:spacing w:after="0"/>
              <w:jc w:val="right"/>
              <w:rPr>
                <w:color w:val="000000"/>
                <w:sz w:val="24"/>
              </w:rPr>
            </w:pPr>
            <w:r w:rsidRPr="00BC13A0">
              <w:rPr>
                <w:color w:val="000000"/>
                <w:sz w:val="24"/>
              </w:rPr>
              <w:t>2015</w:t>
            </w:r>
          </w:p>
        </w:tc>
        <w:tc>
          <w:tcPr>
            <w:tcW w:w="2410" w:type="dxa"/>
          </w:tcPr>
          <w:p w14:paraId="55DF630A" w14:textId="77777777" w:rsidR="00973B13" w:rsidRPr="00BC13A0" w:rsidRDefault="00973B13" w:rsidP="00AD2F28">
            <w:pPr>
              <w:spacing w:after="0"/>
              <w:jc w:val="right"/>
              <w:rPr>
                <w:color w:val="000000"/>
                <w:sz w:val="24"/>
              </w:rPr>
            </w:pPr>
            <w:r w:rsidRPr="00BC13A0">
              <w:rPr>
                <w:color w:val="000000"/>
                <w:sz w:val="24"/>
              </w:rPr>
              <w:t>201,341</w:t>
            </w:r>
          </w:p>
        </w:tc>
        <w:tc>
          <w:tcPr>
            <w:tcW w:w="2504" w:type="dxa"/>
          </w:tcPr>
          <w:p w14:paraId="75E74C0C" w14:textId="77777777" w:rsidR="00973B13" w:rsidRPr="00BC13A0" w:rsidRDefault="00973B13" w:rsidP="00AD2F28">
            <w:pPr>
              <w:spacing w:after="0"/>
              <w:jc w:val="right"/>
              <w:rPr>
                <w:color w:val="000000"/>
                <w:sz w:val="24"/>
              </w:rPr>
            </w:pPr>
            <w:r w:rsidRPr="00BC13A0">
              <w:rPr>
                <w:color w:val="000000"/>
                <w:sz w:val="24"/>
              </w:rPr>
              <w:t>7,245</w:t>
            </w:r>
          </w:p>
        </w:tc>
        <w:tc>
          <w:tcPr>
            <w:tcW w:w="1984" w:type="dxa"/>
          </w:tcPr>
          <w:p w14:paraId="455D6B42" w14:textId="77777777" w:rsidR="00973B13" w:rsidRPr="00BC13A0" w:rsidRDefault="00973B13" w:rsidP="00AD2F28">
            <w:pPr>
              <w:spacing w:after="0"/>
              <w:jc w:val="right"/>
              <w:rPr>
                <w:color w:val="000000"/>
                <w:sz w:val="24"/>
              </w:rPr>
            </w:pPr>
            <w:r w:rsidRPr="00BC13A0">
              <w:rPr>
                <w:color w:val="000000"/>
                <w:sz w:val="24"/>
              </w:rPr>
              <w:t>3.6%</w:t>
            </w:r>
          </w:p>
        </w:tc>
      </w:tr>
      <w:tr w:rsidR="00973B13" w:rsidRPr="00BC13A0" w14:paraId="010886C7" w14:textId="77777777" w:rsidTr="004029C8">
        <w:tc>
          <w:tcPr>
            <w:tcW w:w="2410" w:type="dxa"/>
          </w:tcPr>
          <w:p w14:paraId="17B7B9E0" w14:textId="77777777" w:rsidR="00973B13" w:rsidRPr="00BC13A0" w:rsidDel="006E420A" w:rsidRDefault="00973B13" w:rsidP="00AD2F28">
            <w:pPr>
              <w:spacing w:after="0"/>
              <w:jc w:val="right"/>
              <w:rPr>
                <w:color w:val="000000"/>
                <w:sz w:val="24"/>
              </w:rPr>
            </w:pPr>
            <w:r w:rsidRPr="00BC13A0">
              <w:rPr>
                <w:color w:val="000000"/>
                <w:sz w:val="24"/>
              </w:rPr>
              <w:t>2016</w:t>
            </w:r>
          </w:p>
        </w:tc>
        <w:tc>
          <w:tcPr>
            <w:tcW w:w="2410" w:type="dxa"/>
          </w:tcPr>
          <w:p w14:paraId="7E627799" w14:textId="77777777" w:rsidR="00973B13" w:rsidRPr="00BC13A0" w:rsidRDefault="00973B13" w:rsidP="00AD2F28">
            <w:pPr>
              <w:spacing w:after="0"/>
              <w:jc w:val="right"/>
              <w:rPr>
                <w:color w:val="000000"/>
                <w:sz w:val="24"/>
              </w:rPr>
            </w:pPr>
            <w:r w:rsidRPr="00BC13A0">
              <w:rPr>
                <w:color w:val="000000"/>
                <w:sz w:val="24"/>
              </w:rPr>
              <w:t>213,991</w:t>
            </w:r>
          </w:p>
        </w:tc>
        <w:tc>
          <w:tcPr>
            <w:tcW w:w="2504" w:type="dxa"/>
          </w:tcPr>
          <w:p w14:paraId="229335C0" w14:textId="77777777" w:rsidR="00973B13" w:rsidRPr="00BC13A0" w:rsidRDefault="00973B13" w:rsidP="00AD2F28">
            <w:pPr>
              <w:spacing w:after="0"/>
              <w:jc w:val="right"/>
              <w:rPr>
                <w:color w:val="000000"/>
                <w:sz w:val="24"/>
              </w:rPr>
            </w:pPr>
            <w:r w:rsidRPr="00BC13A0">
              <w:rPr>
                <w:color w:val="000000"/>
                <w:sz w:val="24"/>
              </w:rPr>
              <w:t>7,457</w:t>
            </w:r>
          </w:p>
        </w:tc>
        <w:tc>
          <w:tcPr>
            <w:tcW w:w="1984" w:type="dxa"/>
          </w:tcPr>
          <w:p w14:paraId="0481C252" w14:textId="77777777" w:rsidR="00973B13" w:rsidRPr="00BC13A0" w:rsidRDefault="00973B13" w:rsidP="00AD2F28">
            <w:pPr>
              <w:spacing w:after="0"/>
              <w:jc w:val="right"/>
              <w:rPr>
                <w:color w:val="000000"/>
                <w:sz w:val="24"/>
              </w:rPr>
            </w:pPr>
            <w:r w:rsidRPr="00BC13A0">
              <w:rPr>
                <w:color w:val="000000"/>
                <w:sz w:val="24"/>
              </w:rPr>
              <w:t>3.5%</w:t>
            </w:r>
          </w:p>
        </w:tc>
      </w:tr>
      <w:tr w:rsidR="00973B13" w:rsidRPr="00BC13A0" w14:paraId="50C5B1DD" w14:textId="77777777" w:rsidTr="004029C8">
        <w:tc>
          <w:tcPr>
            <w:tcW w:w="2410" w:type="dxa"/>
          </w:tcPr>
          <w:p w14:paraId="3F27429B" w14:textId="77777777" w:rsidR="00973B13" w:rsidRPr="00BC13A0" w:rsidRDefault="00973B13" w:rsidP="00AD2F28">
            <w:pPr>
              <w:spacing w:after="0"/>
              <w:jc w:val="right"/>
              <w:rPr>
                <w:color w:val="000000"/>
                <w:sz w:val="24"/>
              </w:rPr>
            </w:pPr>
            <w:r w:rsidRPr="00BC13A0">
              <w:rPr>
                <w:color w:val="000000"/>
                <w:sz w:val="24"/>
              </w:rPr>
              <w:t>2017</w:t>
            </w:r>
          </w:p>
        </w:tc>
        <w:tc>
          <w:tcPr>
            <w:tcW w:w="2410" w:type="dxa"/>
          </w:tcPr>
          <w:p w14:paraId="603304A2" w14:textId="77777777" w:rsidR="00973B13" w:rsidRPr="00BC13A0" w:rsidRDefault="00973B13" w:rsidP="00AD2F28">
            <w:pPr>
              <w:spacing w:after="0"/>
              <w:jc w:val="right"/>
              <w:rPr>
                <w:color w:val="000000"/>
                <w:sz w:val="24"/>
              </w:rPr>
            </w:pPr>
            <w:r w:rsidRPr="00BC13A0">
              <w:rPr>
                <w:rFonts w:cs="Arial"/>
                <w:sz w:val="24"/>
                <w:lang w:eastAsia="en-IE"/>
              </w:rPr>
              <w:t>225,809</w:t>
            </w:r>
          </w:p>
        </w:tc>
        <w:tc>
          <w:tcPr>
            <w:tcW w:w="2504" w:type="dxa"/>
          </w:tcPr>
          <w:p w14:paraId="2045955E" w14:textId="77777777" w:rsidR="00973B13" w:rsidRPr="00BC13A0" w:rsidRDefault="00973B13" w:rsidP="00AD2F28">
            <w:pPr>
              <w:spacing w:after="0"/>
              <w:jc w:val="right"/>
              <w:rPr>
                <w:color w:val="000000"/>
                <w:sz w:val="24"/>
              </w:rPr>
            </w:pPr>
            <w:r w:rsidRPr="00BC13A0">
              <w:rPr>
                <w:rFonts w:cs="Arial"/>
                <w:sz w:val="24"/>
                <w:lang w:eastAsia="en-IE"/>
              </w:rPr>
              <w:t>7,796</w:t>
            </w:r>
          </w:p>
        </w:tc>
        <w:tc>
          <w:tcPr>
            <w:tcW w:w="1984" w:type="dxa"/>
          </w:tcPr>
          <w:p w14:paraId="287FFACF" w14:textId="77777777" w:rsidR="00973B13" w:rsidRPr="00BC13A0" w:rsidRDefault="00973B13" w:rsidP="00AD2F28">
            <w:pPr>
              <w:spacing w:after="0"/>
              <w:jc w:val="right"/>
              <w:rPr>
                <w:color w:val="000000"/>
                <w:sz w:val="24"/>
              </w:rPr>
            </w:pPr>
            <w:r w:rsidRPr="00BC13A0">
              <w:rPr>
                <w:rFonts w:cs="Arial"/>
                <w:sz w:val="24"/>
                <w:lang w:eastAsia="en-IE"/>
              </w:rPr>
              <w:t>3.5%</w:t>
            </w:r>
          </w:p>
        </w:tc>
      </w:tr>
      <w:tr w:rsidR="00973B13" w:rsidRPr="00BC13A0" w14:paraId="4D95133C" w14:textId="77777777" w:rsidTr="004029C8">
        <w:tc>
          <w:tcPr>
            <w:tcW w:w="2410" w:type="dxa"/>
          </w:tcPr>
          <w:p w14:paraId="4B453CE2" w14:textId="77777777" w:rsidR="00973B13" w:rsidRPr="00BC13A0" w:rsidRDefault="00973B13" w:rsidP="00AD2F28">
            <w:pPr>
              <w:spacing w:after="0"/>
              <w:jc w:val="right"/>
              <w:rPr>
                <w:color w:val="000000"/>
                <w:sz w:val="24"/>
              </w:rPr>
            </w:pPr>
            <w:r w:rsidRPr="00BC13A0">
              <w:rPr>
                <w:color w:val="000000"/>
                <w:sz w:val="24"/>
              </w:rPr>
              <w:t>2018</w:t>
            </w:r>
          </w:p>
        </w:tc>
        <w:tc>
          <w:tcPr>
            <w:tcW w:w="2410" w:type="dxa"/>
          </w:tcPr>
          <w:p w14:paraId="3A3D7C86" w14:textId="77777777" w:rsidR="00973B13" w:rsidRPr="00BC13A0" w:rsidRDefault="00973B13" w:rsidP="00AD2F28">
            <w:pPr>
              <w:spacing w:after="0"/>
              <w:jc w:val="right"/>
              <w:rPr>
                <w:rFonts w:cs="Arial"/>
                <w:sz w:val="24"/>
                <w:lang w:eastAsia="en-IE"/>
              </w:rPr>
            </w:pPr>
            <w:r w:rsidRPr="00BC13A0">
              <w:rPr>
                <w:sz w:val="24"/>
              </w:rPr>
              <w:t>231,784</w:t>
            </w:r>
          </w:p>
        </w:tc>
        <w:tc>
          <w:tcPr>
            <w:tcW w:w="2504" w:type="dxa"/>
          </w:tcPr>
          <w:p w14:paraId="63DEF306" w14:textId="77777777" w:rsidR="00973B13" w:rsidRPr="00BC13A0" w:rsidRDefault="00973B13" w:rsidP="00AD2F28">
            <w:pPr>
              <w:spacing w:after="0"/>
              <w:jc w:val="right"/>
              <w:rPr>
                <w:rFonts w:cs="Arial"/>
                <w:sz w:val="24"/>
                <w:lang w:eastAsia="en-IE"/>
              </w:rPr>
            </w:pPr>
            <w:r w:rsidRPr="00BC13A0">
              <w:rPr>
                <w:sz w:val="24"/>
              </w:rPr>
              <w:t>7,584</w:t>
            </w:r>
          </w:p>
        </w:tc>
        <w:tc>
          <w:tcPr>
            <w:tcW w:w="1984" w:type="dxa"/>
          </w:tcPr>
          <w:p w14:paraId="7B1E1EEB" w14:textId="77777777" w:rsidR="00973B13" w:rsidRPr="00BC13A0" w:rsidRDefault="00973B13" w:rsidP="00AD2F28">
            <w:pPr>
              <w:spacing w:after="0"/>
              <w:jc w:val="right"/>
              <w:rPr>
                <w:rFonts w:cs="Arial"/>
                <w:sz w:val="24"/>
                <w:lang w:eastAsia="en-IE"/>
              </w:rPr>
            </w:pPr>
            <w:r w:rsidRPr="00BC13A0">
              <w:rPr>
                <w:rFonts w:cs="Arial"/>
                <w:sz w:val="24"/>
                <w:lang w:eastAsia="en-IE"/>
              </w:rPr>
              <w:t>3.3%</w:t>
            </w:r>
          </w:p>
        </w:tc>
      </w:tr>
      <w:tr w:rsidR="00973B13" w:rsidRPr="00BC13A0" w14:paraId="1E8B1061" w14:textId="77777777" w:rsidTr="004029C8">
        <w:tc>
          <w:tcPr>
            <w:tcW w:w="2410" w:type="dxa"/>
          </w:tcPr>
          <w:p w14:paraId="6B0FB3FE" w14:textId="77777777" w:rsidR="00973B13" w:rsidRPr="00BC13A0" w:rsidRDefault="00973B13" w:rsidP="00AD2F28">
            <w:pPr>
              <w:spacing w:after="0"/>
              <w:jc w:val="right"/>
              <w:rPr>
                <w:color w:val="000000"/>
                <w:sz w:val="24"/>
              </w:rPr>
            </w:pPr>
            <w:r w:rsidRPr="00BC13A0">
              <w:rPr>
                <w:color w:val="000000"/>
                <w:sz w:val="24"/>
              </w:rPr>
              <w:t>2019</w:t>
            </w:r>
          </w:p>
        </w:tc>
        <w:tc>
          <w:tcPr>
            <w:tcW w:w="2410" w:type="dxa"/>
          </w:tcPr>
          <w:p w14:paraId="54791740" w14:textId="77777777" w:rsidR="00973B13" w:rsidRPr="00BC13A0" w:rsidRDefault="00973B13" w:rsidP="00AD2F28">
            <w:pPr>
              <w:spacing w:after="0"/>
              <w:jc w:val="right"/>
              <w:rPr>
                <w:rFonts w:cs="Arial"/>
                <w:sz w:val="24"/>
                <w:lang w:eastAsia="en-IE"/>
              </w:rPr>
            </w:pPr>
            <w:r w:rsidRPr="00BC13A0">
              <w:rPr>
                <w:rFonts w:cs="Arial"/>
                <w:sz w:val="24"/>
                <w:lang w:eastAsia="en-IE"/>
              </w:rPr>
              <w:t>238,174</w:t>
            </w:r>
          </w:p>
        </w:tc>
        <w:tc>
          <w:tcPr>
            <w:tcW w:w="2504" w:type="dxa"/>
          </w:tcPr>
          <w:p w14:paraId="447DD561" w14:textId="77777777" w:rsidR="00973B13" w:rsidRPr="00BC13A0" w:rsidRDefault="00973B13" w:rsidP="00AD2F28">
            <w:pPr>
              <w:spacing w:after="0"/>
              <w:jc w:val="right"/>
              <w:rPr>
                <w:rFonts w:cs="Arial"/>
                <w:sz w:val="24"/>
                <w:lang w:eastAsia="en-IE"/>
              </w:rPr>
            </w:pPr>
            <w:r w:rsidRPr="00BC13A0">
              <w:rPr>
                <w:rFonts w:cs="Arial"/>
                <w:sz w:val="24"/>
                <w:lang w:eastAsia="en-IE"/>
              </w:rPr>
              <w:t>7,319</w:t>
            </w:r>
          </w:p>
        </w:tc>
        <w:tc>
          <w:tcPr>
            <w:tcW w:w="1984" w:type="dxa"/>
          </w:tcPr>
          <w:p w14:paraId="2A6FCFFE" w14:textId="77777777" w:rsidR="00973B13" w:rsidRPr="00BC13A0" w:rsidRDefault="00973B13" w:rsidP="00AD2F28">
            <w:pPr>
              <w:spacing w:after="0"/>
              <w:jc w:val="right"/>
              <w:rPr>
                <w:rFonts w:cs="Arial"/>
                <w:sz w:val="24"/>
                <w:lang w:eastAsia="en-IE"/>
              </w:rPr>
            </w:pPr>
            <w:r w:rsidRPr="00BC13A0">
              <w:rPr>
                <w:rFonts w:cs="Arial"/>
                <w:sz w:val="24"/>
                <w:lang w:eastAsia="en-IE"/>
              </w:rPr>
              <w:t>3.1%</w:t>
            </w:r>
          </w:p>
        </w:tc>
      </w:tr>
      <w:tr w:rsidR="00C82DBE" w:rsidRPr="00BC13A0" w14:paraId="3A16372B" w14:textId="77777777" w:rsidTr="004029C8">
        <w:tc>
          <w:tcPr>
            <w:tcW w:w="2410" w:type="dxa"/>
          </w:tcPr>
          <w:p w14:paraId="07360B60" w14:textId="041416A5" w:rsidR="00C82DBE" w:rsidRPr="00BC13A0" w:rsidRDefault="00C82DBE" w:rsidP="00AD2F28">
            <w:pPr>
              <w:spacing w:after="0"/>
              <w:jc w:val="right"/>
              <w:rPr>
                <w:color w:val="000000"/>
                <w:sz w:val="24"/>
              </w:rPr>
            </w:pPr>
            <w:r w:rsidRPr="00BC13A0">
              <w:rPr>
                <w:color w:val="000000"/>
                <w:sz w:val="24"/>
              </w:rPr>
              <w:t>2020</w:t>
            </w:r>
          </w:p>
        </w:tc>
        <w:tc>
          <w:tcPr>
            <w:tcW w:w="2410" w:type="dxa"/>
          </w:tcPr>
          <w:p w14:paraId="3F5F15A7" w14:textId="4CE4F93D" w:rsidR="00C82DBE" w:rsidRPr="00BC13A0" w:rsidRDefault="00BA7BE8" w:rsidP="00AD2F28">
            <w:pPr>
              <w:spacing w:after="0"/>
              <w:jc w:val="right"/>
              <w:rPr>
                <w:rFonts w:cs="Arial"/>
                <w:sz w:val="24"/>
                <w:lang w:eastAsia="en-IE"/>
              </w:rPr>
            </w:pPr>
            <w:r w:rsidRPr="00BC13A0">
              <w:rPr>
                <w:rFonts w:cs="Arial"/>
                <w:sz w:val="24"/>
                <w:lang w:eastAsia="en-IE"/>
              </w:rPr>
              <w:t>245,190</w:t>
            </w:r>
          </w:p>
        </w:tc>
        <w:tc>
          <w:tcPr>
            <w:tcW w:w="2504" w:type="dxa"/>
          </w:tcPr>
          <w:p w14:paraId="3DCE6EDA" w14:textId="1181A94D" w:rsidR="00C82DBE" w:rsidRPr="00BC13A0" w:rsidRDefault="00BA7BE8" w:rsidP="00AD2F28">
            <w:pPr>
              <w:spacing w:after="0"/>
              <w:jc w:val="right"/>
              <w:rPr>
                <w:rFonts w:cs="Arial"/>
                <w:sz w:val="24"/>
                <w:lang w:eastAsia="en-IE"/>
              </w:rPr>
            </w:pPr>
            <w:r w:rsidRPr="00BC13A0">
              <w:rPr>
                <w:rFonts w:cs="Arial"/>
                <w:sz w:val="24"/>
                <w:lang w:eastAsia="en-IE"/>
              </w:rPr>
              <w:t>7,637</w:t>
            </w:r>
          </w:p>
        </w:tc>
        <w:tc>
          <w:tcPr>
            <w:tcW w:w="1984" w:type="dxa"/>
          </w:tcPr>
          <w:p w14:paraId="337F6A1A" w14:textId="56F272E9" w:rsidR="00C82DBE" w:rsidRPr="00BC13A0" w:rsidRDefault="00BA7BE8" w:rsidP="00AD2F28">
            <w:pPr>
              <w:spacing w:after="0"/>
              <w:jc w:val="right"/>
              <w:rPr>
                <w:rFonts w:cs="Arial"/>
                <w:sz w:val="24"/>
                <w:lang w:eastAsia="en-IE"/>
              </w:rPr>
            </w:pPr>
            <w:r w:rsidRPr="00BC13A0">
              <w:rPr>
                <w:rFonts w:cs="Arial"/>
                <w:sz w:val="24"/>
                <w:lang w:eastAsia="en-IE"/>
              </w:rPr>
              <w:t>3.1%</w:t>
            </w:r>
          </w:p>
        </w:tc>
      </w:tr>
      <w:tr w:rsidR="00EA0892" w:rsidRPr="00BC13A0" w14:paraId="7EDE8474" w14:textId="77777777" w:rsidTr="004029C8">
        <w:tc>
          <w:tcPr>
            <w:tcW w:w="2410" w:type="dxa"/>
          </w:tcPr>
          <w:p w14:paraId="4D77EE2F" w14:textId="57849B2A" w:rsidR="00EA0892" w:rsidRPr="00BC13A0" w:rsidRDefault="00EA0892" w:rsidP="00AD2F28">
            <w:pPr>
              <w:spacing w:after="0"/>
              <w:jc w:val="right"/>
              <w:rPr>
                <w:bCs/>
                <w:color w:val="000000"/>
                <w:sz w:val="24"/>
              </w:rPr>
            </w:pPr>
            <w:r w:rsidRPr="00BC13A0">
              <w:rPr>
                <w:bCs/>
                <w:color w:val="000000"/>
                <w:sz w:val="24"/>
              </w:rPr>
              <w:t>2021</w:t>
            </w:r>
          </w:p>
        </w:tc>
        <w:tc>
          <w:tcPr>
            <w:tcW w:w="2410" w:type="dxa"/>
          </w:tcPr>
          <w:p w14:paraId="0CF96D80" w14:textId="54AB25B1" w:rsidR="00EA0892" w:rsidRPr="00BC13A0" w:rsidRDefault="00EA0892" w:rsidP="00AD2F28">
            <w:pPr>
              <w:spacing w:after="0"/>
              <w:jc w:val="right"/>
              <w:rPr>
                <w:rFonts w:cs="Arial"/>
                <w:bCs/>
                <w:sz w:val="24"/>
                <w:lang w:eastAsia="en-IE"/>
              </w:rPr>
            </w:pPr>
            <w:r w:rsidRPr="00BC13A0">
              <w:rPr>
                <w:rFonts w:cs="Arial"/>
                <w:bCs/>
                <w:sz w:val="24"/>
                <w:lang w:eastAsia="en-IE"/>
              </w:rPr>
              <w:t>251,552</w:t>
            </w:r>
          </w:p>
        </w:tc>
        <w:tc>
          <w:tcPr>
            <w:tcW w:w="2504" w:type="dxa"/>
          </w:tcPr>
          <w:p w14:paraId="57EA749B" w14:textId="5F02E1DA" w:rsidR="00EA0892" w:rsidRPr="00BC13A0" w:rsidRDefault="009F0604" w:rsidP="00AD2F28">
            <w:pPr>
              <w:spacing w:after="0"/>
              <w:jc w:val="right"/>
              <w:rPr>
                <w:rFonts w:cs="Arial"/>
                <w:bCs/>
                <w:sz w:val="24"/>
                <w:lang w:eastAsia="en-IE"/>
              </w:rPr>
            </w:pPr>
            <w:r w:rsidRPr="00BC13A0">
              <w:rPr>
                <w:rFonts w:cs="Arial"/>
                <w:bCs/>
                <w:sz w:val="24"/>
                <w:lang w:eastAsia="en-IE"/>
              </w:rPr>
              <w:t>9</w:t>
            </w:r>
            <w:r w:rsidR="004659B0" w:rsidRPr="00BC13A0">
              <w:rPr>
                <w:rFonts w:cs="Arial"/>
                <w:bCs/>
                <w:sz w:val="24"/>
                <w:lang w:eastAsia="en-IE"/>
              </w:rPr>
              <w:t>,</w:t>
            </w:r>
            <w:r w:rsidRPr="00BC13A0">
              <w:rPr>
                <w:rFonts w:cs="Arial"/>
                <w:bCs/>
                <w:sz w:val="24"/>
                <w:lang w:eastAsia="en-IE"/>
              </w:rPr>
              <w:t>01</w:t>
            </w:r>
            <w:r w:rsidR="00EA0892" w:rsidRPr="00BC13A0">
              <w:rPr>
                <w:rFonts w:cs="Arial"/>
                <w:bCs/>
                <w:sz w:val="24"/>
                <w:lang w:eastAsia="en-IE"/>
              </w:rPr>
              <w:t>1</w:t>
            </w:r>
          </w:p>
        </w:tc>
        <w:tc>
          <w:tcPr>
            <w:tcW w:w="1984" w:type="dxa"/>
          </w:tcPr>
          <w:p w14:paraId="5888457C" w14:textId="4C1C1E7C" w:rsidR="00EA0892" w:rsidRPr="00BC13A0" w:rsidRDefault="00EA0892" w:rsidP="00AD2F28">
            <w:pPr>
              <w:spacing w:after="0"/>
              <w:jc w:val="right"/>
              <w:rPr>
                <w:rFonts w:cs="Arial"/>
                <w:bCs/>
                <w:sz w:val="24"/>
                <w:lang w:eastAsia="en-IE"/>
              </w:rPr>
            </w:pPr>
            <w:r w:rsidRPr="00BC13A0">
              <w:rPr>
                <w:rFonts w:cs="Arial"/>
                <w:bCs/>
                <w:sz w:val="24"/>
                <w:lang w:eastAsia="en-IE"/>
              </w:rPr>
              <w:t>3.6%</w:t>
            </w:r>
          </w:p>
        </w:tc>
      </w:tr>
      <w:tr w:rsidR="00B8659B" w:rsidRPr="00BC13A0" w14:paraId="0034A324" w14:textId="77777777" w:rsidTr="004029C8">
        <w:tc>
          <w:tcPr>
            <w:tcW w:w="2410" w:type="dxa"/>
          </w:tcPr>
          <w:p w14:paraId="5E7534C3" w14:textId="70413D2F" w:rsidR="00B8659B" w:rsidRPr="00BC13A0" w:rsidRDefault="00B8659B" w:rsidP="00AD2F28">
            <w:pPr>
              <w:spacing w:after="0"/>
              <w:jc w:val="right"/>
              <w:rPr>
                <w:b/>
                <w:color w:val="000000"/>
                <w:sz w:val="24"/>
              </w:rPr>
            </w:pPr>
            <w:r w:rsidRPr="00BC13A0">
              <w:rPr>
                <w:b/>
                <w:color w:val="000000"/>
                <w:sz w:val="24"/>
              </w:rPr>
              <w:t>2022</w:t>
            </w:r>
          </w:p>
        </w:tc>
        <w:tc>
          <w:tcPr>
            <w:tcW w:w="2410" w:type="dxa"/>
          </w:tcPr>
          <w:p w14:paraId="51760AAF" w14:textId="459F84A7" w:rsidR="00B8659B" w:rsidRPr="00BC13A0" w:rsidRDefault="00B8659B" w:rsidP="00AD2F28">
            <w:pPr>
              <w:spacing w:after="0"/>
              <w:jc w:val="right"/>
              <w:rPr>
                <w:rFonts w:cs="Arial"/>
                <w:b/>
                <w:sz w:val="24"/>
                <w:lang w:eastAsia="en-IE"/>
              </w:rPr>
            </w:pPr>
            <w:r w:rsidRPr="00BC13A0">
              <w:rPr>
                <w:rFonts w:cs="Arial"/>
                <w:b/>
                <w:sz w:val="24"/>
                <w:lang w:eastAsia="en-IE"/>
              </w:rPr>
              <w:t>260,</w:t>
            </w:r>
            <w:r w:rsidR="00963900">
              <w:rPr>
                <w:rFonts w:cs="Arial"/>
                <w:b/>
                <w:sz w:val="24"/>
                <w:lang w:eastAsia="en-IE"/>
              </w:rPr>
              <w:t>4</w:t>
            </w:r>
            <w:r w:rsidRPr="00BC13A0">
              <w:rPr>
                <w:rFonts w:cs="Arial"/>
                <w:b/>
                <w:sz w:val="24"/>
                <w:lang w:eastAsia="en-IE"/>
              </w:rPr>
              <w:t>34</w:t>
            </w:r>
          </w:p>
        </w:tc>
        <w:tc>
          <w:tcPr>
            <w:tcW w:w="2504" w:type="dxa"/>
          </w:tcPr>
          <w:p w14:paraId="3884C05B" w14:textId="06A53D02" w:rsidR="00B8659B" w:rsidRPr="00BC13A0" w:rsidRDefault="00B8659B" w:rsidP="00AD2F28">
            <w:pPr>
              <w:spacing w:after="0"/>
              <w:jc w:val="right"/>
              <w:rPr>
                <w:rFonts w:cs="Arial"/>
                <w:b/>
                <w:sz w:val="24"/>
                <w:lang w:eastAsia="en-IE"/>
              </w:rPr>
            </w:pPr>
            <w:r w:rsidRPr="00BC13A0">
              <w:rPr>
                <w:rFonts w:cs="Arial"/>
                <w:b/>
                <w:sz w:val="24"/>
                <w:lang w:eastAsia="en-IE"/>
              </w:rPr>
              <w:t>10,631</w:t>
            </w:r>
          </w:p>
        </w:tc>
        <w:tc>
          <w:tcPr>
            <w:tcW w:w="1984" w:type="dxa"/>
          </w:tcPr>
          <w:p w14:paraId="57D4224C" w14:textId="619634F8" w:rsidR="00B8659B" w:rsidRPr="00BC13A0" w:rsidRDefault="00B8659B" w:rsidP="00AD2F28">
            <w:pPr>
              <w:spacing w:after="0"/>
              <w:jc w:val="right"/>
              <w:rPr>
                <w:rFonts w:cs="Arial"/>
                <w:b/>
                <w:sz w:val="24"/>
                <w:lang w:eastAsia="en-IE"/>
              </w:rPr>
            </w:pPr>
            <w:r w:rsidRPr="00BC13A0">
              <w:rPr>
                <w:rFonts w:cs="Arial"/>
                <w:b/>
                <w:sz w:val="24"/>
                <w:lang w:eastAsia="en-IE"/>
              </w:rPr>
              <w:t>4.1%</w:t>
            </w:r>
          </w:p>
        </w:tc>
      </w:tr>
    </w:tbl>
    <w:p w14:paraId="2AA4978D" w14:textId="606905B3" w:rsidR="001B1427" w:rsidRPr="00BC13A0" w:rsidRDefault="001B1427" w:rsidP="001B1427">
      <w:bookmarkStart w:id="43" w:name="_Toc18680249"/>
    </w:p>
    <w:p w14:paraId="110EA4DF" w14:textId="0F70358A" w:rsidR="00973B13" w:rsidRPr="00BC13A0" w:rsidRDefault="001B1427" w:rsidP="001B1427">
      <w:pPr>
        <w:pStyle w:val="Heading2"/>
        <w:spacing w:before="240"/>
      </w:pPr>
      <w:bookmarkStart w:id="44" w:name="_Toc146113863"/>
      <w:bookmarkEnd w:id="43"/>
      <w:r w:rsidRPr="00BC13A0">
        <w:t>2.</w:t>
      </w:r>
      <w:r w:rsidR="00006EAC" w:rsidRPr="00BC13A0">
        <w:t>2</w:t>
      </w:r>
      <w:r w:rsidRPr="00BC13A0">
        <w:t xml:space="preserve"> </w:t>
      </w:r>
      <w:r w:rsidR="00973B13" w:rsidRPr="00BC13A0">
        <w:t>Analysis by type of public sector body</w:t>
      </w:r>
      <w:bookmarkEnd w:id="44"/>
    </w:p>
    <w:p w14:paraId="79D7AF56" w14:textId="016A9BD6" w:rsidR="00973B13" w:rsidRPr="00BC13A0" w:rsidRDefault="0012246F" w:rsidP="003652F9">
      <w:r w:rsidRPr="00BC13A0">
        <w:t>The 202</w:t>
      </w:r>
      <w:r w:rsidR="00C80DA2">
        <w:t>2</w:t>
      </w:r>
      <w:r w:rsidR="00973B13" w:rsidRPr="00BC13A0">
        <w:t xml:space="preserve"> data has been categorised under the same five types of public bodies used in previous years:</w:t>
      </w:r>
    </w:p>
    <w:p w14:paraId="626E7C83" w14:textId="03715096" w:rsidR="00973B13" w:rsidRPr="00BC13A0" w:rsidRDefault="00973B13" w:rsidP="003652F9">
      <w:pPr>
        <w:pStyle w:val="ListBullet"/>
      </w:pPr>
      <w:r w:rsidRPr="00BC13A0">
        <w:t>Commercial Bodies</w:t>
      </w:r>
    </w:p>
    <w:p w14:paraId="43AB9A9C" w14:textId="7CD414D7" w:rsidR="00973B13" w:rsidRPr="00BC13A0" w:rsidRDefault="00973B13" w:rsidP="003652F9">
      <w:pPr>
        <w:pStyle w:val="ListBullet"/>
      </w:pPr>
      <w:r w:rsidRPr="00BC13A0">
        <w:t>Government Departments</w:t>
      </w:r>
    </w:p>
    <w:p w14:paraId="29573787" w14:textId="087F28A7" w:rsidR="00973B13" w:rsidRPr="00BC13A0" w:rsidRDefault="00973B13" w:rsidP="003652F9">
      <w:pPr>
        <w:pStyle w:val="ListBullet"/>
      </w:pPr>
      <w:r w:rsidRPr="00BC13A0">
        <w:t>Local Government Bodies</w:t>
      </w:r>
    </w:p>
    <w:p w14:paraId="11F9FC41" w14:textId="1E5BF304" w:rsidR="00973B13" w:rsidRPr="00BC13A0" w:rsidRDefault="00973B13" w:rsidP="003652F9">
      <w:pPr>
        <w:pStyle w:val="ListBullet"/>
      </w:pPr>
      <w:r w:rsidRPr="00BC13A0">
        <w:t xml:space="preserve">Non-Commercial Bodies </w:t>
      </w:r>
    </w:p>
    <w:p w14:paraId="3E4F04A8" w14:textId="5FD695A8" w:rsidR="00973B13" w:rsidRPr="00BC13A0" w:rsidRDefault="00973B13" w:rsidP="003652F9">
      <w:pPr>
        <w:pStyle w:val="ListBullet"/>
      </w:pPr>
      <w:r w:rsidRPr="00BC13A0">
        <w:t>Public Bodies staffed by Civil Servants</w:t>
      </w:r>
    </w:p>
    <w:p w14:paraId="78727FF6" w14:textId="77777777" w:rsidR="00973B13" w:rsidRPr="00BC13A0" w:rsidRDefault="00973B13" w:rsidP="00973B13">
      <w:pPr>
        <w:pStyle w:val="Heading3"/>
      </w:pPr>
      <w:r w:rsidRPr="00BC13A0">
        <w:t>Commercial Bodies</w:t>
      </w:r>
    </w:p>
    <w:p w14:paraId="507FDA20" w14:textId="31946257" w:rsidR="0004646A" w:rsidRPr="00BC13A0" w:rsidRDefault="00973B13" w:rsidP="003652F9">
      <w:r w:rsidRPr="00BC13A0">
        <w:t xml:space="preserve">The Commercial Bodies sector includes the State’s transport </w:t>
      </w:r>
      <w:r w:rsidR="0012246F" w:rsidRPr="00BC13A0">
        <w:t xml:space="preserve">and energy companies </w:t>
      </w:r>
      <w:r w:rsidR="00C80DA2">
        <w:t>which</w:t>
      </w:r>
      <w:r w:rsidR="0012246F" w:rsidRPr="00BC13A0">
        <w:t xml:space="preserve"> in 202</w:t>
      </w:r>
      <w:r w:rsidR="00742328" w:rsidRPr="00BC13A0">
        <w:t xml:space="preserve">2 </w:t>
      </w:r>
      <w:r w:rsidR="0012246F" w:rsidRPr="00BC13A0">
        <w:t>accounted for 15.</w:t>
      </w:r>
      <w:r w:rsidR="00742328" w:rsidRPr="00BC13A0">
        <w:t>4</w:t>
      </w:r>
      <w:r w:rsidRPr="00BC13A0">
        <w:t>% of the public sector workforce</w:t>
      </w:r>
      <w:r w:rsidR="00AC1C74">
        <w:t xml:space="preserve">. </w:t>
      </w:r>
      <w:r w:rsidR="0012246F" w:rsidRPr="00BC13A0">
        <w:t>Overall employee numbers in</w:t>
      </w:r>
      <w:r w:rsidRPr="00BC13A0">
        <w:t>creased betwe</w:t>
      </w:r>
      <w:r w:rsidR="0012246F" w:rsidRPr="00BC13A0">
        <w:t>en 202</w:t>
      </w:r>
      <w:r w:rsidR="00742328" w:rsidRPr="00BC13A0">
        <w:t>1</w:t>
      </w:r>
      <w:r w:rsidR="0012246F" w:rsidRPr="00BC13A0">
        <w:t xml:space="preserve"> and 202</w:t>
      </w:r>
      <w:r w:rsidR="00742328" w:rsidRPr="00BC13A0">
        <w:t>2</w:t>
      </w:r>
      <w:r w:rsidRPr="00BC13A0">
        <w:t xml:space="preserve"> by </w:t>
      </w:r>
      <w:r w:rsidR="00742328" w:rsidRPr="00BC13A0">
        <w:t>869</w:t>
      </w:r>
      <w:r w:rsidRPr="00BC13A0">
        <w:t xml:space="preserve"> to </w:t>
      </w:r>
      <w:r w:rsidR="00742328" w:rsidRPr="00BC13A0">
        <w:t xml:space="preserve">40,119 </w:t>
      </w:r>
      <w:r w:rsidR="0012246F" w:rsidRPr="00BC13A0">
        <w:t>(+</w:t>
      </w:r>
      <w:r w:rsidR="00742328" w:rsidRPr="00BC13A0">
        <w:t>2.2</w:t>
      </w:r>
      <w:r w:rsidRPr="00BC13A0">
        <w:t>%) and the number of employees reporti</w:t>
      </w:r>
      <w:r w:rsidR="0012246F" w:rsidRPr="00BC13A0">
        <w:t xml:space="preserve">ng a disability increased by </w:t>
      </w:r>
      <w:r w:rsidR="00742328" w:rsidRPr="00BC13A0">
        <w:t>118</w:t>
      </w:r>
      <w:r w:rsidRPr="00BC13A0">
        <w:t xml:space="preserve"> to </w:t>
      </w:r>
      <w:r w:rsidR="00742328" w:rsidRPr="00BC13A0">
        <w:t xml:space="preserve">2,009 </w:t>
      </w:r>
      <w:r w:rsidR="009663BF" w:rsidRPr="00BC13A0">
        <w:t>(+</w:t>
      </w:r>
      <w:r w:rsidR="00742328" w:rsidRPr="00BC13A0">
        <w:t>6.2</w:t>
      </w:r>
      <w:r w:rsidRPr="00BC13A0">
        <w:t>%).</w:t>
      </w:r>
      <w:r w:rsidR="00330E96" w:rsidRPr="00BC13A0">
        <w:t xml:space="preserve"> </w:t>
      </w:r>
      <w:r w:rsidR="009663BF" w:rsidRPr="00BC13A0">
        <w:t>In 202</w:t>
      </w:r>
      <w:r w:rsidR="00742328" w:rsidRPr="00BC13A0">
        <w:t>2</w:t>
      </w:r>
      <w:r w:rsidR="009663BF" w:rsidRPr="00BC13A0">
        <w:t>, t</w:t>
      </w:r>
      <w:r w:rsidRPr="00BC13A0">
        <w:t xml:space="preserve">he percentage of employees in Commercial Bodies with a disability </w:t>
      </w:r>
      <w:r w:rsidR="00742328" w:rsidRPr="00BC13A0">
        <w:t>increased from</w:t>
      </w:r>
      <w:r w:rsidR="009663BF" w:rsidRPr="00BC13A0">
        <w:t xml:space="preserve"> 4.8</w:t>
      </w:r>
      <w:r w:rsidR="00742328" w:rsidRPr="00BC13A0">
        <w:t>%</w:t>
      </w:r>
      <w:r w:rsidR="009663BF" w:rsidRPr="00BC13A0">
        <w:t xml:space="preserve"> in 202</w:t>
      </w:r>
      <w:r w:rsidR="00742328" w:rsidRPr="00BC13A0">
        <w:t>1 to 5.0% in 2022</w:t>
      </w:r>
      <w:r w:rsidR="009663BF" w:rsidRPr="00BC13A0">
        <w:t>. In total, 9</w:t>
      </w:r>
      <w:r w:rsidR="0002335B" w:rsidRPr="00BC13A0">
        <w:t>6</w:t>
      </w:r>
      <w:r w:rsidR="009663BF" w:rsidRPr="00BC13A0">
        <w:t>.0</w:t>
      </w:r>
      <w:r w:rsidRPr="00BC13A0">
        <w:t xml:space="preserve">% of bodies in this </w:t>
      </w:r>
      <w:r w:rsidR="0002335B" w:rsidRPr="00BC13A0">
        <w:t xml:space="preserve">category achieved the target, </w:t>
      </w:r>
      <w:r w:rsidR="00742328" w:rsidRPr="00BC13A0">
        <w:t>the same as the</w:t>
      </w:r>
      <w:r w:rsidR="00D05F4C" w:rsidRPr="00BC13A0">
        <w:t xml:space="preserve"> 202</w:t>
      </w:r>
      <w:r w:rsidR="00742328" w:rsidRPr="00BC13A0">
        <w:t>1</w:t>
      </w:r>
      <w:r w:rsidR="009663BF" w:rsidRPr="00BC13A0">
        <w:t xml:space="preserve"> figure</w:t>
      </w:r>
      <w:r w:rsidR="00742328" w:rsidRPr="00BC13A0">
        <w:t>.</w:t>
      </w:r>
    </w:p>
    <w:p w14:paraId="400A1AAC" w14:textId="77777777" w:rsidR="001C67C6" w:rsidRPr="004700D9" w:rsidRDefault="001C67C6" w:rsidP="003652F9">
      <w:r w:rsidRPr="004700D9">
        <w:lastRenderedPageBreak/>
        <w:t xml:space="preserve">In 2022, the Commercial category experienced the following changes: </w:t>
      </w:r>
    </w:p>
    <w:p w14:paraId="00F11EEE" w14:textId="2D527A06" w:rsidR="00D23F4E" w:rsidRPr="004700D9" w:rsidRDefault="00D23F4E" w:rsidP="001C67C6">
      <w:pPr>
        <w:pStyle w:val="ListParagraph"/>
        <w:numPr>
          <w:ilvl w:val="0"/>
          <w:numId w:val="10"/>
        </w:numPr>
        <w:rPr>
          <w:rFonts w:ascii="Gill Sans MT" w:hAnsi="Gill Sans MT"/>
        </w:rPr>
      </w:pPr>
      <w:r w:rsidRPr="004700D9">
        <w:rPr>
          <w:rFonts w:ascii="Gill Sans MT" w:hAnsi="Gill Sans MT"/>
        </w:rPr>
        <w:t>Irish Water changed its name to Uisce Éireann</w:t>
      </w:r>
    </w:p>
    <w:p w14:paraId="3E82C9AE" w14:textId="77777777" w:rsidR="00973B13" w:rsidRPr="00BC13A0" w:rsidRDefault="00973B13" w:rsidP="00973B13">
      <w:pPr>
        <w:pStyle w:val="Heading3"/>
      </w:pPr>
      <w:r w:rsidRPr="00BC13A0">
        <w:t>Government Departments</w:t>
      </w:r>
    </w:p>
    <w:p w14:paraId="3DAC91C7" w14:textId="18429BDE" w:rsidR="00310871" w:rsidRPr="00BC13A0" w:rsidRDefault="00AC1DDB" w:rsidP="003652F9">
      <w:r w:rsidRPr="00BC13A0">
        <w:t>In 202</w:t>
      </w:r>
      <w:r w:rsidR="00742328" w:rsidRPr="00BC13A0">
        <w:t>2</w:t>
      </w:r>
      <w:r w:rsidR="00973B13" w:rsidRPr="00BC13A0">
        <w:t>, Government Depart</w:t>
      </w:r>
      <w:r w:rsidRPr="00BC13A0">
        <w:t>ment employees accounted for 9.</w:t>
      </w:r>
      <w:r w:rsidR="00742328" w:rsidRPr="00BC13A0">
        <w:t>5</w:t>
      </w:r>
      <w:r w:rsidR="00973B13" w:rsidRPr="00BC13A0">
        <w:t>% of</w:t>
      </w:r>
      <w:r w:rsidR="00D16689" w:rsidRPr="00BC13A0">
        <w:t xml:space="preserve"> public sector employees. In 202</w:t>
      </w:r>
      <w:r w:rsidR="00742328" w:rsidRPr="00BC13A0">
        <w:t>2</w:t>
      </w:r>
      <w:r w:rsidR="00973B13" w:rsidRPr="00BC13A0">
        <w:t xml:space="preserve">, there was an increase in the total number of employees in Government Departments from </w:t>
      </w:r>
      <w:r w:rsidR="00742328" w:rsidRPr="00BC13A0">
        <w:t>23,590</w:t>
      </w:r>
      <w:r w:rsidR="005E2A39" w:rsidRPr="00BC13A0">
        <w:t xml:space="preserve"> in 202</w:t>
      </w:r>
      <w:r w:rsidR="00742328" w:rsidRPr="00BC13A0">
        <w:t>1</w:t>
      </w:r>
      <w:r w:rsidRPr="00BC13A0">
        <w:t xml:space="preserve"> to</w:t>
      </w:r>
      <w:r w:rsidR="00742328" w:rsidRPr="00BC13A0">
        <w:t xml:space="preserve"> 24</w:t>
      </w:r>
      <w:r w:rsidR="00960CA7" w:rsidRPr="00BC13A0">
        <w:t>,</w:t>
      </w:r>
      <w:r w:rsidR="00742328" w:rsidRPr="00BC13A0">
        <w:t>639</w:t>
      </w:r>
      <w:r w:rsidRPr="00BC13A0">
        <w:t xml:space="preserve"> in 202</w:t>
      </w:r>
      <w:r w:rsidR="00742328" w:rsidRPr="00BC13A0">
        <w:t>2</w:t>
      </w:r>
      <w:r w:rsidR="005E2A39" w:rsidRPr="00BC13A0">
        <w:t xml:space="preserve"> (</w:t>
      </w:r>
      <w:r w:rsidR="004950EA" w:rsidRPr="00BC13A0">
        <w:t>+</w:t>
      </w:r>
      <w:r w:rsidR="0089709A" w:rsidRPr="00BC13A0">
        <w:t>4</w:t>
      </w:r>
      <w:r w:rsidRPr="00BC13A0">
        <w:t>.4</w:t>
      </w:r>
      <w:r w:rsidR="005E2A39" w:rsidRPr="00BC13A0">
        <w:t>%). Between 20</w:t>
      </w:r>
      <w:r w:rsidR="002B447B" w:rsidRPr="00BC13A0">
        <w:t>2</w:t>
      </w:r>
      <w:r w:rsidR="0089709A" w:rsidRPr="00BC13A0">
        <w:t>1</w:t>
      </w:r>
      <w:r w:rsidR="002B447B" w:rsidRPr="00BC13A0">
        <w:t xml:space="preserve"> and 202</w:t>
      </w:r>
      <w:r w:rsidR="0089709A" w:rsidRPr="00BC13A0">
        <w:t>2</w:t>
      </w:r>
      <w:r w:rsidR="00973B13" w:rsidRPr="00BC13A0">
        <w:t>, the number o</w:t>
      </w:r>
      <w:r w:rsidR="005E2A39" w:rsidRPr="00BC13A0">
        <w:t xml:space="preserve">f employees with a disability </w:t>
      </w:r>
      <w:r w:rsidR="002B447B" w:rsidRPr="00BC13A0">
        <w:t>in</w:t>
      </w:r>
      <w:r w:rsidR="005E2A39" w:rsidRPr="00BC13A0">
        <w:t>creased by</w:t>
      </w:r>
      <w:r w:rsidR="0089709A" w:rsidRPr="00BC13A0">
        <w:t xml:space="preserve"> 62</w:t>
      </w:r>
      <w:r w:rsidR="00750A4C" w:rsidRPr="00BC13A0">
        <w:t xml:space="preserve"> people to </w:t>
      </w:r>
      <w:r w:rsidR="002B447B" w:rsidRPr="00BC13A0">
        <w:t>1,4</w:t>
      </w:r>
      <w:r w:rsidR="0089709A" w:rsidRPr="00BC13A0">
        <w:t>89</w:t>
      </w:r>
      <w:r w:rsidR="005E2A39" w:rsidRPr="00BC13A0">
        <w:t xml:space="preserve"> (</w:t>
      </w:r>
      <w:r w:rsidR="002B447B" w:rsidRPr="00BC13A0">
        <w:t>+</w:t>
      </w:r>
      <w:r w:rsidR="0089709A" w:rsidRPr="00BC13A0">
        <w:t>4.3</w:t>
      </w:r>
      <w:r w:rsidR="00973B13" w:rsidRPr="00BC13A0">
        <w:t>%). The percentage of emp</w:t>
      </w:r>
      <w:r w:rsidR="000D2293" w:rsidRPr="00BC13A0">
        <w:t xml:space="preserve">loyees reporting a disability </w:t>
      </w:r>
      <w:r w:rsidR="0089709A" w:rsidRPr="00BC13A0">
        <w:t>remained at</w:t>
      </w:r>
      <w:r w:rsidR="00085FEC" w:rsidRPr="00BC13A0">
        <w:t xml:space="preserve"> </w:t>
      </w:r>
      <w:r w:rsidR="0089709A" w:rsidRPr="00BC13A0">
        <w:t>6</w:t>
      </w:r>
      <w:r w:rsidR="00085FEC" w:rsidRPr="00BC13A0">
        <w:t>.0% in 202</w:t>
      </w:r>
      <w:r w:rsidR="0089709A" w:rsidRPr="00BC13A0">
        <w:t>2, the same as 2021</w:t>
      </w:r>
      <w:r w:rsidR="00973B13" w:rsidRPr="00BC13A0">
        <w:t>. All Government Departments exceeded the minim</w:t>
      </w:r>
      <w:r w:rsidR="002B447B" w:rsidRPr="00BC13A0">
        <w:t>um 3% target for 202</w:t>
      </w:r>
      <w:r w:rsidR="0089709A" w:rsidRPr="00BC13A0">
        <w:t>2</w:t>
      </w:r>
      <w:r w:rsidR="00085FEC" w:rsidRPr="00BC13A0">
        <w:t xml:space="preserve"> - the </w:t>
      </w:r>
      <w:r w:rsidR="0089709A" w:rsidRPr="00BC13A0">
        <w:t>eleventh</w:t>
      </w:r>
      <w:r w:rsidR="002B447B" w:rsidRPr="00BC13A0">
        <w:t xml:space="preserve"> </w:t>
      </w:r>
      <w:r w:rsidR="00973B13" w:rsidRPr="00BC13A0">
        <w:t>successive year that the target w</w:t>
      </w:r>
      <w:r w:rsidR="00AE63A1" w:rsidRPr="00BC13A0">
        <w:t>as exceeded by all Departments.</w:t>
      </w:r>
    </w:p>
    <w:p w14:paraId="57E060A1" w14:textId="42331B56" w:rsidR="00973B13" w:rsidRPr="00BC13A0" w:rsidRDefault="00973B13" w:rsidP="00973B13">
      <w:pPr>
        <w:pStyle w:val="Heading3"/>
      </w:pPr>
      <w:r w:rsidRPr="00BC13A0">
        <w:t xml:space="preserve">Local Government </w:t>
      </w:r>
    </w:p>
    <w:p w14:paraId="55E7DF7F" w14:textId="77DA1D39" w:rsidR="00973B13" w:rsidRPr="00BC13A0" w:rsidRDefault="00973B13" w:rsidP="003652F9">
      <w:r w:rsidRPr="00BC13A0">
        <w:t>The Local Government sector includes city and county councils, and other</w:t>
      </w:r>
      <w:r w:rsidR="00EB2734" w:rsidRPr="00BC13A0">
        <w:t xml:space="preserve"> local authority bodies. In 202</w:t>
      </w:r>
      <w:r w:rsidR="002271C9" w:rsidRPr="00BC13A0">
        <w:t>2</w:t>
      </w:r>
      <w:r w:rsidR="00EB2734" w:rsidRPr="00BC13A0">
        <w:t xml:space="preserve">, it accounted for </w:t>
      </w:r>
      <w:r w:rsidR="002271C9" w:rsidRPr="00BC13A0">
        <w:t>12.9</w:t>
      </w:r>
      <w:r w:rsidRPr="00BC13A0">
        <w:t xml:space="preserve">% of the public sector workforce. </w:t>
      </w:r>
      <w:r w:rsidR="00EB2734" w:rsidRPr="00BC13A0">
        <w:t>Between 202</w:t>
      </w:r>
      <w:r w:rsidR="002271C9" w:rsidRPr="00BC13A0">
        <w:t>1</w:t>
      </w:r>
      <w:r w:rsidR="00EB2734" w:rsidRPr="00BC13A0">
        <w:t xml:space="preserve"> and 202</w:t>
      </w:r>
      <w:r w:rsidR="002271C9" w:rsidRPr="00BC13A0">
        <w:t>2</w:t>
      </w:r>
      <w:r w:rsidR="00EB2734" w:rsidRPr="00BC13A0">
        <w:t>, overall e</w:t>
      </w:r>
      <w:r w:rsidR="004950EA" w:rsidRPr="00BC13A0">
        <w:t xml:space="preserve">mployee numbers increased by </w:t>
      </w:r>
      <w:r w:rsidR="002271C9" w:rsidRPr="00BC13A0">
        <w:t>373</w:t>
      </w:r>
      <w:r w:rsidR="00EB2734" w:rsidRPr="00BC13A0">
        <w:t xml:space="preserve"> to 33,</w:t>
      </w:r>
      <w:r w:rsidR="002271C9" w:rsidRPr="00BC13A0">
        <w:t>489</w:t>
      </w:r>
      <w:r w:rsidR="009B2455" w:rsidRPr="00BC13A0">
        <w:t xml:space="preserve"> (+</w:t>
      </w:r>
      <w:r w:rsidR="002271C9" w:rsidRPr="00BC13A0">
        <w:t>1.1</w:t>
      </w:r>
      <w:r w:rsidR="009B2455" w:rsidRPr="00BC13A0">
        <w:t>%)</w:t>
      </w:r>
      <w:r w:rsidRPr="00BC13A0">
        <w:t>. The number of emp</w:t>
      </w:r>
      <w:r w:rsidR="00D00AB4" w:rsidRPr="00BC13A0">
        <w:t>loye</w:t>
      </w:r>
      <w:r w:rsidR="009B2455" w:rsidRPr="00BC13A0">
        <w:t xml:space="preserve">es reporting a disability increased by </w:t>
      </w:r>
      <w:r w:rsidR="002271C9" w:rsidRPr="00BC13A0">
        <w:t>93</w:t>
      </w:r>
      <w:r w:rsidRPr="00BC13A0">
        <w:t xml:space="preserve"> people, </w:t>
      </w:r>
      <w:r w:rsidR="00D00AB4" w:rsidRPr="00BC13A0">
        <w:t xml:space="preserve">from </w:t>
      </w:r>
      <w:r w:rsidR="009B2455" w:rsidRPr="00BC13A0">
        <w:t>1,480</w:t>
      </w:r>
      <w:r w:rsidR="002271C9" w:rsidRPr="00BC13A0">
        <w:t xml:space="preserve"> to 1</w:t>
      </w:r>
      <w:r w:rsidR="00AA2430">
        <w:t>,</w:t>
      </w:r>
      <w:r w:rsidR="002271C9" w:rsidRPr="00BC13A0">
        <w:t>573</w:t>
      </w:r>
      <w:r w:rsidR="009B2455" w:rsidRPr="00BC13A0">
        <w:t xml:space="preserve"> (+</w:t>
      </w:r>
      <w:r w:rsidR="002271C9" w:rsidRPr="00BC13A0">
        <w:t>6.3</w:t>
      </w:r>
      <w:r w:rsidR="009B2455" w:rsidRPr="00BC13A0">
        <w:t>%) in 202</w:t>
      </w:r>
      <w:r w:rsidR="00C85042" w:rsidRPr="00BC13A0">
        <w:t>2</w:t>
      </w:r>
      <w:r w:rsidRPr="00BC13A0">
        <w:t>. The percentage of employees with disabilities across the Local Govern</w:t>
      </w:r>
      <w:r w:rsidR="00816BDF" w:rsidRPr="00BC13A0">
        <w:t>ment category</w:t>
      </w:r>
      <w:r w:rsidR="00A64A7D" w:rsidRPr="00BC13A0">
        <w:t>,</w:t>
      </w:r>
      <w:r w:rsidR="00816BDF" w:rsidRPr="00BC13A0">
        <w:t xml:space="preserve"> as a whole</w:t>
      </w:r>
      <w:r w:rsidR="00A64A7D" w:rsidRPr="00BC13A0">
        <w:t>,</w:t>
      </w:r>
      <w:r w:rsidR="00816BDF" w:rsidRPr="00BC13A0">
        <w:t xml:space="preserve"> </w:t>
      </w:r>
      <w:r w:rsidR="009B2455" w:rsidRPr="00BC13A0">
        <w:t>in</w:t>
      </w:r>
      <w:r w:rsidR="00046B63" w:rsidRPr="00BC13A0">
        <w:t>creased</w:t>
      </w:r>
      <w:r w:rsidR="009B2455" w:rsidRPr="00BC13A0">
        <w:t xml:space="preserve"> </w:t>
      </w:r>
      <w:r w:rsidR="004950EA" w:rsidRPr="00BC13A0">
        <w:t>from 4.5% in 2021</w:t>
      </w:r>
      <w:r w:rsidR="002271C9" w:rsidRPr="00BC13A0">
        <w:t xml:space="preserve"> to 4.7% in 2022</w:t>
      </w:r>
      <w:r w:rsidRPr="00BC13A0">
        <w:t xml:space="preserve">. In total, </w:t>
      </w:r>
      <w:r w:rsidR="009B2455" w:rsidRPr="00BC13A0">
        <w:t>94.3</w:t>
      </w:r>
      <w:r w:rsidRPr="00BC13A0">
        <w:t>% of bodies in this category achieved the target</w:t>
      </w:r>
      <w:r w:rsidR="00816BDF" w:rsidRPr="00BC13A0">
        <w:t>,</w:t>
      </w:r>
      <w:r w:rsidRPr="00BC13A0">
        <w:t xml:space="preserve"> </w:t>
      </w:r>
      <w:r w:rsidR="002271C9" w:rsidRPr="00BC13A0">
        <w:t>the same figure as 2021</w:t>
      </w:r>
      <w:r w:rsidR="009B2455" w:rsidRPr="00BC13A0">
        <w:t xml:space="preserve">. </w:t>
      </w:r>
      <w:r w:rsidR="00816BDF" w:rsidRPr="00BC13A0">
        <w:t>The</w:t>
      </w:r>
      <w:r w:rsidR="00FD1C67" w:rsidRPr="00BC13A0">
        <w:t xml:space="preserve"> two public bodies in this category who did not </w:t>
      </w:r>
      <w:r w:rsidR="00D90B62" w:rsidRPr="00BC13A0">
        <w:t>achieve</w:t>
      </w:r>
      <w:r w:rsidR="00FD1C67" w:rsidRPr="00BC13A0">
        <w:t xml:space="preserve"> the target were two</w:t>
      </w:r>
      <w:r w:rsidRPr="00BC13A0">
        <w:t xml:space="preserve"> regional a</w:t>
      </w:r>
      <w:r w:rsidR="002527A1" w:rsidRPr="00BC13A0">
        <w:t>ssemblies that have less than 25</w:t>
      </w:r>
      <w:r w:rsidRPr="00BC13A0">
        <w:t xml:space="preserve"> staff.</w:t>
      </w:r>
    </w:p>
    <w:p w14:paraId="3B75F144" w14:textId="77777777" w:rsidR="00973B13" w:rsidRPr="00BC13A0" w:rsidRDefault="00973B13" w:rsidP="00973B13">
      <w:pPr>
        <w:pStyle w:val="Heading3"/>
      </w:pPr>
      <w:r w:rsidRPr="00BC13A0">
        <w:t>Public Bodies Staffed by Civil Servants (PBCS)</w:t>
      </w:r>
    </w:p>
    <w:p w14:paraId="0C33B7F2" w14:textId="075DADE1" w:rsidR="006941DE" w:rsidRPr="00BC13A0" w:rsidRDefault="00973B13" w:rsidP="00973B13">
      <w:pPr>
        <w:rPr>
          <w:color w:val="000000" w:themeColor="text1"/>
        </w:rPr>
      </w:pPr>
      <w:r w:rsidRPr="00BC13A0">
        <w:t xml:space="preserve">This sector includes </w:t>
      </w:r>
      <w:r w:rsidR="00C80DA2">
        <w:t xml:space="preserve">public </w:t>
      </w:r>
      <w:r w:rsidRPr="00BC13A0">
        <w:t>bodies whose employees are classified as civil servants such as the Revenue Commissioners, the Central Statistics Office, IHREC and the National Counc</w:t>
      </w:r>
      <w:r w:rsidR="008F73C9" w:rsidRPr="00BC13A0">
        <w:t>i</w:t>
      </w:r>
      <w:r w:rsidR="00FB57B2" w:rsidRPr="00BC13A0">
        <w:t>l for Special Education. In 202</w:t>
      </w:r>
      <w:r w:rsidR="00E401E3" w:rsidRPr="00BC13A0">
        <w:t>2</w:t>
      </w:r>
      <w:r w:rsidR="00FB57B2" w:rsidRPr="00BC13A0">
        <w:t>, these agencies constituted 6.</w:t>
      </w:r>
      <w:r w:rsidR="00E401E3" w:rsidRPr="00BC13A0">
        <w:t>7</w:t>
      </w:r>
      <w:r w:rsidRPr="00BC13A0">
        <w:t>% of the publi</w:t>
      </w:r>
      <w:r w:rsidR="00FB57B2" w:rsidRPr="00BC13A0">
        <w:t>c sector workforce. Between 202</w:t>
      </w:r>
      <w:r w:rsidR="00E401E3" w:rsidRPr="00BC13A0">
        <w:t>1</w:t>
      </w:r>
      <w:r w:rsidR="00FB57B2" w:rsidRPr="00BC13A0">
        <w:t xml:space="preserve"> and 202</w:t>
      </w:r>
      <w:r w:rsidR="00E401E3" w:rsidRPr="00BC13A0">
        <w:t>2</w:t>
      </w:r>
      <w:r w:rsidR="00FB57B2" w:rsidRPr="00BC13A0">
        <w:t xml:space="preserve">, this sector </w:t>
      </w:r>
      <w:r w:rsidR="00E401E3" w:rsidRPr="00BC13A0">
        <w:t>in</w:t>
      </w:r>
      <w:r w:rsidR="008F73C9" w:rsidRPr="00BC13A0">
        <w:t xml:space="preserve">creased by </w:t>
      </w:r>
      <w:r w:rsidR="00E401E3" w:rsidRPr="00BC13A0">
        <w:t>6</w:t>
      </w:r>
      <w:r w:rsidR="00060A37" w:rsidRPr="00BC13A0">
        <w:t>6</w:t>
      </w:r>
      <w:r w:rsidR="00E401E3" w:rsidRPr="00BC13A0">
        <w:t>0</w:t>
      </w:r>
      <w:r w:rsidR="008F73C9" w:rsidRPr="00BC13A0">
        <w:t xml:space="preserve"> employees to 1</w:t>
      </w:r>
      <w:r w:rsidR="00E401E3" w:rsidRPr="00BC13A0">
        <w:t>7</w:t>
      </w:r>
      <w:r w:rsidR="008F73C9" w:rsidRPr="00BC13A0">
        <w:t>,</w:t>
      </w:r>
      <w:r w:rsidR="00E401E3" w:rsidRPr="00BC13A0">
        <w:t>38</w:t>
      </w:r>
      <w:r w:rsidR="00FB57B2" w:rsidRPr="00BC13A0">
        <w:t>5 (</w:t>
      </w:r>
      <w:r w:rsidR="00213322" w:rsidRPr="00BC13A0">
        <w:t>+</w:t>
      </w:r>
      <w:r w:rsidR="00E401E3" w:rsidRPr="00BC13A0">
        <w:t>3.9</w:t>
      </w:r>
      <w:r w:rsidRPr="00BC13A0">
        <w:t>%), and the number of employees wi</w:t>
      </w:r>
      <w:r w:rsidR="008F73C9" w:rsidRPr="00BC13A0">
        <w:t>th disa</w:t>
      </w:r>
      <w:r w:rsidR="0045321B" w:rsidRPr="00BC13A0">
        <w:t xml:space="preserve">bilities </w:t>
      </w:r>
      <w:r w:rsidR="00213322" w:rsidRPr="00BC13A0">
        <w:t>in</w:t>
      </w:r>
      <w:r w:rsidR="008F73C9" w:rsidRPr="00BC13A0">
        <w:t xml:space="preserve">creased by </w:t>
      </w:r>
      <w:r w:rsidR="00213322" w:rsidRPr="00BC13A0">
        <w:t>163</w:t>
      </w:r>
      <w:r w:rsidR="0045321B" w:rsidRPr="00BC13A0">
        <w:t xml:space="preserve"> to </w:t>
      </w:r>
      <w:r w:rsidR="00213322" w:rsidRPr="00BC13A0">
        <w:t>936</w:t>
      </w:r>
      <w:r w:rsidR="0045321B" w:rsidRPr="00BC13A0">
        <w:t xml:space="preserve"> (</w:t>
      </w:r>
      <w:r w:rsidR="00213322" w:rsidRPr="00BC13A0">
        <w:t>+21.1</w:t>
      </w:r>
      <w:r w:rsidRPr="00BC13A0">
        <w:t xml:space="preserve">%). The percentage of employees with disabilities </w:t>
      </w:r>
      <w:r w:rsidR="00213322" w:rsidRPr="00BC13A0">
        <w:t>in</w:t>
      </w:r>
      <w:r w:rsidRPr="00BC13A0">
        <w:t xml:space="preserve">creased </w:t>
      </w:r>
      <w:r w:rsidR="002527A1" w:rsidRPr="00BC13A0">
        <w:t>from 4.</w:t>
      </w:r>
      <w:r w:rsidR="00213322" w:rsidRPr="00BC13A0">
        <w:t>6</w:t>
      </w:r>
      <w:r w:rsidR="002527A1" w:rsidRPr="00BC13A0">
        <w:t>% in 202</w:t>
      </w:r>
      <w:r w:rsidR="00213322" w:rsidRPr="00BC13A0">
        <w:t>1</w:t>
      </w:r>
      <w:r w:rsidR="0045321B" w:rsidRPr="00BC13A0">
        <w:t xml:space="preserve"> to </w:t>
      </w:r>
      <w:r w:rsidR="00213322" w:rsidRPr="00BC13A0">
        <w:t>5.4</w:t>
      </w:r>
      <w:r w:rsidR="002527A1" w:rsidRPr="00BC13A0">
        <w:t>% in 202</w:t>
      </w:r>
      <w:r w:rsidR="00213322" w:rsidRPr="00BC13A0">
        <w:t>2</w:t>
      </w:r>
      <w:r w:rsidRPr="00BC13A0">
        <w:t xml:space="preserve">. </w:t>
      </w:r>
      <w:r w:rsidR="0045321B" w:rsidRPr="00BC13A0">
        <w:t>In total, 8</w:t>
      </w:r>
      <w:r w:rsidR="00213322" w:rsidRPr="00BC13A0">
        <w:t>5</w:t>
      </w:r>
      <w:r w:rsidR="0045321B" w:rsidRPr="00BC13A0">
        <w:t>.0</w:t>
      </w:r>
      <w:r w:rsidRPr="00BC13A0">
        <w:t xml:space="preserve">% of </w:t>
      </w:r>
      <w:r w:rsidR="00C80DA2">
        <w:t xml:space="preserve">public </w:t>
      </w:r>
      <w:r w:rsidRPr="00BC13A0">
        <w:t>bodies in this sector achieved</w:t>
      </w:r>
      <w:r w:rsidR="00182475" w:rsidRPr="00BC13A0">
        <w:t xml:space="preserve"> the target, a</w:t>
      </w:r>
      <w:r w:rsidR="00213322" w:rsidRPr="00BC13A0">
        <w:t>n</w:t>
      </w:r>
      <w:r w:rsidR="002527A1" w:rsidRPr="00BC13A0">
        <w:t xml:space="preserve"> </w:t>
      </w:r>
      <w:r w:rsidR="00213322" w:rsidRPr="00BC13A0">
        <w:t>in</w:t>
      </w:r>
      <w:r w:rsidR="008F73C9" w:rsidRPr="00BC13A0">
        <w:t xml:space="preserve">crease from </w:t>
      </w:r>
      <w:r w:rsidR="0045321B" w:rsidRPr="00BC13A0">
        <w:t>8</w:t>
      </w:r>
      <w:r w:rsidR="00213322" w:rsidRPr="00BC13A0">
        <w:t>0</w:t>
      </w:r>
      <w:r w:rsidR="0045321B" w:rsidRPr="00BC13A0">
        <w:t>.</w:t>
      </w:r>
      <w:r w:rsidR="00213322" w:rsidRPr="00BC13A0">
        <w:t>0</w:t>
      </w:r>
      <w:r w:rsidR="0045321B" w:rsidRPr="00BC13A0">
        <w:t>% in 202</w:t>
      </w:r>
      <w:r w:rsidR="00213322" w:rsidRPr="00BC13A0">
        <w:t>1</w:t>
      </w:r>
      <w:r w:rsidRPr="00BC13A0">
        <w:rPr>
          <w:color w:val="000000" w:themeColor="text1"/>
        </w:rPr>
        <w:t>.</w:t>
      </w:r>
      <w:r w:rsidR="00E21704" w:rsidRPr="00BC13A0" w:rsidDel="00E21704">
        <w:rPr>
          <w:color w:val="000000" w:themeColor="text1"/>
        </w:rPr>
        <w:t xml:space="preserve"> </w:t>
      </w:r>
    </w:p>
    <w:p w14:paraId="55568856" w14:textId="77777777" w:rsidR="00024AFF" w:rsidRPr="004700D9" w:rsidRDefault="00024AFF" w:rsidP="00973B13">
      <w:pPr>
        <w:rPr>
          <w:color w:val="000000" w:themeColor="text1"/>
          <w:szCs w:val="26"/>
        </w:rPr>
      </w:pPr>
      <w:r w:rsidRPr="004700D9">
        <w:rPr>
          <w:color w:val="000000" w:themeColor="text1"/>
          <w:szCs w:val="26"/>
        </w:rPr>
        <w:t>In 2022, the Public Bodies Staffed by Civil Servants experienced the following changes:</w:t>
      </w:r>
    </w:p>
    <w:p w14:paraId="1AC4F077" w14:textId="64E5AEF5" w:rsidR="006B79A7" w:rsidRPr="004700D9" w:rsidRDefault="006B79A7" w:rsidP="004700D9">
      <w:pPr>
        <w:pStyle w:val="ListParagraph"/>
        <w:numPr>
          <w:ilvl w:val="0"/>
          <w:numId w:val="9"/>
        </w:numPr>
        <w:spacing w:after="120"/>
        <w:ind w:left="788" w:hanging="357"/>
        <w:contextualSpacing w:val="0"/>
        <w:rPr>
          <w:rFonts w:ascii="Gill Sans MT" w:hAnsi="Gill Sans MT"/>
          <w:color w:val="000000" w:themeColor="text1"/>
          <w:szCs w:val="26"/>
        </w:rPr>
      </w:pPr>
      <w:r w:rsidRPr="004700D9">
        <w:rPr>
          <w:rFonts w:ascii="Gill Sans MT" w:hAnsi="Gill Sans MT"/>
          <w:color w:val="000000" w:themeColor="text1"/>
          <w:szCs w:val="26"/>
        </w:rPr>
        <w:t xml:space="preserve">Charities Regulatory </w:t>
      </w:r>
      <w:r w:rsidR="008E1CCC" w:rsidRPr="004700D9">
        <w:rPr>
          <w:rFonts w:ascii="Gill Sans MT" w:hAnsi="Gill Sans MT"/>
          <w:color w:val="000000" w:themeColor="text1"/>
          <w:szCs w:val="26"/>
        </w:rPr>
        <w:t>Authority</w:t>
      </w:r>
      <w:r w:rsidRPr="004700D9">
        <w:rPr>
          <w:rFonts w:ascii="Gill Sans MT" w:hAnsi="Gill Sans MT"/>
          <w:color w:val="000000" w:themeColor="text1"/>
          <w:szCs w:val="26"/>
        </w:rPr>
        <w:t xml:space="preserve"> moved from this category to the Non-</w:t>
      </w:r>
      <w:r w:rsidR="00C80DA2">
        <w:rPr>
          <w:rFonts w:ascii="Gill Sans MT" w:hAnsi="Gill Sans MT"/>
          <w:color w:val="000000" w:themeColor="text1"/>
          <w:szCs w:val="26"/>
        </w:rPr>
        <w:t>C</w:t>
      </w:r>
      <w:r w:rsidRPr="004700D9">
        <w:rPr>
          <w:rFonts w:ascii="Gill Sans MT" w:hAnsi="Gill Sans MT"/>
          <w:color w:val="000000" w:themeColor="text1"/>
          <w:szCs w:val="26"/>
        </w:rPr>
        <w:t>ommercial category</w:t>
      </w:r>
    </w:p>
    <w:p w14:paraId="7D2A1D1C" w14:textId="5A75E590" w:rsidR="00651D9E" w:rsidRPr="004700D9" w:rsidRDefault="00651D9E" w:rsidP="00973B13">
      <w:pPr>
        <w:pStyle w:val="ListParagraph"/>
        <w:numPr>
          <w:ilvl w:val="0"/>
          <w:numId w:val="9"/>
        </w:numPr>
        <w:rPr>
          <w:rFonts w:ascii="Gill Sans MT" w:hAnsi="Gill Sans MT"/>
          <w:color w:val="000000" w:themeColor="text1"/>
          <w:szCs w:val="26"/>
        </w:rPr>
      </w:pPr>
      <w:r w:rsidRPr="004700D9">
        <w:rPr>
          <w:rFonts w:ascii="Gill Sans MT" w:hAnsi="Gill Sans MT"/>
          <w:color w:val="000000" w:themeColor="text1"/>
          <w:szCs w:val="26"/>
        </w:rPr>
        <w:t xml:space="preserve">Corporate Enforcement Agency </w:t>
      </w:r>
      <w:r w:rsidR="00F323C5" w:rsidRPr="004700D9">
        <w:rPr>
          <w:rFonts w:ascii="Gill Sans MT" w:hAnsi="Gill Sans MT"/>
          <w:color w:val="000000" w:themeColor="text1"/>
          <w:szCs w:val="26"/>
        </w:rPr>
        <w:t xml:space="preserve">- </w:t>
      </w:r>
      <w:r w:rsidRPr="004700D9">
        <w:rPr>
          <w:rFonts w:ascii="Gill Sans MT" w:hAnsi="Gill Sans MT"/>
          <w:color w:val="000000" w:themeColor="text1"/>
          <w:szCs w:val="26"/>
        </w:rPr>
        <w:t>a new public body joined this category</w:t>
      </w:r>
      <w:r w:rsidR="00C80DA2">
        <w:rPr>
          <w:rFonts w:ascii="Gill Sans MT" w:hAnsi="Gill Sans MT"/>
          <w:color w:val="000000" w:themeColor="text1"/>
          <w:szCs w:val="26"/>
        </w:rPr>
        <w:t>.</w:t>
      </w:r>
    </w:p>
    <w:p w14:paraId="6D13BD3B" w14:textId="36D0A3D6" w:rsidR="00973B13" w:rsidRPr="00BC13A0" w:rsidRDefault="00973B13" w:rsidP="00973B13">
      <w:pPr>
        <w:pStyle w:val="Heading3"/>
      </w:pPr>
      <w:r w:rsidRPr="00BC13A0">
        <w:lastRenderedPageBreak/>
        <w:t>Non-Commercial Bodies</w:t>
      </w:r>
    </w:p>
    <w:p w14:paraId="294F65BD" w14:textId="77F4A91D" w:rsidR="00973B13" w:rsidRPr="00BC13A0" w:rsidRDefault="00973B13" w:rsidP="003652F9">
      <w:r w:rsidRPr="00BC13A0">
        <w:t>This tends to be the largest secto</w:t>
      </w:r>
      <w:r w:rsidR="00A931B1" w:rsidRPr="00BC13A0">
        <w:t xml:space="preserve">r in the public service </w:t>
      </w:r>
      <w:r w:rsidRPr="00BC13A0">
        <w:t>because it includes the HSE, the largest employ</w:t>
      </w:r>
      <w:r w:rsidR="00591F80" w:rsidRPr="00BC13A0">
        <w:t>er in the public sector. In 202</w:t>
      </w:r>
      <w:r w:rsidR="005259DD" w:rsidRPr="00BC13A0">
        <w:t>2</w:t>
      </w:r>
      <w:r w:rsidRPr="00BC13A0">
        <w:t>, this se</w:t>
      </w:r>
      <w:r w:rsidR="00731882" w:rsidRPr="00BC13A0">
        <w:t>ct</w:t>
      </w:r>
      <w:r w:rsidR="00591F80" w:rsidRPr="00BC13A0">
        <w:t>or accounted for over half (55.</w:t>
      </w:r>
      <w:r w:rsidR="005259DD" w:rsidRPr="00BC13A0">
        <w:t>6</w:t>
      </w:r>
      <w:r w:rsidRPr="00BC13A0">
        <w:t>%) of the publi</w:t>
      </w:r>
      <w:r w:rsidR="00731882" w:rsidRPr="00BC13A0">
        <w:t>c</w:t>
      </w:r>
      <w:r w:rsidR="00591F80" w:rsidRPr="00BC13A0">
        <w:t xml:space="preserve"> sector workforce. Between 202</w:t>
      </w:r>
      <w:r w:rsidR="005259DD" w:rsidRPr="00BC13A0">
        <w:t>1</w:t>
      </w:r>
      <w:r w:rsidR="00591F80" w:rsidRPr="00BC13A0">
        <w:t xml:space="preserve"> and 202</w:t>
      </w:r>
      <w:r w:rsidR="005259DD" w:rsidRPr="00BC13A0">
        <w:t>2</w:t>
      </w:r>
      <w:r w:rsidR="00731882" w:rsidRPr="00BC13A0">
        <w:t xml:space="preserve">, this sector increased by </w:t>
      </w:r>
      <w:r w:rsidR="00591F80" w:rsidRPr="00BC13A0">
        <w:t>5,</w:t>
      </w:r>
      <w:r w:rsidR="005259DD" w:rsidRPr="00BC13A0">
        <w:t>931</w:t>
      </w:r>
      <w:r w:rsidR="00591F80" w:rsidRPr="00BC13A0">
        <w:t xml:space="preserve"> employees to </w:t>
      </w:r>
      <w:r w:rsidR="005259DD" w:rsidRPr="00BC13A0">
        <w:t>144,802</w:t>
      </w:r>
      <w:r w:rsidR="00591F80" w:rsidRPr="00BC13A0">
        <w:t xml:space="preserve"> (+4</w:t>
      </w:r>
      <w:r w:rsidR="00731882" w:rsidRPr="00BC13A0">
        <w:t>.</w:t>
      </w:r>
      <w:r w:rsidR="005259DD" w:rsidRPr="00BC13A0">
        <w:t>3</w:t>
      </w:r>
      <w:r w:rsidRPr="00BC13A0">
        <w:t>%), while the number o</w:t>
      </w:r>
      <w:r w:rsidR="00731882" w:rsidRPr="00BC13A0">
        <w:t>f employees with disabilities in</w:t>
      </w:r>
      <w:r w:rsidRPr="00BC13A0">
        <w:t>creased</w:t>
      </w:r>
      <w:r w:rsidR="00731882" w:rsidRPr="00BC13A0">
        <w:t xml:space="preserve"> by </w:t>
      </w:r>
      <w:r w:rsidR="005259DD" w:rsidRPr="00BC13A0">
        <w:t>1</w:t>
      </w:r>
      <w:r w:rsidR="00C80DA2">
        <w:t>,</w:t>
      </w:r>
      <w:r w:rsidR="005259DD" w:rsidRPr="00BC13A0">
        <w:t>184</w:t>
      </w:r>
      <w:r w:rsidR="00731882" w:rsidRPr="00BC13A0">
        <w:t xml:space="preserve"> employees to </w:t>
      </w:r>
      <w:r w:rsidR="005259DD" w:rsidRPr="00BC13A0">
        <w:t>4,624</w:t>
      </w:r>
      <w:r w:rsidR="00F73BFB" w:rsidRPr="00BC13A0">
        <w:t xml:space="preserve"> (+3</w:t>
      </w:r>
      <w:r w:rsidR="005259DD" w:rsidRPr="00BC13A0">
        <w:t>4.4</w:t>
      </w:r>
      <w:r w:rsidRPr="00BC13A0">
        <w:t>%). The percentage o</w:t>
      </w:r>
      <w:r w:rsidR="00731882" w:rsidRPr="00BC13A0">
        <w:t xml:space="preserve">f employees with disabilities increased </w:t>
      </w:r>
      <w:r w:rsidR="00F73BFB" w:rsidRPr="00BC13A0">
        <w:t>from 2.5% in 202</w:t>
      </w:r>
      <w:r w:rsidR="005259DD" w:rsidRPr="00BC13A0">
        <w:t>1 to 3.2% in 2022</w:t>
      </w:r>
      <w:r w:rsidRPr="00BC13A0">
        <w:t xml:space="preserve">. </w:t>
      </w:r>
      <w:r w:rsidR="00F73BFB" w:rsidRPr="00BC13A0">
        <w:t>In total, 8</w:t>
      </w:r>
      <w:r w:rsidR="005259DD" w:rsidRPr="00BC13A0">
        <w:t>8</w:t>
      </w:r>
      <w:r w:rsidR="00F73BFB" w:rsidRPr="00BC13A0">
        <w:t>.</w:t>
      </w:r>
      <w:r w:rsidR="005259DD" w:rsidRPr="00BC13A0">
        <w:t>3</w:t>
      </w:r>
      <w:r w:rsidRPr="00BC13A0">
        <w:t xml:space="preserve">% of Non-Commercial bodies </w:t>
      </w:r>
      <w:r w:rsidR="00F73BFB" w:rsidRPr="00BC13A0">
        <w:t xml:space="preserve">achieved the target, </w:t>
      </w:r>
      <w:r w:rsidR="008B57D5" w:rsidRPr="00BC13A0">
        <w:t>an</w:t>
      </w:r>
      <w:r w:rsidR="00F73BFB" w:rsidRPr="00BC13A0">
        <w:t xml:space="preserve"> increase from 8</w:t>
      </w:r>
      <w:r w:rsidR="005259DD" w:rsidRPr="00BC13A0">
        <w:t>3</w:t>
      </w:r>
      <w:r w:rsidR="00F73BFB" w:rsidRPr="00BC13A0">
        <w:t>.0% in 202</w:t>
      </w:r>
      <w:r w:rsidR="005259DD" w:rsidRPr="00BC13A0">
        <w:t>1</w:t>
      </w:r>
      <w:r w:rsidRPr="00BC13A0">
        <w:t>.</w:t>
      </w:r>
    </w:p>
    <w:p w14:paraId="6B4DAC2F" w14:textId="77777777" w:rsidR="006B79A7" w:rsidRPr="004700D9" w:rsidRDefault="006B79A7" w:rsidP="006B79A7">
      <w:r w:rsidRPr="004700D9">
        <w:t>In 2022, the Non-Commercial category experienced the following changes:</w:t>
      </w:r>
    </w:p>
    <w:p w14:paraId="1DD36842" w14:textId="23DFBB5B" w:rsidR="006B79A7" w:rsidRPr="004700D9" w:rsidRDefault="006B79A7" w:rsidP="004700D9">
      <w:pPr>
        <w:pStyle w:val="ListParagraph"/>
        <w:numPr>
          <w:ilvl w:val="0"/>
          <w:numId w:val="7"/>
        </w:numPr>
        <w:spacing w:after="120"/>
        <w:ind w:left="714" w:hanging="357"/>
        <w:contextualSpacing w:val="0"/>
        <w:rPr>
          <w:rFonts w:ascii="Gill Sans MT" w:hAnsi="Gill Sans MT"/>
        </w:rPr>
      </w:pPr>
      <w:r w:rsidRPr="004700D9">
        <w:rPr>
          <w:rFonts w:ascii="Gill Sans MT" w:hAnsi="Gill Sans MT"/>
        </w:rPr>
        <w:t>IT Letterkenny changed its name to Atlantic Technological University (ATU)</w:t>
      </w:r>
      <w:r w:rsidR="00C80DA2">
        <w:rPr>
          <w:rFonts w:ascii="Gill Sans MT" w:hAnsi="Gill Sans MT"/>
        </w:rPr>
        <w:t xml:space="preserve"> </w:t>
      </w:r>
      <w:r w:rsidR="00C80DA2" w:rsidRPr="004700D9">
        <w:rPr>
          <w:rFonts w:ascii="Gill Sans MT" w:hAnsi="Gill Sans MT"/>
        </w:rPr>
        <w:t>Donegal</w:t>
      </w:r>
    </w:p>
    <w:p w14:paraId="52537614" w14:textId="77777777" w:rsidR="006B79A7" w:rsidRPr="004700D9" w:rsidRDefault="006B79A7" w:rsidP="004700D9">
      <w:pPr>
        <w:pStyle w:val="ListParagraph"/>
        <w:numPr>
          <w:ilvl w:val="0"/>
          <w:numId w:val="7"/>
        </w:numPr>
        <w:spacing w:after="120"/>
        <w:ind w:left="714" w:hanging="357"/>
        <w:contextualSpacing w:val="0"/>
        <w:rPr>
          <w:rFonts w:ascii="Gill Sans MT" w:hAnsi="Gill Sans MT" w:cs="Calibri"/>
          <w:szCs w:val="26"/>
          <w:lang w:eastAsia="en-IE"/>
        </w:rPr>
      </w:pPr>
      <w:r w:rsidRPr="004700D9">
        <w:rPr>
          <w:rFonts w:ascii="Gill Sans MT" w:hAnsi="Gill Sans MT" w:cs="Calibri"/>
          <w:szCs w:val="26"/>
          <w:lang w:eastAsia="en-IE"/>
        </w:rPr>
        <w:t xml:space="preserve">IT Galway-Mayo changed its name to Atlantic Technological University (ATU) Galway-Mayo </w:t>
      </w:r>
    </w:p>
    <w:p w14:paraId="7B55C49D" w14:textId="4EAA7319" w:rsidR="006B79A7" w:rsidRPr="004700D9" w:rsidRDefault="006B79A7" w:rsidP="004700D9">
      <w:pPr>
        <w:pStyle w:val="ListParagraph"/>
        <w:numPr>
          <w:ilvl w:val="0"/>
          <w:numId w:val="8"/>
        </w:numPr>
        <w:spacing w:after="120"/>
        <w:ind w:left="714" w:hanging="357"/>
        <w:contextualSpacing w:val="0"/>
        <w:rPr>
          <w:rFonts w:ascii="Gill Sans MT" w:hAnsi="Gill Sans MT"/>
        </w:rPr>
      </w:pPr>
      <w:r w:rsidRPr="004700D9">
        <w:rPr>
          <w:rFonts w:ascii="Gill Sans MT" w:hAnsi="Gill Sans MT"/>
        </w:rPr>
        <w:t>IT Carlow merged with IT Waterford  to form South East Technological University (SETU)</w:t>
      </w:r>
    </w:p>
    <w:p w14:paraId="4D235BC6" w14:textId="4F5768D6" w:rsidR="00F51FA6" w:rsidRPr="004700D9" w:rsidRDefault="006B79A7" w:rsidP="004700D9">
      <w:pPr>
        <w:pStyle w:val="ListParagraph"/>
        <w:numPr>
          <w:ilvl w:val="0"/>
          <w:numId w:val="8"/>
        </w:numPr>
        <w:spacing w:after="120"/>
        <w:ind w:left="714" w:hanging="357"/>
        <w:contextualSpacing w:val="0"/>
        <w:rPr>
          <w:rFonts w:ascii="Gill Sans MT" w:hAnsi="Gill Sans MT"/>
        </w:rPr>
      </w:pPr>
      <w:r w:rsidRPr="004700D9">
        <w:rPr>
          <w:rFonts w:ascii="Gill Sans MT" w:hAnsi="Gill Sans MT"/>
        </w:rPr>
        <w:t xml:space="preserve">Charities Regulatory </w:t>
      </w:r>
      <w:r w:rsidR="00BC4AE1" w:rsidRPr="004700D9">
        <w:rPr>
          <w:rFonts w:ascii="Gill Sans MT" w:hAnsi="Gill Sans MT"/>
        </w:rPr>
        <w:t>Authority</w:t>
      </w:r>
      <w:r w:rsidRPr="004700D9">
        <w:rPr>
          <w:rFonts w:ascii="Gill Sans MT" w:hAnsi="Gill Sans MT"/>
        </w:rPr>
        <w:t xml:space="preserve"> joined this category </w:t>
      </w:r>
      <w:r w:rsidR="00651D9E" w:rsidRPr="004700D9">
        <w:rPr>
          <w:rFonts w:ascii="Gill Sans MT" w:hAnsi="Gill Sans MT"/>
        </w:rPr>
        <w:t>from the Public Bodies staffed by Civil Servants Category (PBCS)</w:t>
      </w:r>
    </w:p>
    <w:p w14:paraId="138B7832" w14:textId="57839B4C" w:rsidR="00AC1C74" w:rsidRDefault="00AC1C74" w:rsidP="00AC1C74">
      <w:pPr>
        <w:pStyle w:val="Heading3"/>
      </w:pPr>
      <w:r>
        <w:t>Summary of analysis by type of public body</w:t>
      </w:r>
    </w:p>
    <w:p w14:paraId="42413277" w14:textId="0A7A53CD" w:rsidR="00AC1C74" w:rsidRPr="00BC13A0" w:rsidRDefault="00AC1C74" w:rsidP="00AC1C74">
      <w:r>
        <w:t>Table 3 presents a summary of the analysis by type of public body</w:t>
      </w:r>
    </w:p>
    <w:p w14:paraId="65FECD50" w14:textId="064BA19B" w:rsidR="00973B13" w:rsidRPr="00BC13A0" w:rsidRDefault="00961DC1" w:rsidP="00150F8A">
      <w:pPr>
        <w:pStyle w:val="TableTitle"/>
      </w:pPr>
      <w:r w:rsidRPr="00BC13A0">
        <w:t xml:space="preserve">Table </w:t>
      </w:r>
      <w:r w:rsidR="00F23185">
        <w:t>3</w:t>
      </w:r>
      <w:r w:rsidR="00973B13" w:rsidRPr="00BC13A0">
        <w:t xml:space="preserve">. Data by type of public </w:t>
      </w:r>
      <w:r w:rsidR="006E0F84" w:rsidRPr="00BC13A0">
        <w:t>body, 202</w:t>
      </w:r>
      <w:r w:rsidR="00BC4AE1">
        <w:t>1</w:t>
      </w:r>
      <w:r w:rsidR="006E0F84" w:rsidRPr="00BC13A0">
        <w:t>, 20</w:t>
      </w:r>
      <w:r w:rsidR="00BC4AE1">
        <w:t>22</w:t>
      </w:r>
    </w:p>
    <w:tbl>
      <w:tblPr>
        <w:tblStyle w:val="TableGrid"/>
        <w:tblpPr w:leftFromText="180" w:rightFromText="180" w:vertAnchor="text" w:horzAnchor="margin" w:tblpXSpec="center" w:tblpY="92"/>
        <w:tblW w:w="10716" w:type="dxa"/>
        <w:tblLayout w:type="fixed"/>
        <w:tblLook w:val="0220" w:firstRow="1" w:lastRow="0" w:firstColumn="0" w:lastColumn="0" w:noHBand="1" w:noVBand="0"/>
      </w:tblPr>
      <w:tblGrid>
        <w:gridCol w:w="1828"/>
        <w:gridCol w:w="1559"/>
        <w:gridCol w:w="1418"/>
        <w:gridCol w:w="1653"/>
        <w:gridCol w:w="1418"/>
        <w:gridCol w:w="1276"/>
        <w:gridCol w:w="1564"/>
      </w:tblGrid>
      <w:tr w:rsidR="00FE708A" w:rsidRPr="00BC13A0" w14:paraId="59BC7093" w14:textId="40875BC9" w:rsidTr="00607A93">
        <w:trPr>
          <w:tblHeader/>
        </w:trPr>
        <w:tc>
          <w:tcPr>
            <w:tcW w:w="1828" w:type="dxa"/>
          </w:tcPr>
          <w:p w14:paraId="7B17651A" w14:textId="77777777" w:rsidR="00FE708A" w:rsidRPr="00BC13A0" w:rsidRDefault="00FE708A" w:rsidP="00AD2F28">
            <w:pPr>
              <w:keepNext/>
              <w:spacing w:after="0"/>
              <w:rPr>
                <w:b/>
                <w:color w:val="000000"/>
                <w:sz w:val="22"/>
                <w:szCs w:val="22"/>
              </w:rPr>
            </w:pPr>
            <w:r w:rsidRPr="00BC13A0">
              <w:rPr>
                <w:b/>
                <w:color w:val="000000"/>
                <w:sz w:val="22"/>
                <w:szCs w:val="22"/>
              </w:rPr>
              <w:t>Type of public sector body</w:t>
            </w:r>
          </w:p>
        </w:tc>
        <w:tc>
          <w:tcPr>
            <w:tcW w:w="1559" w:type="dxa"/>
          </w:tcPr>
          <w:p w14:paraId="4B8E9DFD" w14:textId="77777777" w:rsidR="00FE708A" w:rsidRPr="00BC13A0" w:rsidRDefault="00FE708A" w:rsidP="00AD2F28">
            <w:pPr>
              <w:keepNext/>
              <w:spacing w:after="0"/>
              <w:rPr>
                <w:b/>
                <w:color w:val="000000"/>
                <w:sz w:val="22"/>
                <w:szCs w:val="22"/>
              </w:rPr>
            </w:pPr>
            <w:r w:rsidRPr="00BC13A0">
              <w:rPr>
                <w:b/>
                <w:color w:val="000000"/>
                <w:sz w:val="22"/>
                <w:szCs w:val="22"/>
              </w:rPr>
              <w:t>Total employees</w:t>
            </w:r>
          </w:p>
        </w:tc>
        <w:tc>
          <w:tcPr>
            <w:tcW w:w="1418" w:type="dxa"/>
          </w:tcPr>
          <w:p w14:paraId="394FE361" w14:textId="797B592F" w:rsidR="00FE708A" w:rsidRPr="00BC13A0" w:rsidRDefault="003C02A5" w:rsidP="00AD2F28">
            <w:pPr>
              <w:keepNext/>
              <w:spacing w:after="0"/>
              <w:rPr>
                <w:b/>
                <w:color w:val="000000"/>
                <w:sz w:val="22"/>
                <w:szCs w:val="22"/>
              </w:rPr>
            </w:pPr>
            <w:r w:rsidRPr="00BC13A0">
              <w:rPr>
                <w:b/>
                <w:color w:val="000000"/>
                <w:sz w:val="22"/>
                <w:szCs w:val="22"/>
              </w:rPr>
              <w:t>No. of employees reporting</w:t>
            </w:r>
            <w:r w:rsidR="00FE708A" w:rsidRPr="00BC13A0">
              <w:rPr>
                <w:b/>
                <w:color w:val="000000"/>
                <w:sz w:val="22"/>
                <w:szCs w:val="22"/>
              </w:rPr>
              <w:t xml:space="preserve"> </w:t>
            </w:r>
            <w:r w:rsidR="00AF6DF1" w:rsidRPr="00BC13A0">
              <w:rPr>
                <w:b/>
                <w:color w:val="000000"/>
                <w:sz w:val="22"/>
                <w:szCs w:val="22"/>
              </w:rPr>
              <w:t>a disability</w:t>
            </w:r>
          </w:p>
        </w:tc>
        <w:tc>
          <w:tcPr>
            <w:tcW w:w="1653" w:type="dxa"/>
          </w:tcPr>
          <w:p w14:paraId="48D2CC5D" w14:textId="11C3F173" w:rsidR="00FE708A" w:rsidRPr="00BC13A0" w:rsidRDefault="003C02A5" w:rsidP="00AD2F28">
            <w:pPr>
              <w:keepNext/>
              <w:spacing w:after="0"/>
              <w:rPr>
                <w:b/>
                <w:color w:val="000000"/>
                <w:sz w:val="22"/>
                <w:szCs w:val="22"/>
              </w:rPr>
            </w:pPr>
            <w:r w:rsidRPr="00BC13A0">
              <w:rPr>
                <w:b/>
                <w:color w:val="000000"/>
                <w:sz w:val="22"/>
                <w:szCs w:val="22"/>
              </w:rPr>
              <w:t>% of employees  reporting</w:t>
            </w:r>
            <w:r w:rsidR="00FE708A" w:rsidRPr="00BC13A0">
              <w:rPr>
                <w:b/>
                <w:color w:val="000000"/>
                <w:sz w:val="22"/>
                <w:szCs w:val="22"/>
              </w:rPr>
              <w:t xml:space="preserve"> </w:t>
            </w:r>
            <w:r w:rsidR="00AF6DF1" w:rsidRPr="00BC13A0">
              <w:rPr>
                <w:b/>
                <w:color w:val="000000"/>
                <w:sz w:val="22"/>
                <w:szCs w:val="22"/>
              </w:rPr>
              <w:t>a disability</w:t>
            </w:r>
          </w:p>
        </w:tc>
        <w:tc>
          <w:tcPr>
            <w:tcW w:w="1418" w:type="dxa"/>
          </w:tcPr>
          <w:p w14:paraId="59F6FA9A" w14:textId="77777777" w:rsidR="00FE708A" w:rsidRPr="00BC13A0" w:rsidRDefault="00FE708A" w:rsidP="00AD2F28">
            <w:pPr>
              <w:keepNext/>
              <w:spacing w:after="0"/>
              <w:rPr>
                <w:b/>
                <w:color w:val="000000"/>
                <w:sz w:val="22"/>
                <w:szCs w:val="22"/>
              </w:rPr>
            </w:pPr>
            <w:r w:rsidRPr="00BC13A0">
              <w:rPr>
                <w:b/>
                <w:color w:val="000000"/>
                <w:sz w:val="22"/>
                <w:szCs w:val="22"/>
              </w:rPr>
              <w:t>% of total work-force reported on under Part 5</w:t>
            </w:r>
          </w:p>
        </w:tc>
        <w:tc>
          <w:tcPr>
            <w:tcW w:w="1276" w:type="dxa"/>
          </w:tcPr>
          <w:p w14:paraId="72F8D895" w14:textId="77777777" w:rsidR="00FE708A" w:rsidRPr="00BC13A0" w:rsidRDefault="00FE708A" w:rsidP="00AD2F28">
            <w:pPr>
              <w:keepNext/>
              <w:spacing w:after="0"/>
              <w:rPr>
                <w:b/>
                <w:color w:val="000000"/>
                <w:sz w:val="22"/>
                <w:szCs w:val="22"/>
              </w:rPr>
            </w:pPr>
            <w:r w:rsidRPr="00BC13A0">
              <w:rPr>
                <w:b/>
                <w:color w:val="000000"/>
                <w:sz w:val="22"/>
                <w:szCs w:val="22"/>
              </w:rPr>
              <w:t>% of bodies achieving target</w:t>
            </w:r>
          </w:p>
        </w:tc>
        <w:tc>
          <w:tcPr>
            <w:tcW w:w="1564" w:type="dxa"/>
          </w:tcPr>
          <w:p w14:paraId="4F99C8E2" w14:textId="77777777" w:rsidR="00FE708A" w:rsidRPr="00BC13A0" w:rsidRDefault="00FE708A" w:rsidP="00AD2F28">
            <w:pPr>
              <w:keepNext/>
              <w:spacing w:after="0"/>
              <w:rPr>
                <w:b/>
                <w:color w:val="000000"/>
                <w:sz w:val="22"/>
                <w:szCs w:val="22"/>
              </w:rPr>
            </w:pPr>
            <w:r w:rsidRPr="00BC13A0">
              <w:rPr>
                <w:b/>
                <w:color w:val="000000"/>
                <w:sz w:val="22"/>
                <w:szCs w:val="22"/>
              </w:rPr>
              <w:t>No. of public bodies</w:t>
            </w:r>
          </w:p>
        </w:tc>
      </w:tr>
      <w:tr w:rsidR="00FE708A" w:rsidRPr="00BC13A0" w14:paraId="25FA285B" w14:textId="56D322D2" w:rsidTr="004029C8">
        <w:trPr>
          <w:trHeight w:val="233"/>
        </w:trPr>
        <w:tc>
          <w:tcPr>
            <w:tcW w:w="1828" w:type="dxa"/>
          </w:tcPr>
          <w:p w14:paraId="2D379584" w14:textId="4F811337" w:rsidR="00FE708A" w:rsidRPr="00BC13A0" w:rsidRDefault="00522ECC" w:rsidP="00AD2F28">
            <w:pPr>
              <w:keepNext/>
              <w:spacing w:after="0"/>
              <w:rPr>
                <w:b/>
                <w:color w:val="000000"/>
                <w:sz w:val="22"/>
                <w:szCs w:val="22"/>
              </w:rPr>
            </w:pPr>
            <w:r w:rsidRPr="00BC13A0">
              <w:rPr>
                <w:b/>
                <w:color w:val="000000"/>
                <w:sz w:val="22"/>
                <w:szCs w:val="22"/>
              </w:rPr>
              <w:t>Commercial 202</w:t>
            </w:r>
            <w:r w:rsidR="00162304" w:rsidRPr="00BC13A0">
              <w:rPr>
                <w:b/>
                <w:color w:val="000000"/>
                <w:sz w:val="22"/>
                <w:szCs w:val="22"/>
              </w:rPr>
              <w:t>2</w:t>
            </w:r>
          </w:p>
        </w:tc>
        <w:tc>
          <w:tcPr>
            <w:tcW w:w="1559" w:type="dxa"/>
          </w:tcPr>
          <w:p w14:paraId="7D9FF051" w14:textId="3EA71F3A" w:rsidR="00FE708A" w:rsidRPr="00BC13A0" w:rsidRDefault="00162304" w:rsidP="004B6A85">
            <w:pPr>
              <w:spacing w:after="0"/>
              <w:jc w:val="right"/>
              <w:rPr>
                <w:rFonts w:cs="Arial"/>
                <w:bCs/>
                <w:color w:val="000000"/>
                <w:sz w:val="22"/>
                <w:szCs w:val="22"/>
                <w:lang w:eastAsia="en-IE"/>
              </w:rPr>
            </w:pPr>
            <w:r w:rsidRPr="00BC13A0">
              <w:rPr>
                <w:rFonts w:cs="Arial"/>
                <w:bCs/>
                <w:color w:val="000000"/>
                <w:sz w:val="22"/>
                <w:szCs w:val="22"/>
                <w:lang w:eastAsia="en-IE"/>
              </w:rPr>
              <w:t>40,119</w:t>
            </w:r>
          </w:p>
        </w:tc>
        <w:tc>
          <w:tcPr>
            <w:tcW w:w="1418" w:type="dxa"/>
          </w:tcPr>
          <w:p w14:paraId="7BD35D5E" w14:textId="16E990F4" w:rsidR="00FE708A" w:rsidRPr="00BC13A0" w:rsidRDefault="00060A37" w:rsidP="00AD2F28">
            <w:pPr>
              <w:spacing w:after="0"/>
              <w:jc w:val="right"/>
              <w:rPr>
                <w:rFonts w:cs="Arial"/>
                <w:bCs/>
                <w:color w:val="000000"/>
                <w:sz w:val="22"/>
                <w:szCs w:val="22"/>
                <w:lang w:eastAsia="en-IE"/>
              </w:rPr>
            </w:pPr>
            <w:r w:rsidRPr="00BC13A0">
              <w:rPr>
                <w:rFonts w:cs="Arial"/>
                <w:bCs/>
                <w:color w:val="000000"/>
                <w:sz w:val="22"/>
                <w:szCs w:val="22"/>
                <w:lang w:eastAsia="en-IE"/>
              </w:rPr>
              <w:t>2,009</w:t>
            </w:r>
          </w:p>
        </w:tc>
        <w:tc>
          <w:tcPr>
            <w:tcW w:w="1653" w:type="dxa"/>
          </w:tcPr>
          <w:p w14:paraId="76B1C86B" w14:textId="2C4AA0EA" w:rsidR="00FE708A" w:rsidRPr="00BC13A0" w:rsidRDefault="00162304" w:rsidP="00AD2F28">
            <w:pPr>
              <w:keepNext/>
              <w:spacing w:after="0"/>
              <w:jc w:val="right"/>
              <w:rPr>
                <w:color w:val="000000"/>
                <w:sz w:val="22"/>
                <w:szCs w:val="22"/>
                <w:lang w:val="en-GB" w:eastAsia="en-GB"/>
              </w:rPr>
            </w:pPr>
            <w:r w:rsidRPr="00BC13A0">
              <w:rPr>
                <w:color w:val="000000"/>
                <w:sz w:val="22"/>
                <w:szCs w:val="22"/>
                <w:lang w:val="en-GB" w:eastAsia="en-GB"/>
              </w:rPr>
              <w:t>5.0</w:t>
            </w:r>
            <w:r w:rsidR="00FE708A" w:rsidRPr="00BC13A0">
              <w:rPr>
                <w:color w:val="000000"/>
                <w:sz w:val="22"/>
                <w:szCs w:val="22"/>
                <w:lang w:val="en-GB" w:eastAsia="en-GB"/>
              </w:rPr>
              <w:t>%</w:t>
            </w:r>
          </w:p>
        </w:tc>
        <w:tc>
          <w:tcPr>
            <w:tcW w:w="1418" w:type="dxa"/>
          </w:tcPr>
          <w:p w14:paraId="1D62B905" w14:textId="496F7349" w:rsidR="00FE708A" w:rsidRPr="00BC13A0" w:rsidRDefault="00522ECC" w:rsidP="00AD2F28">
            <w:pPr>
              <w:spacing w:after="0"/>
              <w:jc w:val="right"/>
              <w:rPr>
                <w:rFonts w:cs="Arial"/>
                <w:bCs/>
                <w:color w:val="000000"/>
                <w:sz w:val="22"/>
                <w:szCs w:val="22"/>
              </w:rPr>
            </w:pPr>
            <w:r w:rsidRPr="00BC13A0">
              <w:rPr>
                <w:rFonts w:cs="Arial"/>
                <w:bCs/>
                <w:color w:val="000000"/>
                <w:sz w:val="22"/>
                <w:szCs w:val="22"/>
              </w:rPr>
              <w:t>15.</w:t>
            </w:r>
            <w:r w:rsidR="00162304" w:rsidRPr="00BC13A0">
              <w:rPr>
                <w:rFonts w:cs="Arial"/>
                <w:bCs/>
                <w:color w:val="000000"/>
                <w:sz w:val="22"/>
                <w:szCs w:val="22"/>
              </w:rPr>
              <w:t>4</w:t>
            </w:r>
            <w:r w:rsidR="00FE708A" w:rsidRPr="00BC13A0">
              <w:rPr>
                <w:rFonts w:cs="Arial"/>
                <w:bCs/>
                <w:color w:val="000000"/>
                <w:sz w:val="22"/>
                <w:szCs w:val="22"/>
              </w:rPr>
              <w:t>%</w:t>
            </w:r>
          </w:p>
        </w:tc>
        <w:tc>
          <w:tcPr>
            <w:tcW w:w="1276" w:type="dxa"/>
          </w:tcPr>
          <w:p w14:paraId="6F60A9F0" w14:textId="07C2FB35" w:rsidR="00FE708A" w:rsidRPr="00BC13A0" w:rsidRDefault="00522ECC" w:rsidP="00AD2F28">
            <w:pPr>
              <w:spacing w:after="0"/>
              <w:jc w:val="right"/>
              <w:rPr>
                <w:rFonts w:cs="Arial"/>
                <w:bCs/>
                <w:color w:val="000000"/>
                <w:sz w:val="22"/>
                <w:szCs w:val="22"/>
              </w:rPr>
            </w:pPr>
            <w:r w:rsidRPr="00BC13A0">
              <w:rPr>
                <w:rFonts w:cs="Arial"/>
                <w:bCs/>
                <w:color w:val="000000"/>
                <w:sz w:val="22"/>
                <w:szCs w:val="22"/>
              </w:rPr>
              <w:t>96.0</w:t>
            </w:r>
            <w:r w:rsidR="00FE708A" w:rsidRPr="00BC13A0">
              <w:rPr>
                <w:rFonts w:cs="Arial"/>
                <w:bCs/>
                <w:color w:val="000000"/>
                <w:sz w:val="22"/>
                <w:szCs w:val="22"/>
              </w:rPr>
              <w:t>%</w:t>
            </w:r>
          </w:p>
        </w:tc>
        <w:tc>
          <w:tcPr>
            <w:tcW w:w="1564" w:type="dxa"/>
          </w:tcPr>
          <w:p w14:paraId="6A645412" w14:textId="63F1A9C3" w:rsidR="00FE708A" w:rsidRPr="00BC13A0" w:rsidRDefault="00522ECC" w:rsidP="00AD2F28">
            <w:pPr>
              <w:keepNext/>
              <w:spacing w:after="0"/>
              <w:jc w:val="right"/>
              <w:rPr>
                <w:color w:val="000000"/>
                <w:sz w:val="22"/>
                <w:szCs w:val="22"/>
                <w:lang w:val="en-GB" w:eastAsia="en-GB"/>
              </w:rPr>
            </w:pPr>
            <w:r w:rsidRPr="00BC13A0">
              <w:rPr>
                <w:color w:val="000000"/>
                <w:sz w:val="22"/>
                <w:szCs w:val="22"/>
                <w:lang w:val="en-GB" w:eastAsia="en-GB"/>
              </w:rPr>
              <w:t>25</w:t>
            </w:r>
          </w:p>
        </w:tc>
      </w:tr>
      <w:tr w:rsidR="00FE708A" w:rsidRPr="00BC13A0" w14:paraId="09E2EE11" w14:textId="7717CC97" w:rsidTr="004029C8">
        <w:tc>
          <w:tcPr>
            <w:tcW w:w="1828" w:type="dxa"/>
          </w:tcPr>
          <w:p w14:paraId="08EB0188" w14:textId="56E35E4E" w:rsidR="00FE708A" w:rsidRPr="00BC13A0" w:rsidRDefault="00522ECC" w:rsidP="00AD2F28">
            <w:pPr>
              <w:keepNext/>
              <w:spacing w:after="0"/>
              <w:rPr>
                <w:b/>
                <w:color w:val="000000"/>
                <w:sz w:val="22"/>
                <w:szCs w:val="22"/>
              </w:rPr>
            </w:pPr>
            <w:r w:rsidRPr="00BC13A0">
              <w:rPr>
                <w:b/>
                <w:color w:val="000000"/>
                <w:sz w:val="22"/>
                <w:szCs w:val="22"/>
              </w:rPr>
              <w:t>Commercial 202</w:t>
            </w:r>
            <w:r w:rsidR="00162304" w:rsidRPr="00BC13A0">
              <w:rPr>
                <w:b/>
                <w:color w:val="000000"/>
                <w:sz w:val="22"/>
                <w:szCs w:val="22"/>
              </w:rPr>
              <w:t>1</w:t>
            </w:r>
          </w:p>
        </w:tc>
        <w:tc>
          <w:tcPr>
            <w:tcW w:w="1559" w:type="dxa"/>
          </w:tcPr>
          <w:p w14:paraId="1C329662" w14:textId="53A6897D" w:rsidR="00FE708A" w:rsidRPr="00BC13A0" w:rsidRDefault="00162304" w:rsidP="00AD2F28">
            <w:pPr>
              <w:spacing w:after="0"/>
              <w:jc w:val="right"/>
              <w:rPr>
                <w:color w:val="000000"/>
                <w:sz w:val="22"/>
                <w:szCs w:val="22"/>
                <w:lang w:val="en-GB" w:eastAsia="en-GB"/>
              </w:rPr>
            </w:pPr>
            <w:r w:rsidRPr="00BC13A0">
              <w:rPr>
                <w:color w:val="000000"/>
                <w:sz w:val="22"/>
                <w:szCs w:val="22"/>
                <w:lang w:val="en-GB" w:eastAsia="en-GB"/>
              </w:rPr>
              <w:t>39,250</w:t>
            </w:r>
          </w:p>
        </w:tc>
        <w:tc>
          <w:tcPr>
            <w:tcW w:w="1418" w:type="dxa"/>
          </w:tcPr>
          <w:p w14:paraId="5BBFEAF7" w14:textId="3154A911" w:rsidR="00FE708A" w:rsidRPr="00BC13A0" w:rsidRDefault="00522ECC" w:rsidP="00AD2F28">
            <w:pPr>
              <w:spacing w:after="0"/>
              <w:jc w:val="right"/>
              <w:rPr>
                <w:color w:val="000000"/>
                <w:sz w:val="22"/>
                <w:szCs w:val="22"/>
                <w:lang w:val="en-GB" w:eastAsia="en-GB"/>
              </w:rPr>
            </w:pPr>
            <w:r w:rsidRPr="00BC13A0">
              <w:rPr>
                <w:color w:val="000000"/>
                <w:sz w:val="22"/>
                <w:szCs w:val="22"/>
                <w:lang w:val="en-GB" w:eastAsia="en-GB"/>
              </w:rPr>
              <w:t>1,8</w:t>
            </w:r>
            <w:r w:rsidR="00162304" w:rsidRPr="00BC13A0">
              <w:rPr>
                <w:color w:val="000000"/>
                <w:sz w:val="22"/>
                <w:szCs w:val="22"/>
                <w:lang w:val="en-GB" w:eastAsia="en-GB"/>
              </w:rPr>
              <w:t>91</w:t>
            </w:r>
          </w:p>
        </w:tc>
        <w:tc>
          <w:tcPr>
            <w:tcW w:w="1653" w:type="dxa"/>
          </w:tcPr>
          <w:p w14:paraId="6CA5FCDD" w14:textId="32A6E34B" w:rsidR="00FE708A" w:rsidRPr="00BC13A0" w:rsidRDefault="00522ECC" w:rsidP="00AD2F28">
            <w:pPr>
              <w:keepNext/>
              <w:spacing w:after="0"/>
              <w:jc w:val="right"/>
              <w:rPr>
                <w:color w:val="000000"/>
                <w:sz w:val="22"/>
                <w:szCs w:val="22"/>
                <w:lang w:val="en-GB" w:eastAsia="en-GB"/>
              </w:rPr>
            </w:pPr>
            <w:r w:rsidRPr="00BC13A0">
              <w:rPr>
                <w:color w:val="000000"/>
                <w:sz w:val="22"/>
                <w:szCs w:val="22"/>
                <w:lang w:val="en-GB" w:eastAsia="en-GB"/>
              </w:rPr>
              <w:t>4.8</w:t>
            </w:r>
            <w:r w:rsidR="00FE708A" w:rsidRPr="00BC13A0">
              <w:rPr>
                <w:color w:val="000000"/>
                <w:sz w:val="22"/>
                <w:szCs w:val="22"/>
                <w:lang w:val="en-GB" w:eastAsia="en-GB"/>
              </w:rPr>
              <w:t>%</w:t>
            </w:r>
          </w:p>
        </w:tc>
        <w:tc>
          <w:tcPr>
            <w:tcW w:w="1418" w:type="dxa"/>
          </w:tcPr>
          <w:p w14:paraId="36E2A325" w14:textId="37D7BCC3" w:rsidR="00FE708A" w:rsidRPr="00BC13A0" w:rsidRDefault="00522ECC" w:rsidP="00AD2F28">
            <w:pPr>
              <w:spacing w:after="0"/>
              <w:jc w:val="right"/>
              <w:rPr>
                <w:rFonts w:cs="Arial"/>
                <w:bCs/>
                <w:color w:val="000000"/>
                <w:sz w:val="22"/>
                <w:szCs w:val="22"/>
              </w:rPr>
            </w:pPr>
            <w:r w:rsidRPr="00BC13A0">
              <w:rPr>
                <w:rFonts w:cs="Arial"/>
                <w:bCs/>
                <w:color w:val="000000"/>
                <w:sz w:val="22"/>
                <w:szCs w:val="22"/>
              </w:rPr>
              <w:t>15.</w:t>
            </w:r>
            <w:r w:rsidR="00162304" w:rsidRPr="00BC13A0">
              <w:rPr>
                <w:rFonts w:cs="Arial"/>
                <w:bCs/>
                <w:color w:val="000000"/>
                <w:sz w:val="22"/>
                <w:szCs w:val="22"/>
              </w:rPr>
              <w:t>6</w:t>
            </w:r>
            <w:r w:rsidR="00FE708A" w:rsidRPr="00BC13A0">
              <w:rPr>
                <w:rFonts w:cs="Arial"/>
                <w:bCs/>
                <w:color w:val="000000"/>
                <w:sz w:val="22"/>
                <w:szCs w:val="22"/>
              </w:rPr>
              <w:t>%</w:t>
            </w:r>
          </w:p>
        </w:tc>
        <w:tc>
          <w:tcPr>
            <w:tcW w:w="1276" w:type="dxa"/>
          </w:tcPr>
          <w:p w14:paraId="2F999BD5" w14:textId="5E35BD85" w:rsidR="00FE708A" w:rsidRPr="00BC13A0" w:rsidRDefault="00162304" w:rsidP="00AD2F28">
            <w:pPr>
              <w:spacing w:after="0"/>
              <w:jc w:val="right"/>
              <w:rPr>
                <w:rFonts w:cs="Arial"/>
                <w:bCs/>
                <w:color w:val="000000"/>
                <w:sz w:val="22"/>
                <w:szCs w:val="22"/>
              </w:rPr>
            </w:pPr>
            <w:r w:rsidRPr="00BC13A0">
              <w:rPr>
                <w:rFonts w:cs="Arial"/>
                <w:bCs/>
                <w:color w:val="000000"/>
                <w:sz w:val="22"/>
                <w:szCs w:val="22"/>
              </w:rPr>
              <w:t>96.0</w:t>
            </w:r>
            <w:r w:rsidR="00FE708A" w:rsidRPr="00BC13A0">
              <w:rPr>
                <w:rFonts w:cs="Arial"/>
                <w:bCs/>
                <w:color w:val="000000"/>
                <w:sz w:val="22"/>
                <w:szCs w:val="22"/>
              </w:rPr>
              <w:t>%</w:t>
            </w:r>
          </w:p>
        </w:tc>
        <w:tc>
          <w:tcPr>
            <w:tcW w:w="1564" w:type="dxa"/>
          </w:tcPr>
          <w:p w14:paraId="32FC089B" w14:textId="001D26E4" w:rsidR="00FE708A" w:rsidRPr="00BC13A0" w:rsidRDefault="00FE708A" w:rsidP="00AD2F28">
            <w:pPr>
              <w:keepNext/>
              <w:spacing w:after="0"/>
              <w:jc w:val="right"/>
              <w:rPr>
                <w:color w:val="000000"/>
                <w:sz w:val="22"/>
                <w:szCs w:val="22"/>
                <w:lang w:val="en-GB" w:eastAsia="en-GB"/>
              </w:rPr>
            </w:pPr>
            <w:r w:rsidRPr="00BC13A0">
              <w:rPr>
                <w:color w:val="000000"/>
                <w:sz w:val="22"/>
                <w:szCs w:val="22"/>
                <w:lang w:val="en-GB" w:eastAsia="en-GB"/>
              </w:rPr>
              <w:t>2</w:t>
            </w:r>
            <w:r w:rsidR="00162304" w:rsidRPr="00BC13A0">
              <w:rPr>
                <w:color w:val="000000"/>
                <w:sz w:val="22"/>
                <w:szCs w:val="22"/>
                <w:lang w:val="en-GB" w:eastAsia="en-GB"/>
              </w:rPr>
              <w:t>5</w:t>
            </w:r>
          </w:p>
        </w:tc>
      </w:tr>
      <w:tr w:rsidR="00FE708A" w:rsidRPr="00BC13A0" w14:paraId="0988A656" w14:textId="06AACBCA" w:rsidTr="004029C8">
        <w:tc>
          <w:tcPr>
            <w:tcW w:w="1828" w:type="dxa"/>
          </w:tcPr>
          <w:p w14:paraId="61D3A7CA" w14:textId="539CD07A" w:rsidR="00FE708A" w:rsidRPr="00BC13A0" w:rsidRDefault="00FE708A" w:rsidP="00214048">
            <w:pPr>
              <w:keepNext/>
              <w:spacing w:after="0"/>
              <w:rPr>
                <w:b/>
                <w:color w:val="000000"/>
                <w:sz w:val="22"/>
                <w:szCs w:val="22"/>
              </w:rPr>
            </w:pPr>
            <w:r w:rsidRPr="00BC13A0">
              <w:rPr>
                <w:b/>
                <w:color w:val="000000"/>
                <w:sz w:val="22"/>
                <w:szCs w:val="22"/>
              </w:rPr>
              <w:t>Change 2</w:t>
            </w:r>
            <w:r w:rsidR="00522ECC" w:rsidRPr="00BC13A0">
              <w:rPr>
                <w:b/>
                <w:color w:val="000000"/>
                <w:sz w:val="22"/>
                <w:szCs w:val="22"/>
              </w:rPr>
              <w:t>02</w:t>
            </w:r>
            <w:r w:rsidR="00162304" w:rsidRPr="00BC13A0">
              <w:rPr>
                <w:b/>
                <w:color w:val="000000"/>
                <w:sz w:val="22"/>
                <w:szCs w:val="22"/>
              </w:rPr>
              <w:t>1</w:t>
            </w:r>
            <w:r w:rsidR="00522ECC" w:rsidRPr="00BC13A0">
              <w:rPr>
                <w:b/>
                <w:color w:val="000000"/>
                <w:sz w:val="22"/>
                <w:szCs w:val="22"/>
              </w:rPr>
              <w:t>/202</w:t>
            </w:r>
            <w:r w:rsidR="00162304" w:rsidRPr="00BC13A0">
              <w:rPr>
                <w:b/>
                <w:color w:val="000000"/>
                <w:sz w:val="22"/>
                <w:szCs w:val="22"/>
              </w:rPr>
              <w:t>2</w:t>
            </w:r>
          </w:p>
        </w:tc>
        <w:tc>
          <w:tcPr>
            <w:tcW w:w="1559" w:type="dxa"/>
          </w:tcPr>
          <w:p w14:paraId="0FD8D145" w14:textId="2F8B71E8" w:rsidR="00FE708A" w:rsidRPr="00BC13A0" w:rsidRDefault="00522ECC" w:rsidP="00AD2F28">
            <w:pPr>
              <w:keepNext/>
              <w:spacing w:after="0"/>
              <w:jc w:val="right"/>
              <w:rPr>
                <w:b/>
                <w:color w:val="000000"/>
                <w:sz w:val="22"/>
                <w:szCs w:val="22"/>
                <w:lang w:val="en-GB" w:eastAsia="en-GB"/>
              </w:rPr>
            </w:pPr>
            <w:r w:rsidRPr="00BC13A0">
              <w:rPr>
                <w:b/>
                <w:color w:val="000000"/>
                <w:sz w:val="22"/>
                <w:szCs w:val="22"/>
                <w:lang w:val="en-GB" w:eastAsia="en-GB"/>
              </w:rPr>
              <w:t>+</w:t>
            </w:r>
            <w:r w:rsidR="00162304" w:rsidRPr="00BC13A0">
              <w:rPr>
                <w:b/>
                <w:color w:val="000000"/>
                <w:sz w:val="22"/>
                <w:szCs w:val="22"/>
                <w:lang w:val="en-GB" w:eastAsia="en-GB"/>
              </w:rPr>
              <w:t>869</w:t>
            </w:r>
          </w:p>
        </w:tc>
        <w:tc>
          <w:tcPr>
            <w:tcW w:w="1418" w:type="dxa"/>
          </w:tcPr>
          <w:p w14:paraId="0BE0F23A" w14:textId="419E3A35" w:rsidR="00FE708A" w:rsidRPr="00BC13A0" w:rsidRDefault="00522ECC" w:rsidP="00AD2F28">
            <w:pPr>
              <w:keepNext/>
              <w:spacing w:after="0"/>
              <w:jc w:val="right"/>
              <w:rPr>
                <w:b/>
                <w:color w:val="000000"/>
                <w:sz w:val="22"/>
                <w:szCs w:val="22"/>
                <w:lang w:val="en-GB" w:eastAsia="en-GB"/>
              </w:rPr>
            </w:pPr>
            <w:r w:rsidRPr="00BC13A0">
              <w:rPr>
                <w:b/>
                <w:color w:val="000000"/>
                <w:sz w:val="22"/>
                <w:szCs w:val="22"/>
                <w:lang w:val="en-GB" w:eastAsia="en-GB"/>
              </w:rPr>
              <w:t>+</w:t>
            </w:r>
            <w:r w:rsidR="00162304" w:rsidRPr="00BC13A0">
              <w:rPr>
                <w:b/>
                <w:color w:val="000000"/>
                <w:sz w:val="22"/>
                <w:szCs w:val="22"/>
                <w:lang w:val="en-GB" w:eastAsia="en-GB"/>
              </w:rPr>
              <w:t>118</w:t>
            </w:r>
          </w:p>
        </w:tc>
        <w:tc>
          <w:tcPr>
            <w:tcW w:w="1653" w:type="dxa"/>
          </w:tcPr>
          <w:p w14:paraId="4FB94A59" w14:textId="11D1F298" w:rsidR="00FE708A" w:rsidRPr="00BC13A0" w:rsidRDefault="00BC4AE1" w:rsidP="00AD2F28">
            <w:pPr>
              <w:keepNext/>
              <w:spacing w:after="0"/>
              <w:jc w:val="right"/>
              <w:rPr>
                <w:b/>
                <w:color w:val="000000"/>
                <w:sz w:val="22"/>
                <w:szCs w:val="22"/>
                <w:lang w:val="en-GB" w:eastAsia="en-GB"/>
              </w:rPr>
            </w:pPr>
            <w:r>
              <w:rPr>
                <w:b/>
                <w:color w:val="000000"/>
                <w:sz w:val="22"/>
                <w:szCs w:val="22"/>
                <w:lang w:val="en-GB" w:eastAsia="en-GB"/>
              </w:rPr>
              <w:t>+</w:t>
            </w:r>
            <w:r w:rsidR="00522ECC" w:rsidRPr="00BC13A0">
              <w:rPr>
                <w:b/>
                <w:color w:val="000000"/>
                <w:sz w:val="22"/>
                <w:szCs w:val="22"/>
                <w:lang w:val="en-GB" w:eastAsia="en-GB"/>
              </w:rPr>
              <w:t>0</w:t>
            </w:r>
            <w:r w:rsidR="00162304" w:rsidRPr="00BC13A0">
              <w:rPr>
                <w:b/>
                <w:color w:val="000000"/>
                <w:sz w:val="22"/>
                <w:szCs w:val="22"/>
                <w:lang w:val="en-GB" w:eastAsia="en-GB"/>
              </w:rPr>
              <w:t>.2</w:t>
            </w:r>
            <w:r w:rsidR="00FE708A" w:rsidRPr="00BC13A0">
              <w:rPr>
                <w:b/>
                <w:color w:val="000000"/>
                <w:sz w:val="22"/>
                <w:szCs w:val="22"/>
                <w:lang w:val="en-GB" w:eastAsia="en-GB"/>
              </w:rPr>
              <w:t>%</w:t>
            </w:r>
          </w:p>
        </w:tc>
        <w:tc>
          <w:tcPr>
            <w:tcW w:w="1418" w:type="dxa"/>
          </w:tcPr>
          <w:p w14:paraId="126629C7" w14:textId="2B676D5B" w:rsidR="00FE708A" w:rsidRPr="00BC13A0" w:rsidRDefault="00162304" w:rsidP="00AD2F28">
            <w:pPr>
              <w:keepNext/>
              <w:spacing w:after="0"/>
              <w:jc w:val="right"/>
              <w:rPr>
                <w:b/>
                <w:color w:val="000000"/>
                <w:sz w:val="22"/>
                <w:szCs w:val="22"/>
                <w:lang w:val="en-GB" w:eastAsia="en-GB"/>
              </w:rPr>
            </w:pPr>
            <w:r w:rsidRPr="00BC13A0">
              <w:rPr>
                <w:b/>
                <w:color w:val="000000"/>
                <w:sz w:val="22"/>
                <w:szCs w:val="22"/>
                <w:lang w:val="en-GB" w:eastAsia="en-GB"/>
              </w:rPr>
              <w:t>-</w:t>
            </w:r>
            <w:r w:rsidR="00522ECC" w:rsidRPr="00BC13A0">
              <w:rPr>
                <w:b/>
                <w:color w:val="000000"/>
                <w:sz w:val="22"/>
                <w:szCs w:val="22"/>
                <w:lang w:val="en-GB" w:eastAsia="en-GB"/>
              </w:rPr>
              <w:t>0.2</w:t>
            </w:r>
            <w:r w:rsidR="00FE708A" w:rsidRPr="00BC13A0">
              <w:rPr>
                <w:b/>
                <w:color w:val="000000"/>
                <w:sz w:val="22"/>
                <w:szCs w:val="22"/>
                <w:lang w:val="en-GB" w:eastAsia="en-GB"/>
              </w:rPr>
              <w:t>%</w:t>
            </w:r>
          </w:p>
        </w:tc>
        <w:tc>
          <w:tcPr>
            <w:tcW w:w="1276" w:type="dxa"/>
          </w:tcPr>
          <w:p w14:paraId="745D6AEA" w14:textId="23123F2E" w:rsidR="00FE708A" w:rsidRPr="00BC13A0" w:rsidRDefault="00162304" w:rsidP="00AD2F28">
            <w:pPr>
              <w:keepNext/>
              <w:spacing w:after="0"/>
              <w:jc w:val="right"/>
              <w:rPr>
                <w:b/>
                <w:color w:val="000000"/>
                <w:sz w:val="22"/>
                <w:szCs w:val="22"/>
                <w:lang w:val="en-GB" w:eastAsia="en-GB"/>
              </w:rPr>
            </w:pPr>
            <w:r w:rsidRPr="00BC13A0">
              <w:rPr>
                <w:b/>
                <w:color w:val="000000"/>
                <w:sz w:val="22"/>
                <w:szCs w:val="22"/>
                <w:lang w:val="en-GB" w:eastAsia="en-GB"/>
              </w:rPr>
              <w:t>0</w:t>
            </w:r>
          </w:p>
        </w:tc>
        <w:tc>
          <w:tcPr>
            <w:tcW w:w="1564" w:type="dxa"/>
          </w:tcPr>
          <w:p w14:paraId="3EDB98FB" w14:textId="540D2DB8" w:rsidR="00FE708A" w:rsidRPr="00BC13A0" w:rsidRDefault="00162304" w:rsidP="00AD2F28">
            <w:pPr>
              <w:keepNext/>
              <w:spacing w:after="0"/>
              <w:jc w:val="right"/>
              <w:rPr>
                <w:b/>
                <w:color w:val="000000"/>
                <w:sz w:val="22"/>
                <w:szCs w:val="22"/>
                <w:lang w:val="en-GB" w:eastAsia="en-GB"/>
              </w:rPr>
            </w:pPr>
            <w:r w:rsidRPr="00BC13A0">
              <w:rPr>
                <w:b/>
                <w:color w:val="000000"/>
                <w:sz w:val="22"/>
                <w:szCs w:val="22"/>
                <w:lang w:val="en-GB" w:eastAsia="en-GB"/>
              </w:rPr>
              <w:t>0</w:t>
            </w:r>
          </w:p>
        </w:tc>
      </w:tr>
      <w:tr w:rsidR="004029C8" w:rsidRPr="00BC13A0" w14:paraId="4A2581DA" w14:textId="77777777" w:rsidTr="004029C8">
        <w:tc>
          <w:tcPr>
            <w:tcW w:w="1828" w:type="dxa"/>
          </w:tcPr>
          <w:p w14:paraId="6AC381AE" w14:textId="77777777" w:rsidR="004029C8" w:rsidRPr="00BC13A0" w:rsidRDefault="004029C8" w:rsidP="00214048">
            <w:pPr>
              <w:keepNext/>
              <w:spacing w:after="0"/>
              <w:rPr>
                <w:b/>
                <w:color w:val="000000"/>
                <w:sz w:val="22"/>
                <w:szCs w:val="22"/>
              </w:rPr>
            </w:pPr>
          </w:p>
        </w:tc>
        <w:tc>
          <w:tcPr>
            <w:tcW w:w="1559" w:type="dxa"/>
          </w:tcPr>
          <w:p w14:paraId="6952E087" w14:textId="77777777" w:rsidR="004029C8" w:rsidRPr="00BC13A0" w:rsidRDefault="004029C8" w:rsidP="00AD2F28">
            <w:pPr>
              <w:keepNext/>
              <w:spacing w:after="0"/>
              <w:jc w:val="right"/>
              <w:rPr>
                <w:b/>
                <w:color w:val="000000"/>
                <w:sz w:val="22"/>
                <w:szCs w:val="22"/>
                <w:lang w:val="en-GB" w:eastAsia="en-GB"/>
              </w:rPr>
            </w:pPr>
          </w:p>
        </w:tc>
        <w:tc>
          <w:tcPr>
            <w:tcW w:w="1418" w:type="dxa"/>
          </w:tcPr>
          <w:p w14:paraId="2B7C7F99" w14:textId="77777777" w:rsidR="004029C8" w:rsidRPr="00BC13A0" w:rsidRDefault="004029C8" w:rsidP="00AD2F28">
            <w:pPr>
              <w:keepNext/>
              <w:spacing w:after="0"/>
              <w:jc w:val="right"/>
              <w:rPr>
                <w:b/>
                <w:color w:val="000000"/>
                <w:sz w:val="22"/>
                <w:szCs w:val="22"/>
                <w:lang w:val="en-GB" w:eastAsia="en-GB"/>
              </w:rPr>
            </w:pPr>
          </w:p>
        </w:tc>
        <w:tc>
          <w:tcPr>
            <w:tcW w:w="1653" w:type="dxa"/>
          </w:tcPr>
          <w:p w14:paraId="6237E147" w14:textId="77777777" w:rsidR="004029C8" w:rsidRDefault="004029C8" w:rsidP="00AD2F28">
            <w:pPr>
              <w:keepNext/>
              <w:spacing w:after="0"/>
              <w:jc w:val="right"/>
              <w:rPr>
                <w:b/>
                <w:color w:val="000000"/>
                <w:sz w:val="22"/>
                <w:szCs w:val="22"/>
                <w:lang w:val="en-GB" w:eastAsia="en-GB"/>
              </w:rPr>
            </w:pPr>
          </w:p>
        </w:tc>
        <w:tc>
          <w:tcPr>
            <w:tcW w:w="1418" w:type="dxa"/>
          </w:tcPr>
          <w:p w14:paraId="14CA52B0" w14:textId="77777777" w:rsidR="004029C8" w:rsidRPr="00BC13A0" w:rsidRDefault="004029C8" w:rsidP="00AD2F28">
            <w:pPr>
              <w:keepNext/>
              <w:spacing w:after="0"/>
              <w:jc w:val="right"/>
              <w:rPr>
                <w:b/>
                <w:color w:val="000000"/>
                <w:sz w:val="22"/>
                <w:szCs w:val="22"/>
                <w:lang w:val="en-GB" w:eastAsia="en-GB"/>
              </w:rPr>
            </w:pPr>
          </w:p>
        </w:tc>
        <w:tc>
          <w:tcPr>
            <w:tcW w:w="1276" w:type="dxa"/>
          </w:tcPr>
          <w:p w14:paraId="30D2E103" w14:textId="77777777" w:rsidR="004029C8" w:rsidRPr="00BC13A0" w:rsidRDefault="004029C8" w:rsidP="00AD2F28">
            <w:pPr>
              <w:keepNext/>
              <w:spacing w:after="0"/>
              <w:jc w:val="right"/>
              <w:rPr>
                <w:b/>
                <w:color w:val="000000"/>
                <w:sz w:val="22"/>
                <w:szCs w:val="22"/>
                <w:lang w:val="en-GB" w:eastAsia="en-GB"/>
              </w:rPr>
            </w:pPr>
          </w:p>
        </w:tc>
        <w:tc>
          <w:tcPr>
            <w:tcW w:w="1564" w:type="dxa"/>
          </w:tcPr>
          <w:p w14:paraId="250EF6F9" w14:textId="77777777" w:rsidR="004029C8" w:rsidRPr="00BC13A0" w:rsidRDefault="004029C8" w:rsidP="00AD2F28">
            <w:pPr>
              <w:keepNext/>
              <w:spacing w:after="0"/>
              <w:jc w:val="right"/>
              <w:rPr>
                <w:b/>
                <w:color w:val="000000"/>
                <w:sz w:val="22"/>
                <w:szCs w:val="22"/>
                <w:lang w:val="en-GB" w:eastAsia="en-GB"/>
              </w:rPr>
            </w:pPr>
          </w:p>
        </w:tc>
      </w:tr>
      <w:tr w:rsidR="00FE708A" w:rsidRPr="00BC13A0" w14:paraId="73BFBAF0" w14:textId="72314BFB" w:rsidTr="004029C8">
        <w:tc>
          <w:tcPr>
            <w:tcW w:w="1828" w:type="dxa"/>
          </w:tcPr>
          <w:p w14:paraId="59F2FF32" w14:textId="047667FB" w:rsidR="00FE708A" w:rsidRPr="00BC13A0" w:rsidRDefault="008F04CC" w:rsidP="00AD2F28">
            <w:pPr>
              <w:keepNext/>
              <w:spacing w:after="0"/>
              <w:rPr>
                <w:b/>
                <w:color w:val="000000"/>
                <w:sz w:val="22"/>
                <w:szCs w:val="22"/>
              </w:rPr>
            </w:pPr>
            <w:r w:rsidRPr="00BC13A0">
              <w:rPr>
                <w:b/>
                <w:color w:val="000000"/>
                <w:sz w:val="22"/>
                <w:szCs w:val="22"/>
              </w:rPr>
              <w:t>Gov. Dept. 202</w:t>
            </w:r>
            <w:r w:rsidR="00F848E1" w:rsidRPr="00BC13A0">
              <w:rPr>
                <w:b/>
                <w:color w:val="000000"/>
                <w:sz w:val="22"/>
                <w:szCs w:val="22"/>
              </w:rPr>
              <w:t>2</w:t>
            </w:r>
          </w:p>
        </w:tc>
        <w:tc>
          <w:tcPr>
            <w:tcW w:w="1559" w:type="dxa"/>
          </w:tcPr>
          <w:p w14:paraId="5A3505CB" w14:textId="1B40035F" w:rsidR="00FE708A" w:rsidRPr="00BC13A0" w:rsidRDefault="00690E3A" w:rsidP="00AD2F28">
            <w:pPr>
              <w:keepNext/>
              <w:spacing w:after="0"/>
              <w:jc w:val="right"/>
              <w:rPr>
                <w:color w:val="000000"/>
                <w:sz w:val="22"/>
                <w:szCs w:val="22"/>
                <w:lang w:val="en-GB" w:eastAsia="en-GB"/>
              </w:rPr>
            </w:pPr>
            <w:r w:rsidRPr="00BC13A0">
              <w:rPr>
                <w:color w:val="000000"/>
                <w:sz w:val="22"/>
                <w:szCs w:val="22"/>
                <w:lang w:val="en-GB" w:eastAsia="en-GB"/>
              </w:rPr>
              <w:t>24,639</w:t>
            </w:r>
          </w:p>
        </w:tc>
        <w:tc>
          <w:tcPr>
            <w:tcW w:w="1418" w:type="dxa"/>
          </w:tcPr>
          <w:p w14:paraId="1917EDEB" w14:textId="2F9FFE40" w:rsidR="00FE708A" w:rsidRPr="00BC13A0" w:rsidRDefault="00690E3A" w:rsidP="00AD2F28">
            <w:pPr>
              <w:keepNext/>
              <w:spacing w:after="0"/>
              <w:jc w:val="right"/>
              <w:rPr>
                <w:color w:val="000000"/>
                <w:sz w:val="22"/>
                <w:szCs w:val="22"/>
                <w:lang w:val="en-GB" w:eastAsia="en-GB"/>
              </w:rPr>
            </w:pPr>
            <w:r w:rsidRPr="00BC13A0">
              <w:rPr>
                <w:color w:val="000000"/>
                <w:sz w:val="22"/>
                <w:szCs w:val="22"/>
                <w:lang w:val="en-GB" w:eastAsia="en-GB"/>
              </w:rPr>
              <w:t>1,489</w:t>
            </w:r>
          </w:p>
        </w:tc>
        <w:tc>
          <w:tcPr>
            <w:tcW w:w="1653" w:type="dxa"/>
          </w:tcPr>
          <w:p w14:paraId="49ABC6A6" w14:textId="587BC225" w:rsidR="00FE708A" w:rsidRPr="00BC13A0" w:rsidRDefault="00690E3A" w:rsidP="00AD2F28">
            <w:pPr>
              <w:keepNext/>
              <w:spacing w:after="0"/>
              <w:jc w:val="right"/>
              <w:rPr>
                <w:color w:val="000000"/>
                <w:sz w:val="22"/>
                <w:szCs w:val="22"/>
                <w:lang w:val="en-GB" w:eastAsia="en-GB"/>
              </w:rPr>
            </w:pPr>
            <w:r w:rsidRPr="00BC13A0">
              <w:rPr>
                <w:color w:val="000000"/>
                <w:sz w:val="22"/>
                <w:szCs w:val="22"/>
                <w:lang w:val="en-GB" w:eastAsia="en-GB"/>
              </w:rPr>
              <w:t>6.0%</w:t>
            </w:r>
          </w:p>
        </w:tc>
        <w:tc>
          <w:tcPr>
            <w:tcW w:w="1418" w:type="dxa"/>
          </w:tcPr>
          <w:p w14:paraId="5DF0B375" w14:textId="1CF75B4A" w:rsidR="00FE708A" w:rsidRPr="00BC13A0" w:rsidRDefault="00690E3A" w:rsidP="00CB6D76">
            <w:pPr>
              <w:keepNext/>
              <w:spacing w:after="0"/>
              <w:jc w:val="right"/>
              <w:rPr>
                <w:color w:val="000000"/>
                <w:sz w:val="22"/>
                <w:szCs w:val="22"/>
                <w:lang w:val="en-GB" w:eastAsia="en-GB"/>
              </w:rPr>
            </w:pPr>
            <w:r w:rsidRPr="00BC13A0">
              <w:rPr>
                <w:color w:val="000000"/>
                <w:sz w:val="22"/>
                <w:szCs w:val="22"/>
                <w:lang w:val="en-GB" w:eastAsia="en-GB"/>
              </w:rPr>
              <w:t>9.5%</w:t>
            </w:r>
          </w:p>
        </w:tc>
        <w:tc>
          <w:tcPr>
            <w:tcW w:w="1276" w:type="dxa"/>
          </w:tcPr>
          <w:p w14:paraId="76217195" w14:textId="7DA215A0" w:rsidR="00FE708A" w:rsidRPr="00BC13A0" w:rsidRDefault="00690E3A" w:rsidP="00690E3A">
            <w:pPr>
              <w:keepNext/>
              <w:spacing w:after="0"/>
              <w:jc w:val="right"/>
              <w:rPr>
                <w:color w:val="000000"/>
                <w:sz w:val="22"/>
                <w:szCs w:val="22"/>
                <w:lang w:val="en-GB" w:eastAsia="en-GB"/>
              </w:rPr>
            </w:pPr>
            <w:r w:rsidRPr="00BC13A0">
              <w:rPr>
                <w:color w:val="000000"/>
                <w:sz w:val="22"/>
                <w:szCs w:val="22"/>
                <w:lang w:val="en-GB" w:eastAsia="en-GB"/>
              </w:rPr>
              <w:t>100.0%</w:t>
            </w:r>
          </w:p>
        </w:tc>
        <w:tc>
          <w:tcPr>
            <w:tcW w:w="1564" w:type="dxa"/>
          </w:tcPr>
          <w:p w14:paraId="7C0F5869" w14:textId="110E63E9" w:rsidR="00FE708A" w:rsidRPr="00BC13A0" w:rsidRDefault="00690E3A" w:rsidP="00690E3A">
            <w:pPr>
              <w:keepNext/>
              <w:spacing w:after="0"/>
              <w:jc w:val="right"/>
              <w:rPr>
                <w:color w:val="000000"/>
                <w:sz w:val="22"/>
                <w:szCs w:val="22"/>
                <w:lang w:val="en-GB" w:eastAsia="en-GB"/>
              </w:rPr>
            </w:pPr>
            <w:r w:rsidRPr="00BC13A0">
              <w:rPr>
                <w:color w:val="000000"/>
                <w:sz w:val="22"/>
                <w:szCs w:val="22"/>
                <w:lang w:val="en-GB" w:eastAsia="en-GB"/>
              </w:rPr>
              <w:t>19</w:t>
            </w:r>
          </w:p>
        </w:tc>
      </w:tr>
      <w:tr w:rsidR="00FE708A" w:rsidRPr="00BC13A0" w14:paraId="270C626C" w14:textId="01E83367" w:rsidTr="004029C8">
        <w:tc>
          <w:tcPr>
            <w:tcW w:w="1828" w:type="dxa"/>
          </w:tcPr>
          <w:p w14:paraId="1D7380B3" w14:textId="36DC44C0" w:rsidR="00FE708A" w:rsidRPr="00BC13A0" w:rsidRDefault="008F04CC" w:rsidP="00AD2F28">
            <w:pPr>
              <w:keepNext/>
              <w:spacing w:after="0"/>
              <w:rPr>
                <w:b/>
                <w:color w:val="000000"/>
                <w:sz w:val="22"/>
                <w:szCs w:val="22"/>
              </w:rPr>
            </w:pPr>
            <w:r w:rsidRPr="00BC13A0">
              <w:rPr>
                <w:b/>
                <w:color w:val="000000"/>
                <w:sz w:val="22"/>
                <w:szCs w:val="22"/>
              </w:rPr>
              <w:t>Gov. Dept. 202</w:t>
            </w:r>
            <w:r w:rsidR="00F848E1" w:rsidRPr="00BC13A0">
              <w:rPr>
                <w:b/>
                <w:color w:val="000000"/>
                <w:sz w:val="22"/>
                <w:szCs w:val="22"/>
              </w:rPr>
              <w:t>1</w:t>
            </w:r>
          </w:p>
        </w:tc>
        <w:tc>
          <w:tcPr>
            <w:tcW w:w="1559" w:type="dxa"/>
          </w:tcPr>
          <w:p w14:paraId="731D2213" w14:textId="65633109" w:rsidR="00FE708A" w:rsidRPr="00BC13A0" w:rsidRDefault="008660B8" w:rsidP="00AD2F28">
            <w:pPr>
              <w:keepNext/>
              <w:spacing w:after="0"/>
              <w:jc w:val="right"/>
              <w:rPr>
                <w:color w:val="000000"/>
                <w:sz w:val="22"/>
                <w:szCs w:val="22"/>
                <w:lang w:val="en-GB" w:eastAsia="en-GB"/>
              </w:rPr>
            </w:pPr>
            <w:r w:rsidRPr="00BC13A0">
              <w:rPr>
                <w:color w:val="000000"/>
                <w:sz w:val="22"/>
                <w:szCs w:val="22"/>
                <w:lang w:val="en-GB" w:eastAsia="en-GB"/>
              </w:rPr>
              <w:t>23,</w:t>
            </w:r>
            <w:r w:rsidR="00F848E1" w:rsidRPr="00BC13A0">
              <w:rPr>
                <w:color w:val="000000"/>
                <w:sz w:val="22"/>
                <w:szCs w:val="22"/>
                <w:lang w:val="en-GB" w:eastAsia="en-GB"/>
              </w:rPr>
              <w:t>590</w:t>
            </w:r>
          </w:p>
        </w:tc>
        <w:tc>
          <w:tcPr>
            <w:tcW w:w="1418" w:type="dxa"/>
          </w:tcPr>
          <w:p w14:paraId="3FB124F2" w14:textId="0E1E9044" w:rsidR="00FE708A" w:rsidRPr="00BC13A0" w:rsidRDefault="008660B8" w:rsidP="00AD2F28">
            <w:pPr>
              <w:keepNext/>
              <w:spacing w:after="0"/>
              <w:jc w:val="right"/>
              <w:rPr>
                <w:color w:val="000000"/>
                <w:sz w:val="22"/>
                <w:szCs w:val="22"/>
                <w:lang w:val="en-GB" w:eastAsia="en-GB"/>
              </w:rPr>
            </w:pPr>
            <w:r w:rsidRPr="00BC13A0">
              <w:rPr>
                <w:color w:val="000000"/>
                <w:sz w:val="22"/>
                <w:szCs w:val="22"/>
                <w:lang w:val="en-GB" w:eastAsia="en-GB"/>
              </w:rPr>
              <w:t>1,</w:t>
            </w:r>
            <w:r w:rsidR="00F848E1" w:rsidRPr="00BC13A0">
              <w:rPr>
                <w:color w:val="000000"/>
                <w:sz w:val="22"/>
                <w:szCs w:val="22"/>
                <w:lang w:val="en-GB" w:eastAsia="en-GB"/>
              </w:rPr>
              <w:t>427</w:t>
            </w:r>
          </w:p>
        </w:tc>
        <w:tc>
          <w:tcPr>
            <w:tcW w:w="1653" w:type="dxa"/>
          </w:tcPr>
          <w:p w14:paraId="09E31D14" w14:textId="6D102B74" w:rsidR="00FE708A" w:rsidRPr="00BC13A0" w:rsidRDefault="00F848E1" w:rsidP="00AD2F28">
            <w:pPr>
              <w:keepNext/>
              <w:spacing w:after="0"/>
              <w:jc w:val="right"/>
              <w:rPr>
                <w:color w:val="000000"/>
                <w:sz w:val="22"/>
                <w:szCs w:val="22"/>
                <w:lang w:val="en-GB" w:eastAsia="en-GB"/>
              </w:rPr>
            </w:pPr>
            <w:r w:rsidRPr="00BC13A0">
              <w:rPr>
                <w:color w:val="000000"/>
                <w:sz w:val="22"/>
                <w:szCs w:val="22"/>
                <w:lang w:val="en-GB" w:eastAsia="en-GB"/>
              </w:rPr>
              <w:t>6</w:t>
            </w:r>
            <w:r w:rsidR="008660B8" w:rsidRPr="00BC13A0">
              <w:rPr>
                <w:color w:val="000000"/>
                <w:sz w:val="22"/>
                <w:szCs w:val="22"/>
                <w:lang w:val="en-GB" w:eastAsia="en-GB"/>
              </w:rPr>
              <w:t>.0</w:t>
            </w:r>
            <w:r w:rsidR="00FE708A" w:rsidRPr="00BC13A0">
              <w:rPr>
                <w:color w:val="000000"/>
                <w:sz w:val="22"/>
                <w:szCs w:val="22"/>
                <w:lang w:val="en-GB" w:eastAsia="en-GB"/>
              </w:rPr>
              <w:t>%</w:t>
            </w:r>
          </w:p>
        </w:tc>
        <w:tc>
          <w:tcPr>
            <w:tcW w:w="1418" w:type="dxa"/>
          </w:tcPr>
          <w:p w14:paraId="68DF2E7A" w14:textId="1957D5D0" w:rsidR="00FE708A" w:rsidRPr="00BC13A0" w:rsidRDefault="00CB6D76" w:rsidP="00AD2F28">
            <w:pPr>
              <w:keepNext/>
              <w:spacing w:after="0"/>
              <w:jc w:val="right"/>
              <w:rPr>
                <w:color w:val="000000"/>
                <w:sz w:val="22"/>
                <w:szCs w:val="22"/>
                <w:lang w:val="en-GB" w:eastAsia="en-GB"/>
              </w:rPr>
            </w:pPr>
            <w:r w:rsidRPr="00BC13A0">
              <w:rPr>
                <w:color w:val="000000"/>
                <w:sz w:val="22"/>
                <w:szCs w:val="22"/>
                <w:lang w:val="en-GB" w:eastAsia="en-GB"/>
              </w:rPr>
              <w:t>9.</w:t>
            </w:r>
            <w:r w:rsidR="00F848E1" w:rsidRPr="00BC13A0">
              <w:rPr>
                <w:color w:val="000000"/>
                <w:sz w:val="22"/>
                <w:szCs w:val="22"/>
                <w:lang w:val="en-GB" w:eastAsia="en-GB"/>
              </w:rPr>
              <w:t>4</w:t>
            </w:r>
            <w:r w:rsidR="00FE708A" w:rsidRPr="00BC13A0">
              <w:rPr>
                <w:color w:val="000000"/>
                <w:sz w:val="22"/>
                <w:szCs w:val="22"/>
                <w:lang w:val="en-GB" w:eastAsia="en-GB"/>
              </w:rPr>
              <w:t>%</w:t>
            </w:r>
          </w:p>
        </w:tc>
        <w:tc>
          <w:tcPr>
            <w:tcW w:w="1276" w:type="dxa"/>
          </w:tcPr>
          <w:p w14:paraId="5506F096" w14:textId="7CC63C2E" w:rsidR="00FE708A" w:rsidRPr="00BC13A0" w:rsidRDefault="00FE708A" w:rsidP="00AD2F28">
            <w:pPr>
              <w:keepNext/>
              <w:spacing w:after="0"/>
              <w:jc w:val="right"/>
              <w:rPr>
                <w:color w:val="000000"/>
                <w:sz w:val="22"/>
                <w:szCs w:val="22"/>
                <w:lang w:val="en-GB" w:eastAsia="en-GB"/>
              </w:rPr>
            </w:pPr>
            <w:r w:rsidRPr="00BC13A0">
              <w:rPr>
                <w:color w:val="000000"/>
                <w:sz w:val="22"/>
                <w:szCs w:val="22"/>
                <w:lang w:val="en-GB" w:eastAsia="en-GB"/>
              </w:rPr>
              <w:t>100.0%</w:t>
            </w:r>
          </w:p>
        </w:tc>
        <w:tc>
          <w:tcPr>
            <w:tcW w:w="1564" w:type="dxa"/>
          </w:tcPr>
          <w:p w14:paraId="06488469" w14:textId="7E7C2D03" w:rsidR="00FE708A" w:rsidRPr="00BC13A0" w:rsidRDefault="00CB6D76" w:rsidP="00AD2F28">
            <w:pPr>
              <w:keepNext/>
              <w:spacing w:after="0"/>
              <w:jc w:val="right"/>
              <w:rPr>
                <w:color w:val="000000"/>
                <w:sz w:val="22"/>
                <w:szCs w:val="22"/>
                <w:lang w:val="en-GB" w:eastAsia="en-GB"/>
              </w:rPr>
            </w:pPr>
            <w:r w:rsidRPr="00BC13A0">
              <w:rPr>
                <w:color w:val="000000"/>
                <w:sz w:val="22"/>
                <w:szCs w:val="22"/>
                <w:lang w:val="en-GB" w:eastAsia="en-GB"/>
              </w:rPr>
              <w:t>19</w:t>
            </w:r>
          </w:p>
        </w:tc>
      </w:tr>
      <w:tr w:rsidR="00FE708A" w:rsidRPr="00BC13A0" w14:paraId="4E5C36A8" w14:textId="1B95A5EE" w:rsidTr="004029C8">
        <w:tc>
          <w:tcPr>
            <w:tcW w:w="1828" w:type="dxa"/>
          </w:tcPr>
          <w:p w14:paraId="21289E81" w14:textId="2E848456" w:rsidR="00FE708A" w:rsidRPr="00BC13A0" w:rsidRDefault="002C4D6E" w:rsidP="00AD2F28">
            <w:pPr>
              <w:keepNext/>
              <w:spacing w:after="0"/>
              <w:rPr>
                <w:b/>
                <w:color w:val="000000"/>
                <w:sz w:val="22"/>
                <w:szCs w:val="22"/>
              </w:rPr>
            </w:pPr>
            <w:r w:rsidRPr="00BC13A0">
              <w:rPr>
                <w:b/>
                <w:color w:val="000000"/>
                <w:sz w:val="22"/>
                <w:szCs w:val="22"/>
              </w:rPr>
              <w:t>Change 202</w:t>
            </w:r>
            <w:r w:rsidR="00F848E1" w:rsidRPr="00BC13A0">
              <w:rPr>
                <w:b/>
                <w:color w:val="000000"/>
                <w:sz w:val="22"/>
                <w:szCs w:val="22"/>
              </w:rPr>
              <w:t>1</w:t>
            </w:r>
            <w:r w:rsidRPr="00BC13A0">
              <w:rPr>
                <w:b/>
                <w:color w:val="000000"/>
                <w:sz w:val="22"/>
                <w:szCs w:val="22"/>
              </w:rPr>
              <w:t>/202</w:t>
            </w:r>
            <w:r w:rsidR="00F848E1" w:rsidRPr="00BC13A0">
              <w:rPr>
                <w:b/>
                <w:color w:val="000000"/>
                <w:sz w:val="22"/>
                <w:szCs w:val="22"/>
              </w:rPr>
              <w:t>2</w:t>
            </w:r>
          </w:p>
        </w:tc>
        <w:tc>
          <w:tcPr>
            <w:tcW w:w="1559" w:type="dxa"/>
          </w:tcPr>
          <w:p w14:paraId="2E558977" w14:textId="6F48DBD7" w:rsidR="00FE708A" w:rsidRPr="00BC13A0" w:rsidRDefault="00690E3A" w:rsidP="00AD2F28">
            <w:pPr>
              <w:keepNext/>
              <w:spacing w:after="0"/>
              <w:jc w:val="right"/>
              <w:rPr>
                <w:b/>
                <w:color w:val="000000"/>
                <w:sz w:val="22"/>
                <w:szCs w:val="22"/>
                <w:lang w:val="en-GB" w:eastAsia="en-GB"/>
              </w:rPr>
            </w:pPr>
            <w:r w:rsidRPr="00BC13A0">
              <w:rPr>
                <w:b/>
                <w:color w:val="000000"/>
                <w:sz w:val="22"/>
                <w:szCs w:val="22"/>
                <w:lang w:val="en-GB" w:eastAsia="en-GB"/>
              </w:rPr>
              <w:t>+1,049</w:t>
            </w:r>
          </w:p>
        </w:tc>
        <w:tc>
          <w:tcPr>
            <w:tcW w:w="1418" w:type="dxa"/>
          </w:tcPr>
          <w:p w14:paraId="22876277" w14:textId="70686072" w:rsidR="00FE708A" w:rsidRPr="00BC13A0" w:rsidRDefault="00690E3A" w:rsidP="00AD2F28">
            <w:pPr>
              <w:keepNext/>
              <w:spacing w:after="0"/>
              <w:jc w:val="right"/>
              <w:rPr>
                <w:b/>
                <w:color w:val="000000"/>
                <w:sz w:val="22"/>
                <w:szCs w:val="22"/>
                <w:lang w:val="en-GB" w:eastAsia="en-GB"/>
              </w:rPr>
            </w:pPr>
            <w:r w:rsidRPr="00BC13A0">
              <w:rPr>
                <w:b/>
                <w:color w:val="000000"/>
                <w:sz w:val="22"/>
                <w:szCs w:val="22"/>
                <w:lang w:val="en-GB" w:eastAsia="en-GB"/>
              </w:rPr>
              <w:t>+62</w:t>
            </w:r>
          </w:p>
        </w:tc>
        <w:tc>
          <w:tcPr>
            <w:tcW w:w="1653" w:type="dxa"/>
          </w:tcPr>
          <w:p w14:paraId="3ED9269A" w14:textId="5926ACA2" w:rsidR="00FE708A" w:rsidRPr="00BC13A0" w:rsidRDefault="00690E3A" w:rsidP="00AD2F28">
            <w:pPr>
              <w:keepNext/>
              <w:spacing w:after="0"/>
              <w:jc w:val="right"/>
              <w:rPr>
                <w:b/>
                <w:color w:val="000000"/>
                <w:sz w:val="22"/>
                <w:szCs w:val="22"/>
                <w:lang w:val="en-GB" w:eastAsia="en-GB"/>
              </w:rPr>
            </w:pPr>
            <w:r w:rsidRPr="00BC13A0">
              <w:rPr>
                <w:b/>
                <w:color w:val="000000"/>
                <w:sz w:val="22"/>
                <w:szCs w:val="22"/>
                <w:lang w:val="en-GB" w:eastAsia="en-GB"/>
              </w:rPr>
              <w:t>0</w:t>
            </w:r>
          </w:p>
        </w:tc>
        <w:tc>
          <w:tcPr>
            <w:tcW w:w="1418" w:type="dxa"/>
          </w:tcPr>
          <w:p w14:paraId="2BAAC4B4" w14:textId="3FBE49D1" w:rsidR="00FE708A" w:rsidRPr="00BC13A0" w:rsidRDefault="00690E3A" w:rsidP="00AD2F28">
            <w:pPr>
              <w:keepNext/>
              <w:spacing w:after="0"/>
              <w:jc w:val="right"/>
              <w:rPr>
                <w:b/>
                <w:color w:val="000000"/>
                <w:sz w:val="22"/>
                <w:szCs w:val="22"/>
                <w:lang w:val="en-GB" w:eastAsia="en-GB"/>
              </w:rPr>
            </w:pPr>
            <w:r w:rsidRPr="00BC13A0">
              <w:rPr>
                <w:b/>
                <w:color w:val="000000"/>
                <w:sz w:val="22"/>
                <w:szCs w:val="22"/>
                <w:lang w:val="en-GB" w:eastAsia="en-GB"/>
              </w:rPr>
              <w:t>+0.1%</w:t>
            </w:r>
          </w:p>
        </w:tc>
        <w:tc>
          <w:tcPr>
            <w:tcW w:w="1276" w:type="dxa"/>
          </w:tcPr>
          <w:p w14:paraId="5148F04D" w14:textId="0222BAE2" w:rsidR="00FE708A" w:rsidRPr="00BC13A0" w:rsidRDefault="00690E3A" w:rsidP="00AD2F28">
            <w:pPr>
              <w:keepNext/>
              <w:spacing w:after="0"/>
              <w:jc w:val="right"/>
              <w:rPr>
                <w:b/>
                <w:color w:val="000000"/>
                <w:sz w:val="22"/>
                <w:szCs w:val="22"/>
                <w:lang w:val="en-GB" w:eastAsia="en-GB"/>
              </w:rPr>
            </w:pPr>
            <w:r w:rsidRPr="00BC13A0">
              <w:rPr>
                <w:b/>
                <w:color w:val="000000"/>
                <w:sz w:val="22"/>
                <w:szCs w:val="22"/>
                <w:lang w:val="en-GB" w:eastAsia="en-GB"/>
              </w:rPr>
              <w:t>0</w:t>
            </w:r>
          </w:p>
        </w:tc>
        <w:tc>
          <w:tcPr>
            <w:tcW w:w="1564" w:type="dxa"/>
          </w:tcPr>
          <w:p w14:paraId="76379BAD" w14:textId="09682F6B" w:rsidR="00FE708A" w:rsidRPr="00BC13A0" w:rsidRDefault="00690E3A" w:rsidP="00AD2F28">
            <w:pPr>
              <w:keepNext/>
              <w:spacing w:after="0"/>
              <w:jc w:val="right"/>
              <w:rPr>
                <w:b/>
                <w:color w:val="000000"/>
                <w:sz w:val="22"/>
                <w:szCs w:val="22"/>
                <w:lang w:val="en-GB" w:eastAsia="en-GB"/>
              </w:rPr>
            </w:pPr>
            <w:r w:rsidRPr="00BC13A0">
              <w:rPr>
                <w:b/>
                <w:color w:val="000000"/>
                <w:sz w:val="22"/>
                <w:szCs w:val="22"/>
                <w:lang w:val="en-GB" w:eastAsia="en-GB"/>
              </w:rPr>
              <w:t>0</w:t>
            </w:r>
          </w:p>
        </w:tc>
      </w:tr>
      <w:tr w:rsidR="004029C8" w:rsidRPr="00BC13A0" w14:paraId="2CC2C7C4" w14:textId="77777777" w:rsidTr="004029C8">
        <w:tc>
          <w:tcPr>
            <w:tcW w:w="1828" w:type="dxa"/>
          </w:tcPr>
          <w:p w14:paraId="21DC69C3" w14:textId="77777777" w:rsidR="004029C8" w:rsidRPr="00BC13A0" w:rsidRDefault="004029C8" w:rsidP="00AD2F28">
            <w:pPr>
              <w:keepNext/>
              <w:spacing w:after="0"/>
              <w:rPr>
                <w:b/>
                <w:color w:val="000000"/>
                <w:sz w:val="22"/>
                <w:szCs w:val="22"/>
              </w:rPr>
            </w:pPr>
          </w:p>
        </w:tc>
        <w:tc>
          <w:tcPr>
            <w:tcW w:w="1559" w:type="dxa"/>
          </w:tcPr>
          <w:p w14:paraId="1FD210A5" w14:textId="77777777" w:rsidR="004029C8" w:rsidRPr="00BC13A0" w:rsidRDefault="004029C8" w:rsidP="00AD2F28">
            <w:pPr>
              <w:keepNext/>
              <w:spacing w:after="0"/>
              <w:jc w:val="right"/>
              <w:rPr>
                <w:b/>
                <w:color w:val="000000"/>
                <w:sz w:val="22"/>
                <w:szCs w:val="22"/>
                <w:lang w:val="en-GB" w:eastAsia="en-GB"/>
              </w:rPr>
            </w:pPr>
          </w:p>
        </w:tc>
        <w:tc>
          <w:tcPr>
            <w:tcW w:w="1418" w:type="dxa"/>
          </w:tcPr>
          <w:p w14:paraId="58D54343" w14:textId="77777777" w:rsidR="004029C8" w:rsidRPr="00BC13A0" w:rsidRDefault="004029C8" w:rsidP="00AD2F28">
            <w:pPr>
              <w:keepNext/>
              <w:spacing w:after="0"/>
              <w:jc w:val="right"/>
              <w:rPr>
                <w:b/>
                <w:color w:val="000000"/>
                <w:sz w:val="22"/>
                <w:szCs w:val="22"/>
                <w:lang w:val="en-GB" w:eastAsia="en-GB"/>
              </w:rPr>
            </w:pPr>
          </w:p>
        </w:tc>
        <w:tc>
          <w:tcPr>
            <w:tcW w:w="1653" w:type="dxa"/>
          </w:tcPr>
          <w:p w14:paraId="08823976" w14:textId="77777777" w:rsidR="004029C8" w:rsidRPr="00BC13A0" w:rsidRDefault="004029C8" w:rsidP="00AD2F28">
            <w:pPr>
              <w:keepNext/>
              <w:spacing w:after="0"/>
              <w:jc w:val="right"/>
              <w:rPr>
                <w:b/>
                <w:color w:val="000000"/>
                <w:sz w:val="22"/>
                <w:szCs w:val="22"/>
                <w:lang w:val="en-GB" w:eastAsia="en-GB"/>
              </w:rPr>
            </w:pPr>
          </w:p>
        </w:tc>
        <w:tc>
          <w:tcPr>
            <w:tcW w:w="1418" w:type="dxa"/>
          </w:tcPr>
          <w:p w14:paraId="06E3085C" w14:textId="77777777" w:rsidR="004029C8" w:rsidRPr="00BC13A0" w:rsidRDefault="004029C8" w:rsidP="00AD2F28">
            <w:pPr>
              <w:keepNext/>
              <w:spacing w:after="0"/>
              <w:jc w:val="right"/>
              <w:rPr>
                <w:b/>
                <w:color w:val="000000"/>
                <w:sz w:val="22"/>
                <w:szCs w:val="22"/>
                <w:lang w:val="en-GB" w:eastAsia="en-GB"/>
              </w:rPr>
            </w:pPr>
          </w:p>
        </w:tc>
        <w:tc>
          <w:tcPr>
            <w:tcW w:w="1276" w:type="dxa"/>
          </w:tcPr>
          <w:p w14:paraId="4EC47681" w14:textId="77777777" w:rsidR="004029C8" w:rsidRPr="00BC13A0" w:rsidRDefault="004029C8" w:rsidP="00AD2F28">
            <w:pPr>
              <w:keepNext/>
              <w:spacing w:after="0"/>
              <w:jc w:val="right"/>
              <w:rPr>
                <w:b/>
                <w:color w:val="000000"/>
                <w:sz w:val="22"/>
                <w:szCs w:val="22"/>
                <w:lang w:val="en-GB" w:eastAsia="en-GB"/>
              </w:rPr>
            </w:pPr>
          </w:p>
        </w:tc>
        <w:tc>
          <w:tcPr>
            <w:tcW w:w="1564" w:type="dxa"/>
          </w:tcPr>
          <w:p w14:paraId="62031ED5" w14:textId="77777777" w:rsidR="004029C8" w:rsidRPr="00BC13A0" w:rsidRDefault="004029C8" w:rsidP="00AD2F28">
            <w:pPr>
              <w:keepNext/>
              <w:spacing w:after="0"/>
              <w:jc w:val="right"/>
              <w:rPr>
                <w:b/>
                <w:color w:val="000000"/>
                <w:sz w:val="22"/>
                <w:szCs w:val="22"/>
                <w:lang w:val="en-GB" w:eastAsia="en-GB"/>
              </w:rPr>
            </w:pPr>
          </w:p>
        </w:tc>
      </w:tr>
      <w:tr w:rsidR="004029C8" w:rsidRPr="00BC13A0" w14:paraId="02906C3D" w14:textId="77777777" w:rsidTr="004029C8">
        <w:tc>
          <w:tcPr>
            <w:tcW w:w="1828" w:type="dxa"/>
          </w:tcPr>
          <w:p w14:paraId="65A9B3B0" w14:textId="77777777" w:rsidR="004029C8" w:rsidRPr="00BC13A0" w:rsidRDefault="004029C8" w:rsidP="00AD2F28">
            <w:pPr>
              <w:keepNext/>
              <w:spacing w:after="0"/>
              <w:rPr>
                <w:b/>
                <w:color w:val="000000"/>
                <w:sz w:val="22"/>
                <w:szCs w:val="22"/>
              </w:rPr>
            </w:pPr>
          </w:p>
        </w:tc>
        <w:tc>
          <w:tcPr>
            <w:tcW w:w="1559" w:type="dxa"/>
          </w:tcPr>
          <w:p w14:paraId="3A5F6006" w14:textId="77777777" w:rsidR="004029C8" w:rsidRPr="00BC13A0" w:rsidRDefault="004029C8" w:rsidP="00AD2F28">
            <w:pPr>
              <w:keepNext/>
              <w:spacing w:after="0"/>
              <w:jc w:val="right"/>
              <w:rPr>
                <w:b/>
                <w:color w:val="000000"/>
                <w:sz w:val="22"/>
                <w:szCs w:val="22"/>
                <w:lang w:val="en-GB" w:eastAsia="en-GB"/>
              </w:rPr>
            </w:pPr>
          </w:p>
        </w:tc>
        <w:tc>
          <w:tcPr>
            <w:tcW w:w="1418" w:type="dxa"/>
          </w:tcPr>
          <w:p w14:paraId="77F38E08" w14:textId="77777777" w:rsidR="004029C8" w:rsidRPr="00BC13A0" w:rsidRDefault="004029C8" w:rsidP="00AD2F28">
            <w:pPr>
              <w:keepNext/>
              <w:spacing w:after="0"/>
              <w:jc w:val="right"/>
              <w:rPr>
                <w:b/>
                <w:color w:val="000000"/>
                <w:sz w:val="22"/>
                <w:szCs w:val="22"/>
                <w:lang w:val="en-GB" w:eastAsia="en-GB"/>
              </w:rPr>
            </w:pPr>
          </w:p>
        </w:tc>
        <w:tc>
          <w:tcPr>
            <w:tcW w:w="1653" w:type="dxa"/>
          </w:tcPr>
          <w:p w14:paraId="559CD087" w14:textId="77777777" w:rsidR="004029C8" w:rsidRPr="00BC13A0" w:rsidRDefault="004029C8" w:rsidP="00AD2F28">
            <w:pPr>
              <w:keepNext/>
              <w:spacing w:after="0"/>
              <w:jc w:val="right"/>
              <w:rPr>
                <w:b/>
                <w:color w:val="000000"/>
                <w:sz w:val="22"/>
                <w:szCs w:val="22"/>
                <w:lang w:val="en-GB" w:eastAsia="en-GB"/>
              </w:rPr>
            </w:pPr>
          </w:p>
        </w:tc>
        <w:tc>
          <w:tcPr>
            <w:tcW w:w="1418" w:type="dxa"/>
          </w:tcPr>
          <w:p w14:paraId="7BF89C30" w14:textId="77777777" w:rsidR="004029C8" w:rsidRPr="00BC13A0" w:rsidRDefault="004029C8" w:rsidP="00AD2F28">
            <w:pPr>
              <w:keepNext/>
              <w:spacing w:after="0"/>
              <w:jc w:val="right"/>
              <w:rPr>
                <w:b/>
                <w:color w:val="000000"/>
                <w:sz w:val="22"/>
                <w:szCs w:val="22"/>
                <w:lang w:val="en-GB" w:eastAsia="en-GB"/>
              </w:rPr>
            </w:pPr>
          </w:p>
        </w:tc>
        <w:tc>
          <w:tcPr>
            <w:tcW w:w="1276" w:type="dxa"/>
          </w:tcPr>
          <w:p w14:paraId="0B8CD2C7" w14:textId="77777777" w:rsidR="004029C8" w:rsidRPr="00BC13A0" w:rsidRDefault="004029C8" w:rsidP="00AD2F28">
            <w:pPr>
              <w:keepNext/>
              <w:spacing w:after="0"/>
              <w:jc w:val="right"/>
              <w:rPr>
                <w:b/>
                <w:color w:val="000000"/>
                <w:sz w:val="22"/>
                <w:szCs w:val="22"/>
                <w:lang w:val="en-GB" w:eastAsia="en-GB"/>
              </w:rPr>
            </w:pPr>
          </w:p>
        </w:tc>
        <w:tc>
          <w:tcPr>
            <w:tcW w:w="1564" w:type="dxa"/>
          </w:tcPr>
          <w:p w14:paraId="347EE127" w14:textId="77777777" w:rsidR="004029C8" w:rsidRPr="00BC13A0" w:rsidRDefault="004029C8" w:rsidP="00AD2F28">
            <w:pPr>
              <w:keepNext/>
              <w:spacing w:after="0"/>
              <w:jc w:val="right"/>
              <w:rPr>
                <w:b/>
                <w:color w:val="000000"/>
                <w:sz w:val="22"/>
                <w:szCs w:val="22"/>
                <w:lang w:val="en-GB" w:eastAsia="en-GB"/>
              </w:rPr>
            </w:pPr>
          </w:p>
        </w:tc>
      </w:tr>
      <w:tr w:rsidR="00FE708A" w:rsidRPr="004700D9" w14:paraId="3472B6B4" w14:textId="074D83DC" w:rsidTr="004029C8">
        <w:tc>
          <w:tcPr>
            <w:tcW w:w="1828" w:type="dxa"/>
          </w:tcPr>
          <w:p w14:paraId="086B6B26" w14:textId="695FFEE9" w:rsidR="00FE708A" w:rsidRPr="004700D9" w:rsidRDefault="008F04CC" w:rsidP="00AD2F28">
            <w:pPr>
              <w:keepNext/>
              <w:spacing w:after="0"/>
              <w:rPr>
                <w:b/>
                <w:color w:val="000000"/>
                <w:sz w:val="22"/>
                <w:szCs w:val="22"/>
              </w:rPr>
            </w:pPr>
            <w:r w:rsidRPr="004700D9">
              <w:rPr>
                <w:b/>
                <w:color w:val="000000"/>
                <w:sz w:val="22"/>
                <w:szCs w:val="22"/>
              </w:rPr>
              <w:t>Local Gov. 202</w:t>
            </w:r>
            <w:r w:rsidR="00F848E1" w:rsidRPr="004700D9">
              <w:rPr>
                <w:b/>
                <w:color w:val="000000"/>
                <w:sz w:val="22"/>
                <w:szCs w:val="22"/>
              </w:rPr>
              <w:t>2</w:t>
            </w:r>
          </w:p>
        </w:tc>
        <w:tc>
          <w:tcPr>
            <w:tcW w:w="1559" w:type="dxa"/>
          </w:tcPr>
          <w:p w14:paraId="6C8FFF03" w14:textId="4B5F3E14" w:rsidR="00FE708A" w:rsidRPr="004700D9" w:rsidRDefault="00051E45" w:rsidP="00AD2F28">
            <w:pPr>
              <w:keepNext/>
              <w:spacing w:after="0"/>
              <w:jc w:val="right"/>
              <w:rPr>
                <w:color w:val="000000"/>
                <w:sz w:val="22"/>
                <w:szCs w:val="22"/>
                <w:lang w:val="en-GB" w:eastAsia="en-GB"/>
              </w:rPr>
            </w:pPr>
            <w:r w:rsidRPr="004700D9">
              <w:rPr>
                <w:color w:val="000000"/>
                <w:sz w:val="22"/>
                <w:szCs w:val="22"/>
                <w:lang w:val="en-GB" w:eastAsia="en-GB"/>
              </w:rPr>
              <w:t>33,489</w:t>
            </w:r>
          </w:p>
        </w:tc>
        <w:tc>
          <w:tcPr>
            <w:tcW w:w="1418" w:type="dxa"/>
          </w:tcPr>
          <w:p w14:paraId="6B371730" w14:textId="7D4C1DEA" w:rsidR="00FE708A" w:rsidRPr="004700D9" w:rsidRDefault="00051E45" w:rsidP="00AD2F28">
            <w:pPr>
              <w:keepNext/>
              <w:spacing w:after="0"/>
              <w:jc w:val="right"/>
              <w:rPr>
                <w:color w:val="000000"/>
                <w:sz w:val="22"/>
                <w:szCs w:val="22"/>
                <w:lang w:val="en-GB" w:eastAsia="en-GB"/>
              </w:rPr>
            </w:pPr>
            <w:r w:rsidRPr="004700D9">
              <w:rPr>
                <w:color w:val="000000"/>
                <w:sz w:val="22"/>
                <w:szCs w:val="22"/>
                <w:lang w:val="en-GB" w:eastAsia="en-GB"/>
              </w:rPr>
              <w:t>1,573</w:t>
            </w:r>
          </w:p>
        </w:tc>
        <w:tc>
          <w:tcPr>
            <w:tcW w:w="1653" w:type="dxa"/>
          </w:tcPr>
          <w:p w14:paraId="3B818B71" w14:textId="340B5A68" w:rsidR="00FE708A" w:rsidRPr="004700D9" w:rsidRDefault="00051E45" w:rsidP="00AD2F28">
            <w:pPr>
              <w:keepNext/>
              <w:spacing w:after="0"/>
              <w:jc w:val="right"/>
              <w:rPr>
                <w:color w:val="000000"/>
                <w:sz w:val="22"/>
                <w:szCs w:val="22"/>
                <w:lang w:val="en-GB" w:eastAsia="en-GB"/>
              </w:rPr>
            </w:pPr>
            <w:r w:rsidRPr="004700D9">
              <w:rPr>
                <w:color w:val="000000"/>
                <w:sz w:val="22"/>
                <w:szCs w:val="22"/>
                <w:lang w:val="en-GB" w:eastAsia="en-GB"/>
              </w:rPr>
              <w:t>4.7%</w:t>
            </w:r>
          </w:p>
        </w:tc>
        <w:tc>
          <w:tcPr>
            <w:tcW w:w="1418" w:type="dxa"/>
          </w:tcPr>
          <w:p w14:paraId="73CF4364" w14:textId="2A62E363" w:rsidR="00FE708A" w:rsidRPr="004700D9" w:rsidRDefault="00051E45" w:rsidP="00AD2F28">
            <w:pPr>
              <w:keepNext/>
              <w:spacing w:after="0"/>
              <w:jc w:val="right"/>
              <w:rPr>
                <w:color w:val="000000"/>
                <w:sz w:val="22"/>
                <w:szCs w:val="22"/>
                <w:lang w:val="en-GB" w:eastAsia="en-GB"/>
              </w:rPr>
            </w:pPr>
            <w:r w:rsidRPr="004700D9">
              <w:rPr>
                <w:color w:val="000000"/>
                <w:sz w:val="22"/>
                <w:szCs w:val="22"/>
                <w:lang w:val="en-GB" w:eastAsia="en-GB"/>
              </w:rPr>
              <w:t>12.9%</w:t>
            </w:r>
          </w:p>
        </w:tc>
        <w:tc>
          <w:tcPr>
            <w:tcW w:w="1276" w:type="dxa"/>
          </w:tcPr>
          <w:p w14:paraId="71594F42" w14:textId="75ADACC9" w:rsidR="00FE708A" w:rsidRPr="004700D9" w:rsidRDefault="00051E45" w:rsidP="00AD2F28">
            <w:pPr>
              <w:keepNext/>
              <w:spacing w:after="0"/>
              <w:jc w:val="right"/>
              <w:rPr>
                <w:color w:val="000000"/>
                <w:sz w:val="22"/>
                <w:szCs w:val="22"/>
                <w:lang w:val="en-GB" w:eastAsia="en-GB"/>
              </w:rPr>
            </w:pPr>
            <w:r w:rsidRPr="004700D9">
              <w:rPr>
                <w:color w:val="000000"/>
                <w:sz w:val="22"/>
                <w:szCs w:val="22"/>
                <w:lang w:val="en-GB" w:eastAsia="en-GB"/>
              </w:rPr>
              <w:t>94.3%</w:t>
            </w:r>
          </w:p>
        </w:tc>
        <w:tc>
          <w:tcPr>
            <w:tcW w:w="1564" w:type="dxa"/>
          </w:tcPr>
          <w:p w14:paraId="0A42819A" w14:textId="5013BE13" w:rsidR="00FE708A" w:rsidRPr="004700D9" w:rsidRDefault="00051E45" w:rsidP="00AD2F28">
            <w:pPr>
              <w:keepNext/>
              <w:spacing w:after="0"/>
              <w:jc w:val="right"/>
              <w:rPr>
                <w:color w:val="000000"/>
                <w:sz w:val="22"/>
                <w:szCs w:val="22"/>
                <w:lang w:val="en-GB" w:eastAsia="en-GB"/>
              </w:rPr>
            </w:pPr>
            <w:r w:rsidRPr="004700D9">
              <w:rPr>
                <w:color w:val="000000"/>
                <w:sz w:val="22"/>
                <w:szCs w:val="22"/>
                <w:lang w:val="en-GB" w:eastAsia="en-GB"/>
              </w:rPr>
              <w:t>35</w:t>
            </w:r>
          </w:p>
        </w:tc>
      </w:tr>
      <w:tr w:rsidR="00FE708A" w:rsidRPr="004700D9" w14:paraId="76DBA168" w14:textId="73212650" w:rsidTr="004029C8">
        <w:tc>
          <w:tcPr>
            <w:tcW w:w="1828" w:type="dxa"/>
          </w:tcPr>
          <w:p w14:paraId="2FD7F55A" w14:textId="3394F942" w:rsidR="00FE708A" w:rsidRPr="004700D9" w:rsidRDefault="00FE708A" w:rsidP="00AD2F28">
            <w:pPr>
              <w:keepNext/>
              <w:spacing w:after="0"/>
              <w:rPr>
                <w:b/>
                <w:color w:val="000000"/>
                <w:sz w:val="22"/>
                <w:szCs w:val="22"/>
              </w:rPr>
            </w:pPr>
            <w:r w:rsidRPr="004700D9">
              <w:rPr>
                <w:b/>
                <w:color w:val="000000"/>
                <w:sz w:val="22"/>
                <w:szCs w:val="22"/>
              </w:rPr>
              <w:t>Local Gov</w:t>
            </w:r>
            <w:r w:rsidR="008F04CC" w:rsidRPr="004700D9">
              <w:rPr>
                <w:b/>
                <w:color w:val="000000"/>
                <w:sz w:val="22"/>
                <w:szCs w:val="22"/>
              </w:rPr>
              <w:t>. 202</w:t>
            </w:r>
            <w:r w:rsidR="00F848E1" w:rsidRPr="004700D9">
              <w:rPr>
                <w:b/>
                <w:color w:val="000000"/>
                <w:sz w:val="22"/>
                <w:szCs w:val="22"/>
              </w:rPr>
              <w:t>1</w:t>
            </w:r>
          </w:p>
        </w:tc>
        <w:tc>
          <w:tcPr>
            <w:tcW w:w="1559" w:type="dxa"/>
          </w:tcPr>
          <w:p w14:paraId="269F4330" w14:textId="0D8183F6" w:rsidR="00FE708A" w:rsidRPr="004700D9" w:rsidRDefault="008F04CC" w:rsidP="00AD2F28">
            <w:pPr>
              <w:keepNext/>
              <w:spacing w:after="0"/>
              <w:jc w:val="right"/>
              <w:rPr>
                <w:color w:val="000000"/>
                <w:sz w:val="22"/>
                <w:szCs w:val="22"/>
                <w:lang w:val="en-GB" w:eastAsia="en-GB"/>
              </w:rPr>
            </w:pPr>
            <w:r w:rsidRPr="004700D9">
              <w:rPr>
                <w:color w:val="000000"/>
                <w:sz w:val="22"/>
                <w:szCs w:val="22"/>
                <w:lang w:val="en-GB" w:eastAsia="en-GB"/>
              </w:rPr>
              <w:t>3</w:t>
            </w:r>
            <w:r w:rsidR="00051E45" w:rsidRPr="004700D9">
              <w:rPr>
                <w:color w:val="000000"/>
                <w:sz w:val="22"/>
                <w:szCs w:val="22"/>
                <w:lang w:val="en-GB" w:eastAsia="en-GB"/>
              </w:rPr>
              <w:t>3</w:t>
            </w:r>
            <w:r w:rsidR="00F848E1" w:rsidRPr="004700D9">
              <w:rPr>
                <w:color w:val="000000"/>
                <w:sz w:val="22"/>
                <w:szCs w:val="22"/>
                <w:lang w:val="en-GB" w:eastAsia="en-GB"/>
              </w:rPr>
              <w:t>116</w:t>
            </w:r>
          </w:p>
        </w:tc>
        <w:tc>
          <w:tcPr>
            <w:tcW w:w="1418" w:type="dxa"/>
          </w:tcPr>
          <w:p w14:paraId="46E144E8" w14:textId="043DD51D" w:rsidR="00FE708A" w:rsidRPr="004700D9" w:rsidRDefault="008F04CC" w:rsidP="00AD2F28">
            <w:pPr>
              <w:keepNext/>
              <w:spacing w:after="0"/>
              <w:jc w:val="right"/>
              <w:rPr>
                <w:color w:val="000000"/>
                <w:sz w:val="22"/>
                <w:szCs w:val="22"/>
                <w:lang w:val="en-GB" w:eastAsia="en-GB"/>
              </w:rPr>
            </w:pPr>
            <w:r w:rsidRPr="004700D9">
              <w:rPr>
                <w:color w:val="000000"/>
                <w:sz w:val="22"/>
                <w:szCs w:val="22"/>
                <w:lang w:val="en-GB" w:eastAsia="en-GB"/>
              </w:rPr>
              <w:t>1,</w:t>
            </w:r>
            <w:r w:rsidR="00F848E1" w:rsidRPr="004700D9">
              <w:rPr>
                <w:color w:val="000000"/>
                <w:sz w:val="22"/>
                <w:szCs w:val="22"/>
                <w:lang w:val="en-GB" w:eastAsia="en-GB"/>
              </w:rPr>
              <w:t>480</w:t>
            </w:r>
          </w:p>
        </w:tc>
        <w:tc>
          <w:tcPr>
            <w:tcW w:w="1653" w:type="dxa"/>
          </w:tcPr>
          <w:p w14:paraId="4B1D4229" w14:textId="5FC52763" w:rsidR="00FE708A" w:rsidRPr="004700D9" w:rsidRDefault="008F04CC" w:rsidP="00AD2F28">
            <w:pPr>
              <w:keepNext/>
              <w:spacing w:after="0"/>
              <w:jc w:val="right"/>
              <w:rPr>
                <w:color w:val="000000"/>
                <w:sz w:val="22"/>
                <w:szCs w:val="22"/>
                <w:lang w:val="en-GB" w:eastAsia="en-GB"/>
              </w:rPr>
            </w:pPr>
            <w:r w:rsidRPr="004700D9">
              <w:rPr>
                <w:color w:val="000000"/>
                <w:sz w:val="22"/>
                <w:szCs w:val="22"/>
                <w:lang w:val="en-GB" w:eastAsia="en-GB"/>
              </w:rPr>
              <w:t>4.</w:t>
            </w:r>
            <w:r w:rsidR="00F848E1" w:rsidRPr="004700D9">
              <w:rPr>
                <w:color w:val="000000"/>
                <w:sz w:val="22"/>
                <w:szCs w:val="22"/>
                <w:lang w:val="en-GB" w:eastAsia="en-GB"/>
              </w:rPr>
              <w:t>5</w:t>
            </w:r>
            <w:r w:rsidR="00FE708A" w:rsidRPr="004700D9">
              <w:rPr>
                <w:color w:val="000000"/>
                <w:sz w:val="22"/>
                <w:szCs w:val="22"/>
                <w:lang w:val="en-GB" w:eastAsia="en-GB"/>
              </w:rPr>
              <w:t>%</w:t>
            </w:r>
          </w:p>
        </w:tc>
        <w:tc>
          <w:tcPr>
            <w:tcW w:w="1418" w:type="dxa"/>
          </w:tcPr>
          <w:p w14:paraId="3C7FFC7B" w14:textId="6B1DE7BC" w:rsidR="00FE708A" w:rsidRPr="004700D9" w:rsidRDefault="008F04CC" w:rsidP="00AD2F28">
            <w:pPr>
              <w:keepNext/>
              <w:spacing w:after="0"/>
              <w:jc w:val="right"/>
              <w:rPr>
                <w:color w:val="000000"/>
                <w:sz w:val="22"/>
                <w:szCs w:val="22"/>
                <w:lang w:val="en-GB" w:eastAsia="en-GB"/>
              </w:rPr>
            </w:pPr>
            <w:r w:rsidRPr="004700D9">
              <w:rPr>
                <w:color w:val="000000"/>
                <w:sz w:val="22"/>
                <w:szCs w:val="22"/>
                <w:lang w:val="en-GB" w:eastAsia="en-GB"/>
              </w:rPr>
              <w:t>13.</w:t>
            </w:r>
            <w:r w:rsidR="00F848E1" w:rsidRPr="004700D9">
              <w:rPr>
                <w:color w:val="000000"/>
                <w:sz w:val="22"/>
                <w:szCs w:val="22"/>
                <w:lang w:val="en-GB" w:eastAsia="en-GB"/>
              </w:rPr>
              <w:t>2</w:t>
            </w:r>
            <w:r w:rsidR="00FE708A" w:rsidRPr="004700D9">
              <w:rPr>
                <w:color w:val="000000"/>
                <w:sz w:val="22"/>
                <w:szCs w:val="22"/>
                <w:lang w:val="en-GB" w:eastAsia="en-GB"/>
              </w:rPr>
              <w:t>%</w:t>
            </w:r>
          </w:p>
        </w:tc>
        <w:tc>
          <w:tcPr>
            <w:tcW w:w="1276" w:type="dxa"/>
          </w:tcPr>
          <w:p w14:paraId="1505CF81" w14:textId="5B54D5AA" w:rsidR="00FE708A" w:rsidRPr="004700D9" w:rsidRDefault="00FE708A" w:rsidP="00AD2F28">
            <w:pPr>
              <w:keepNext/>
              <w:spacing w:after="0"/>
              <w:jc w:val="right"/>
              <w:rPr>
                <w:color w:val="000000"/>
                <w:sz w:val="22"/>
                <w:szCs w:val="22"/>
                <w:lang w:val="en-GB" w:eastAsia="en-GB"/>
              </w:rPr>
            </w:pPr>
            <w:r w:rsidRPr="004700D9">
              <w:rPr>
                <w:color w:val="000000"/>
                <w:sz w:val="22"/>
                <w:szCs w:val="22"/>
                <w:lang w:val="en-GB" w:eastAsia="en-GB"/>
              </w:rPr>
              <w:t>9</w:t>
            </w:r>
            <w:r w:rsidR="00F848E1" w:rsidRPr="004700D9">
              <w:rPr>
                <w:color w:val="000000"/>
                <w:sz w:val="22"/>
                <w:szCs w:val="22"/>
                <w:lang w:val="en-GB" w:eastAsia="en-GB"/>
              </w:rPr>
              <w:t>4.3</w:t>
            </w:r>
            <w:r w:rsidRPr="004700D9">
              <w:rPr>
                <w:color w:val="000000"/>
                <w:sz w:val="22"/>
                <w:szCs w:val="22"/>
                <w:lang w:val="en-GB" w:eastAsia="en-GB"/>
              </w:rPr>
              <w:t>%</w:t>
            </w:r>
          </w:p>
        </w:tc>
        <w:tc>
          <w:tcPr>
            <w:tcW w:w="1564" w:type="dxa"/>
          </w:tcPr>
          <w:p w14:paraId="1AF65305" w14:textId="40BC20C6" w:rsidR="00FE708A" w:rsidRPr="004700D9" w:rsidRDefault="00FE708A" w:rsidP="00AD2F28">
            <w:pPr>
              <w:keepNext/>
              <w:spacing w:after="0"/>
              <w:jc w:val="right"/>
              <w:rPr>
                <w:color w:val="000000"/>
                <w:sz w:val="22"/>
                <w:szCs w:val="22"/>
                <w:lang w:val="en-GB" w:eastAsia="en-GB"/>
              </w:rPr>
            </w:pPr>
            <w:r w:rsidRPr="004700D9">
              <w:rPr>
                <w:color w:val="000000"/>
                <w:sz w:val="22"/>
                <w:szCs w:val="22"/>
                <w:lang w:val="en-GB" w:eastAsia="en-GB"/>
              </w:rPr>
              <w:t>35</w:t>
            </w:r>
          </w:p>
        </w:tc>
      </w:tr>
      <w:tr w:rsidR="00FE708A" w:rsidRPr="004700D9" w14:paraId="36F9FC69" w14:textId="5E7D9C17" w:rsidTr="004029C8">
        <w:tc>
          <w:tcPr>
            <w:tcW w:w="1828" w:type="dxa"/>
          </w:tcPr>
          <w:p w14:paraId="62CC14A1" w14:textId="1268789C" w:rsidR="00FE708A" w:rsidRPr="004700D9" w:rsidRDefault="002C4D6E" w:rsidP="00AD2F28">
            <w:pPr>
              <w:keepNext/>
              <w:spacing w:after="0"/>
              <w:rPr>
                <w:b/>
                <w:color w:val="000000"/>
                <w:sz w:val="22"/>
                <w:szCs w:val="22"/>
              </w:rPr>
            </w:pPr>
            <w:r w:rsidRPr="004700D9">
              <w:rPr>
                <w:b/>
                <w:color w:val="000000"/>
                <w:sz w:val="22"/>
                <w:szCs w:val="22"/>
              </w:rPr>
              <w:t>Change 202</w:t>
            </w:r>
            <w:r w:rsidR="00F848E1" w:rsidRPr="004700D9">
              <w:rPr>
                <w:b/>
                <w:color w:val="000000"/>
                <w:sz w:val="22"/>
                <w:szCs w:val="22"/>
              </w:rPr>
              <w:t>1</w:t>
            </w:r>
            <w:r w:rsidRPr="004700D9">
              <w:rPr>
                <w:b/>
                <w:color w:val="000000"/>
                <w:sz w:val="22"/>
                <w:szCs w:val="22"/>
              </w:rPr>
              <w:t>/202</w:t>
            </w:r>
            <w:r w:rsidR="00F848E1" w:rsidRPr="004700D9">
              <w:rPr>
                <w:b/>
                <w:color w:val="000000"/>
                <w:sz w:val="22"/>
                <w:szCs w:val="22"/>
              </w:rPr>
              <w:t>2</w:t>
            </w:r>
          </w:p>
        </w:tc>
        <w:tc>
          <w:tcPr>
            <w:tcW w:w="1559" w:type="dxa"/>
          </w:tcPr>
          <w:p w14:paraId="4A405C73" w14:textId="6AF4CDD5" w:rsidR="00FE708A" w:rsidRPr="004700D9" w:rsidRDefault="00971095" w:rsidP="00024C62">
            <w:pPr>
              <w:keepNext/>
              <w:spacing w:after="0"/>
              <w:jc w:val="right"/>
              <w:rPr>
                <w:b/>
                <w:color w:val="000000"/>
                <w:sz w:val="22"/>
                <w:szCs w:val="22"/>
                <w:lang w:val="en-GB" w:eastAsia="en-GB"/>
              </w:rPr>
            </w:pPr>
            <w:r w:rsidRPr="004700D9">
              <w:rPr>
                <w:b/>
                <w:color w:val="000000"/>
                <w:sz w:val="22"/>
                <w:szCs w:val="22"/>
                <w:lang w:val="en-GB" w:eastAsia="en-GB"/>
              </w:rPr>
              <w:t>+</w:t>
            </w:r>
            <w:r w:rsidR="00051E45" w:rsidRPr="004700D9">
              <w:rPr>
                <w:b/>
                <w:color w:val="000000"/>
                <w:sz w:val="22"/>
                <w:szCs w:val="22"/>
                <w:lang w:val="en-GB" w:eastAsia="en-GB"/>
              </w:rPr>
              <w:t>373</w:t>
            </w:r>
          </w:p>
        </w:tc>
        <w:tc>
          <w:tcPr>
            <w:tcW w:w="1418" w:type="dxa"/>
          </w:tcPr>
          <w:p w14:paraId="22277A33" w14:textId="4D29A25B" w:rsidR="00FE708A" w:rsidRPr="004700D9" w:rsidRDefault="00971095" w:rsidP="00024C62">
            <w:pPr>
              <w:keepNext/>
              <w:spacing w:after="0"/>
              <w:jc w:val="right"/>
              <w:rPr>
                <w:b/>
                <w:color w:val="000000"/>
                <w:sz w:val="22"/>
                <w:szCs w:val="22"/>
                <w:lang w:val="en-GB" w:eastAsia="en-GB"/>
              </w:rPr>
            </w:pPr>
            <w:r w:rsidRPr="004700D9">
              <w:rPr>
                <w:b/>
                <w:color w:val="000000"/>
                <w:sz w:val="22"/>
                <w:szCs w:val="22"/>
                <w:lang w:val="en-GB" w:eastAsia="en-GB"/>
              </w:rPr>
              <w:t>+</w:t>
            </w:r>
            <w:r w:rsidR="00051E45" w:rsidRPr="004700D9">
              <w:rPr>
                <w:b/>
                <w:color w:val="000000"/>
                <w:sz w:val="22"/>
                <w:szCs w:val="22"/>
                <w:lang w:val="en-GB" w:eastAsia="en-GB"/>
              </w:rPr>
              <w:t>93</w:t>
            </w:r>
          </w:p>
        </w:tc>
        <w:tc>
          <w:tcPr>
            <w:tcW w:w="1653" w:type="dxa"/>
          </w:tcPr>
          <w:p w14:paraId="5F87C8DF" w14:textId="46243B50" w:rsidR="00FE708A" w:rsidRPr="004700D9" w:rsidRDefault="0091706D" w:rsidP="00024C62">
            <w:pPr>
              <w:keepNext/>
              <w:spacing w:after="0"/>
              <w:jc w:val="right"/>
              <w:rPr>
                <w:b/>
                <w:color w:val="000000"/>
                <w:sz w:val="22"/>
                <w:szCs w:val="22"/>
                <w:lang w:val="en-GB" w:eastAsia="en-GB"/>
              </w:rPr>
            </w:pPr>
            <w:r w:rsidRPr="004700D9">
              <w:rPr>
                <w:b/>
                <w:color w:val="000000"/>
                <w:sz w:val="22"/>
                <w:szCs w:val="22"/>
                <w:lang w:val="en-GB" w:eastAsia="en-GB"/>
              </w:rPr>
              <w:t>+</w:t>
            </w:r>
            <w:r w:rsidR="00051E45" w:rsidRPr="004700D9">
              <w:rPr>
                <w:b/>
                <w:color w:val="000000"/>
                <w:sz w:val="22"/>
                <w:szCs w:val="22"/>
                <w:lang w:val="en-GB" w:eastAsia="en-GB"/>
              </w:rPr>
              <w:t>0.</w:t>
            </w:r>
            <w:r w:rsidR="00971095" w:rsidRPr="004700D9">
              <w:rPr>
                <w:b/>
                <w:color w:val="000000"/>
                <w:sz w:val="22"/>
                <w:szCs w:val="22"/>
                <w:lang w:val="en-GB" w:eastAsia="en-GB"/>
              </w:rPr>
              <w:t>2</w:t>
            </w:r>
            <w:r w:rsidR="00051E45" w:rsidRPr="004700D9">
              <w:rPr>
                <w:b/>
                <w:color w:val="000000"/>
                <w:sz w:val="22"/>
                <w:szCs w:val="22"/>
                <w:lang w:val="en-GB" w:eastAsia="en-GB"/>
              </w:rPr>
              <w:t>%</w:t>
            </w:r>
          </w:p>
        </w:tc>
        <w:tc>
          <w:tcPr>
            <w:tcW w:w="1418" w:type="dxa"/>
          </w:tcPr>
          <w:p w14:paraId="773204C0" w14:textId="785E16D0" w:rsidR="00FE708A" w:rsidRPr="004700D9" w:rsidRDefault="00D74124" w:rsidP="00024C62">
            <w:pPr>
              <w:keepNext/>
              <w:spacing w:after="0"/>
              <w:jc w:val="right"/>
              <w:rPr>
                <w:b/>
                <w:color w:val="000000"/>
                <w:sz w:val="22"/>
                <w:szCs w:val="22"/>
                <w:lang w:val="en-GB" w:eastAsia="en-GB"/>
              </w:rPr>
            </w:pPr>
            <w:r w:rsidRPr="004700D9">
              <w:rPr>
                <w:b/>
                <w:color w:val="000000"/>
                <w:sz w:val="22"/>
                <w:szCs w:val="22"/>
                <w:lang w:val="en-GB" w:eastAsia="en-GB"/>
              </w:rPr>
              <w:t>-</w:t>
            </w:r>
            <w:r w:rsidR="00051E45" w:rsidRPr="004700D9">
              <w:rPr>
                <w:b/>
                <w:color w:val="000000"/>
                <w:sz w:val="22"/>
                <w:szCs w:val="22"/>
                <w:lang w:val="en-GB" w:eastAsia="en-GB"/>
              </w:rPr>
              <w:t>0.3%</w:t>
            </w:r>
          </w:p>
        </w:tc>
        <w:tc>
          <w:tcPr>
            <w:tcW w:w="1276" w:type="dxa"/>
          </w:tcPr>
          <w:p w14:paraId="54ED2F9C" w14:textId="0A58D6E7" w:rsidR="00FE708A" w:rsidRPr="004700D9" w:rsidRDefault="00051E45" w:rsidP="00024C62">
            <w:pPr>
              <w:keepNext/>
              <w:spacing w:after="0"/>
              <w:jc w:val="right"/>
              <w:rPr>
                <w:b/>
                <w:color w:val="000000"/>
                <w:sz w:val="22"/>
                <w:szCs w:val="22"/>
                <w:lang w:val="en-GB" w:eastAsia="en-GB"/>
              </w:rPr>
            </w:pPr>
            <w:r w:rsidRPr="004700D9">
              <w:rPr>
                <w:b/>
                <w:color w:val="000000"/>
                <w:sz w:val="22"/>
                <w:szCs w:val="22"/>
                <w:lang w:val="en-GB" w:eastAsia="en-GB"/>
              </w:rPr>
              <w:t>0</w:t>
            </w:r>
          </w:p>
        </w:tc>
        <w:tc>
          <w:tcPr>
            <w:tcW w:w="1564" w:type="dxa"/>
          </w:tcPr>
          <w:p w14:paraId="2A48693C" w14:textId="0D391039" w:rsidR="00FE708A" w:rsidRPr="004700D9" w:rsidRDefault="00051E45" w:rsidP="00024C62">
            <w:pPr>
              <w:keepNext/>
              <w:spacing w:after="0"/>
              <w:jc w:val="right"/>
              <w:rPr>
                <w:b/>
                <w:color w:val="000000"/>
                <w:sz w:val="22"/>
                <w:szCs w:val="22"/>
                <w:lang w:val="en-GB" w:eastAsia="en-GB"/>
              </w:rPr>
            </w:pPr>
            <w:r w:rsidRPr="004700D9">
              <w:rPr>
                <w:b/>
                <w:color w:val="000000"/>
                <w:sz w:val="22"/>
                <w:szCs w:val="22"/>
                <w:lang w:val="en-GB" w:eastAsia="en-GB"/>
              </w:rPr>
              <w:t>0</w:t>
            </w:r>
          </w:p>
        </w:tc>
      </w:tr>
      <w:tr w:rsidR="004029C8" w:rsidRPr="004700D9" w14:paraId="542ECB30" w14:textId="77777777" w:rsidTr="004029C8">
        <w:tc>
          <w:tcPr>
            <w:tcW w:w="1828" w:type="dxa"/>
          </w:tcPr>
          <w:p w14:paraId="33C3D3C3" w14:textId="77777777" w:rsidR="004029C8" w:rsidRPr="004700D9" w:rsidRDefault="004029C8" w:rsidP="00AD2F28">
            <w:pPr>
              <w:keepNext/>
              <w:spacing w:after="0"/>
              <w:rPr>
                <w:b/>
                <w:color w:val="000000"/>
                <w:sz w:val="22"/>
                <w:szCs w:val="22"/>
              </w:rPr>
            </w:pPr>
          </w:p>
        </w:tc>
        <w:tc>
          <w:tcPr>
            <w:tcW w:w="1559" w:type="dxa"/>
          </w:tcPr>
          <w:p w14:paraId="7A9F9D81" w14:textId="77777777" w:rsidR="004029C8" w:rsidRPr="004700D9" w:rsidRDefault="004029C8" w:rsidP="00024C62">
            <w:pPr>
              <w:keepNext/>
              <w:spacing w:after="0"/>
              <w:jc w:val="right"/>
              <w:rPr>
                <w:b/>
                <w:color w:val="000000"/>
                <w:sz w:val="22"/>
                <w:szCs w:val="22"/>
                <w:lang w:val="en-GB" w:eastAsia="en-GB"/>
              </w:rPr>
            </w:pPr>
          </w:p>
        </w:tc>
        <w:tc>
          <w:tcPr>
            <w:tcW w:w="1418" w:type="dxa"/>
          </w:tcPr>
          <w:p w14:paraId="586A4A82" w14:textId="77777777" w:rsidR="004029C8" w:rsidRPr="004700D9" w:rsidRDefault="004029C8" w:rsidP="00024C62">
            <w:pPr>
              <w:keepNext/>
              <w:spacing w:after="0"/>
              <w:jc w:val="right"/>
              <w:rPr>
                <w:b/>
                <w:color w:val="000000"/>
                <w:sz w:val="22"/>
                <w:szCs w:val="22"/>
                <w:lang w:val="en-GB" w:eastAsia="en-GB"/>
              </w:rPr>
            </w:pPr>
          </w:p>
        </w:tc>
        <w:tc>
          <w:tcPr>
            <w:tcW w:w="1653" w:type="dxa"/>
          </w:tcPr>
          <w:p w14:paraId="00B945C1" w14:textId="77777777" w:rsidR="004029C8" w:rsidRPr="004700D9" w:rsidRDefault="004029C8" w:rsidP="00024C62">
            <w:pPr>
              <w:keepNext/>
              <w:spacing w:after="0"/>
              <w:jc w:val="right"/>
              <w:rPr>
                <w:b/>
                <w:color w:val="000000"/>
                <w:sz w:val="22"/>
                <w:szCs w:val="22"/>
                <w:lang w:val="en-GB" w:eastAsia="en-GB"/>
              </w:rPr>
            </w:pPr>
          </w:p>
        </w:tc>
        <w:tc>
          <w:tcPr>
            <w:tcW w:w="1418" w:type="dxa"/>
          </w:tcPr>
          <w:p w14:paraId="5EB5BF80" w14:textId="77777777" w:rsidR="004029C8" w:rsidRPr="004700D9" w:rsidRDefault="004029C8" w:rsidP="00024C62">
            <w:pPr>
              <w:keepNext/>
              <w:spacing w:after="0"/>
              <w:jc w:val="right"/>
              <w:rPr>
                <w:b/>
                <w:color w:val="000000"/>
                <w:sz w:val="22"/>
                <w:szCs w:val="22"/>
                <w:lang w:val="en-GB" w:eastAsia="en-GB"/>
              </w:rPr>
            </w:pPr>
          </w:p>
        </w:tc>
        <w:tc>
          <w:tcPr>
            <w:tcW w:w="1276" w:type="dxa"/>
          </w:tcPr>
          <w:p w14:paraId="7D8068CA" w14:textId="77777777" w:rsidR="004029C8" w:rsidRPr="004700D9" w:rsidRDefault="004029C8" w:rsidP="00024C62">
            <w:pPr>
              <w:keepNext/>
              <w:spacing w:after="0"/>
              <w:jc w:val="right"/>
              <w:rPr>
                <w:b/>
                <w:color w:val="000000"/>
                <w:sz w:val="22"/>
                <w:szCs w:val="22"/>
                <w:lang w:val="en-GB" w:eastAsia="en-GB"/>
              </w:rPr>
            </w:pPr>
          </w:p>
        </w:tc>
        <w:tc>
          <w:tcPr>
            <w:tcW w:w="1564" w:type="dxa"/>
          </w:tcPr>
          <w:p w14:paraId="42410A23" w14:textId="77777777" w:rsidR="004029C8" w:rsidRPr="004700D9" w:rsidRDefault="004029C8" w:rsidP="00024C62">
            <w:pPr>
              <w:keepNext/>
              <w:spacing w:after="0"/>
              <w:jc w:val="right"/>
              <w:rPr>
                <w:b/>
                <w:color w:val="000000"/>
                <w:sz w:val="22"/>
                <w:szCs w:val="22"/>
                <w:lang w:val="en-GB" w:eastAsia="en-GB"/>
              </w:rPr>
            </w:pPr>
          </w:p>
        </w:tc>
      </w:tr>
      <w:tr w:rsidR="00480DF0" w:rsidRPr="004700D9" w14:paraId="2F5F38F5" w14:textId="65281399" w:rsidTr="004029C8">
        <w:tc>
          <w:tcPr>
            <w:tcW w:w="1828" w:type="dxa"/>
          </w:tcPr>
          <w:p w14:paraId="0AE2922E" w14:textId="5EE155F5" w:rsidR="00480DF0" w:rsidRPr="004700D9" w:rsidRDefault="005A19F6" w:rsidP="00480DF0">
            <w:pPr>
              <w:keepNext/>
              <w:spacing w:after="0"/>
              <w:rPr>
                <w:b/>
                <w:color w:val="000000"/>
                <w:sz w:val="22"/>
                <w:szCs w:val="22"/>
              </w:rPr>
            </w:pPr>
            <w:r w:rsidRPr="004700D9">
              <w:rPr>
                <w:b/>
                <w:color w:val="000000"/>
                <w:sz w:val="22"/>
                <w:szCs w:val="22"/>
              </w:rPr>
              <w:t>Non-comm. 202</w:t>
            </w:r>
            <w:r w:rsidR="00AE206F" w:rsidRPr="004700D9">
              <w:rPr>
                <w:b/>
                <w:color w:val="000000"/>
                <w:sz w:val="22"/>
                <w:szCs w:val="22"/>
              </w:rPr>
              <w:t>2</w:t>
            </w:r>
          </w:p>
        </w:tc>
        <w:tc>
          <w:tcPr>
            <w:tcW w:w="1559" w:type="dxa"/>
          </w:tcPr>
          <w:p w14:paraId="18ECA310" w14:textId="0EF63807" w:rsidR="00480DF0" w:rsidRPr="004700D9" w:rsidRDefault="00D74124" w:rsidP="00480DF0">
            <w:pPr>
              <w:spacing w:after="0"/>
              <w:jc w:val="right"/>
              <w:rPr>
                <w:rFonts w:cs="Arial"/>
                <w:bCs/>
                <w:color w:val="000000"/>
                <w:sz w:val="22"/>
                <w:szCs w:val="22"/>
                <w:lang w:eastAsia="en-IE"/>
              </w:rPr>
            </w:pPr>
            <w:r w:rsidRPr="004700D9">
              <w:rPr>
                <w:rFonts w:cs="Arial"/>
                <w:bCs/>
                <w:color w:val="000000"/>
                <w:sz w:val="22"/>
                <w:szCs w:val="22"/>
                <w:lang w:eastAsia="en-IE"/>
              </w:rPr>
              <w:t>144,802</w:t>
            </w:r>
          </w:p>
        </w:tc>
        <w:tc>
          <w:tcPr>
            <w:tcW w:w="1418" w:type="dxa"/>
          </w:tcPr>
          <w:p w14:paraId="49384D97" w14:textId="5CB7E3D8" w:rsidR="00480DF0" w:rsidRPr="004700D9" w:rsidRDefault="00D74124" w:rsidP="00480DF0">
            <w:pPr>
              <w:spacing w:after="0"/>
              <w:jc w:val="right"/>
              <w:rPr>
                <w:rFonts w:cs="Arial"/>
                <w:bCs/>
                <w:color w:val="000000"/>
                <w:sz w:val="22"/>
                <w:szCs w:val="22"/>
                <w:lang w:eastAsia="en-IE"/>
              </w:rPr>
            </w:pPr>
            <w:r w:rsidRPr="004700D9">
              <w:rPr>
                <w:rFonts w:cs="Arial"/>
                <w:bCs/>
                <w:color w:val="000000"/>
                <w:sz w:val="22"/>
                <w:szCs w:val="22"/>
                <w:lang w:eastAsia="en-IE"/>
              </w:rPr>
              <w:t>4,624</w:t>
            </w:r>
          </w:p>
        </w:tc>
        <w:tc>
          <w:tcPr>
            <w:tcW w:w="1653" w:type="dxa"/>
          </w:tcPr>
          <w:p w14:paraId="10057D37" w14:textId="4592857D" w:rsidR="00480DF0" w:rsidRPr="004700D9" w:rsidRDefault="00D74124" w:rsidP="00480DF0">
            <w:pPr>
              <w:keepNext/>
              <w:spacing w:after="0"/>
              <w:jc w:val="right"/>
              <w:rPr>
                <w:color w:val="000000"/>
                <w:sz w:val="22"/>
                <w:szCs w:val="22"/>
                <w:lang w:val="en-GB" w:eastAsia="en-GB"/>
              </w:rPr>
            </w:pPr>
            <w:r w:rsidRPr="004700D9">
              <w:rPr>
                <w:color w:val="000000"/>
                <w:sz w:val="22"/>
                <w:szCs w:val="22"/>
                <w:lang w:val="en-GB" w:eastAsia="en-GB"/>
              </w:rPr>
              <w:t>3.2%</w:t>
            </w:r>
          </w:p>
        </w:tc>
        <w:tc>
          <w:tcPr>
            <w:tcW w:w="1418" w:type="dxa"/>
          </w:tcPr>
          <w:p w14:paraId="3DA154E9" w14:textId="4BBD9AFD" w:rsidR="00480DF0" w:rsidRPr="004700D9" w:rsidRDefault="00D74124" w:rsidP="00480DF0">
            <w:pPr>
              <w:keepNext/>
              <w:spacing w:after="0"/>
              <w:jc w:val="right"/>
              <w:rPr>
                <w:color w:val="000000"/>
                <w:sz w:val="22"/>
                <w:szCs w:val="22"/>
                <w:lang w:val="en-GB" w:eastAsia="en-GB"/>
              </w:rPr>
            </w:pPr>
            <w:r w:rsidRPr="004700D9">
              <w:rPr>
                <w:color w:val="000000"/>
                <w:sz w:val="22"/>
                <w:szCs w:val="22"/>
                <w:lang w:val="en-GB" w:eastAsia="en-GB"/>
              </w:rPr>
              <w:t>55.6%</w:t>
            </w:r>
          </w:p>
        </w:tc>
        <w:tc>
          <w:tcPr>
            <w:tcW w:w="1276" w:type="dxa"/>
          </w:tcPr>
          <w:p w14:paraId="714355BE" w14:textId="02848AFF" w:rsidR="00480DF0" w:rsidRPr="004700D9" w:rsidRDefault="00D74124" w:rsidP="00480DF0">
            <w:pPr>
              <w:keepNext/>
              <w:spacing w:after="0"/>
              <w:jc w:val="right"/>
              <w:rPr>
                <w:color w:val="000000"/>
                <w:sz w:val="22"/>
                <w:szCs w:val="22"/>
                <w:lang w:val="en-GB" w:eastAsia="en-GB"/>
              </w:rPr>
            </w:pPr>
            <w:r w:rsidRPr="004700D9">
              <w:rPr>
                <w:color w:val="000000"/>
                <w:sz w:val="22"/>
                <w:szCs w:val="22"/>
                <w:lang w:val="en-GB" w:eastAsia="en-GB"/>
              </w:rPr>
              <w:t>88.3%</w:t>
            </w:r>
          </w:p>
        </w:tc>
        <w:tc>
          <w:tcPr>
            <w:tcW w:w="1564" w:type="dxa"/>
          </w:tcPr>
          <w:p w14:paraId="3F3D57D4" w14:textId="57694D40" w:rsidR="00480DF0" w:rsidRPr="004700D9" w:rsidRDefault="00D74124" w:rsidP="00480DF0">
            <w:pPr>
              <w:keepNext/>
              <w:spacing w:after="0"/>
              <w:jc w:val="right"/>
              <w:rPr>
                <w:color w:val="000000"/>
                <w:sz w:val="22"/>
                <w:szCs w:val="22"/>
                <w:lang w:val="en-GB" w:eastAsia="en-GB"/>
              </w:rPr>
            </w:pPr>
            <w:r w:rsidRPr="004700D9">
              <w:rPr>
                <w:color w:val="000000"/>
                <w:sz w:val="22"/>
                <w:szCs w:val="22"/>
                <w:lang w:val="en-GB" w:eastAsia="en-GB"/>
              </w:rPr>
              <w:t>94</w:t>
            </w:r>
          </w:p>
        </w:tc>
      </w:tr>
      <w:tr w:rsidR="00480DF0" w:rsidRPr="004700D9" w14:paraId="4DB9D701" w14:textId="79856FFA" w:rsidTr="004029C8">
        <w:tc>
          <w:tcPr>
            <w:tcW w:w="1828" w:type="dxa"/>
          </w:tcPr>
          <w:p w14:paraId="7318D9C8" w14:textId="71B1A8D9" w:rsidR="00480DF0" w:rsidRPr="004700D9" w:rsidRDefault="005A19F6" w:rsidP="00480DF0">
            <w:pPr>
              <w:keepNext/>
              <w:spacing w:after="0"/>
              <w:rPr>
                <w:b/>
                <w:color w:val="000000"/>
                <w:sz w:val="22"/>
                <w:szCs w:val="22"/>
              </w:rPr>
            </w:pPr>
            <w:r w:rsidRPr="004700D9">
              <w:rPr>
                <w:b/>
                <w:color w:val="000000"/>
                <w:sz w:val="22"/>
                <w:szCs w:val="22"/>
              </w:rPr>
              <w:t>Non-comm. 202</w:t>
            </w:r>
            <w:r w:rsidR="00AE206F" w:rsidRPr="004700D9">
              <w:rPr>
                <w:b/>
                <w:color w:val="000000"/>
                <w:sz w:val="22"/>
                <w:szCs w:val="22"/>
              </w:rPr>
              <w:t>1</w:t>
            </w:r>
          </w:p>
        </w:tc>
        <w:tc>
          <w:tcPr>
            <w:tcW w:w="1559" w:type="dxa"/>
          </w:tcPr>
          <w:p w14:paraId="7429B284" w14:textId="5D0FB8F7" w:rsidR="00480DF0" w:rsidRPr="004700D9" w:rsidRDefault="00F848E1" w:rsidP="00480DF0">
            <w:pPr>
              <w:spacing w:after="0"/>
              <w:jc w:val="right"/>
              <w:rPr>
                <w:rFonts w:cs="Arial"/>
                <w:bCs/>
                <w:color w:val="000000"/>
                <w:sz w:val="22"/>
                <w:szCs w:val="22"/>
                <w:lang w:eastAsia="en-IE"/>
              </w:rPr>
            </w:pPr>
            <w:r w:rsidRPr="004700D9">
              <w:rPr>
                <w:rFonts w:cs="Arial"/>
                <w:bCs/>
                <w:color w:val="000000"/>
                <w:sz w:val="22"/>
                <w:szCs w:val="22"/>
                <w:lang w:eastAsia="en-IE"/>
              </w:rPr>
              <w:t>138,871</w:t>
            </w:r>
          </w:p>
        </w:tc>
        <w:tc>
          <w:tcPr>
            <w:tcW w:w="1418" w:type="dxa"/>
          </w:tcPr>
          <w:p w14:paraId="7EB26EEE" w14:textId="2730FBDE" w:rsidR="00480DF0" w:rsidRPr="004700D9" w:rsidRDefault="00F848E1" w:rsidP="00480DF0">
            <w:pPr>
              <w:keepNext/>
              <w:spacing w:after="0"/>
              <w:jc w:val="right"/>
              <w:rPr>
                <w:color w:val="000000"/>
                <w:sz w:val="22"/>
                <w:szCs w:val="22"/>
                <w:lang w:val="en-GB" w:eastAsia="en-GB"/>
              </w:rPr>
            </w:pPr>
            <w:r w:rsidRPr="004700D9">
              <w:rPr>
                <w:color w:val="000000"/>
                <w:sz w:val="22"/>
                <w:szCs w:val="22"/>
                <w:lang w:val="en-GB" w:eastAsia="en-GB"/>
              </w:rPr>
              <w:t>3,440</w:t>
            </w:r>
          </w:p>
        </w:tc>
        <w:tc>
          <w:tcPr>
            <w:tcW w:w="1653" w:type="dxa"/>
          </w:tcPr>
          <w:p w14:paraId="1E569FC4" w14:textId="35633835" w:rsidR="00480DF0" w:rsidRPr="004700D9" w:rsidRDefault="00F848E1" w:rsidP="00480DF0">
            <w:pPr>
              <w:keepNext/>
              <w:spacing w:after="0"/>
              <w:jc w:val="right"/>
              <w:rPr>
                <w:color w:val="000000"/>
                <w:sz w:val="22"/>
                <w:szCs w:val="22"/>
                <w:lang w:val="en-GB" w:eastAsia="en-GB"/>
              </w:rPr>
            </w:pPr>
            <w:r w:rsidRPr="004700D9">
              <w:rPr>
                <w:color w:val="000000"/>
                <w:sz w:val="22"/>
                <w:szCs w:val="22"/>
                <w:lang w:val="en-GB" w:eastAsia="en-GB"/>
              </w:rPr>
              <w:t>2.5</w:t>
            </w:r>
            <w:r w:rsidR="00480DF0" w:rsidRPr="004700D9">
              <w:rPr>
                <w:color w:val="000000"/>
                <w:sz w:val="22"/>
                <w:szCs w:val="22"/>
                <w:lang w:val="en-GB" w:eastAsia="en-GB"/>
              </w:rPr>
              <w:t>%</w:t>
            </w:r>
          </w:p>
        </w:tc>
        <w:tc>
          <w:tcPr>
            <w:tcW w:w="1418" w:type="dxa"/>
          </w:tcPr>
          <w:p w14:paraId="7C3BED0E" w14:textId="673653C6" w:rsidR="00480DF0" w:rsidRPr="004700D9" w:rsidRDefault="005A19F6" w:rsidP="00480DF0">
            <w:pPr>
              <w:keepNext/>
              <w:spacing w:after="0"/>
              <w:jc w:val="right"/>
              <w:rPr>
                <w:color w:val="000000"/>
                <w:sz w:val="22"/>
                <w:szCs w:val="22"/>
                <w:lang w:val="en-GB" w:eastAsia="en-GB"/>
              </w:rPr>
            </w:pPr>
            <w:r w:rsidRPr="004700D9">
              <w:rPr>
                <w:color w:val="000000"/>
                <w:sz w:val="22"/>
                <w:szCs w:val="22"/>
                <w:lang w:val="en-GB" w:eastAsia="en-GB"/>
              </w:rPr>
              <w:t>5</w:t>
            </w:r>
            <w:r w:rsidR="00F848E1" w:rsidRPr="004700D9">
              <w:rPr>
                <w:color w:val="000000"/>
                <w:sz w:val="22"/>
                <w:szCs w:val="22"/>
                <w:lang w:val="en-GB" w:eastAsia="en-GB"/>
              </w:rPr>
              <w:t>5.2</w:t>
            </w:r>
            <w:r w:rsidR="00480DF0" w:rsidRPr="004700D9">
              <w:rPr>
                <w:color w:val="000000"/>
                <w:sz w:val="22"/>
                <w:szCs w:val="22"/>
                <w:lang w:val="en-GB" w:eastAsia="en-GB"/>
              </w:rPr>
              <w:t>%</w:t>
            </w:r>
          </w:p>
        </w:tc>
        <w:tc>
          <w:tcPr>
            <w:tcW w:w="1276" w:type="dxa"/>
          </w:tcPr>
          <w:p w14:paraId="22021D89" w14:textId="5BA7AEF8" w:rsidR="00480DF0" w:rsidRPr="004700D9" w:rsidRDefault="005A19F6" w:rsidP="00480DF0">
            <w:pPr>
              <w:keepNext/>
              <w:spacing w:after="0"/>
              <w:jc w:val="right"/>
              <w:rPr>
                <w:color w:val="000000"/>
                <w:sz w:val="22"/>
                <w:szCs w:val="22"/>
                <w:lang w:val="en-GB" w:eastAsia="en-GB"/>
              </w:rPr>
            </w:pPr>
            <w:r w:rsidRPr="004700D9">
              <w:rPr>
                <w:color w:val="000000"/>
                <w:sz w:val="22"/>
                <w:szCs w:val="22"/>
                <w:lang w:val="en-GB" w:eastAsia="en-GB"/>
              </w:rPr>
              <w:t>8</w:t>
            </w:r>
            <w:r w:rsidR="00F848E1" w:rsidRPr="004700D9">
              <w:rPr>
                <w:color w:val="000000"/>
                <w:sz w:val="22"/>
                <w:szCs w:val="22"/>
                <w:lang w:val="en-GB" w:eastAsia="en-GB"/>
              </w:rPr>
              <w:t>3</w:t>
            </w:r>
            <w:r w:rsidRPr="004700D9">
              <w:rPr>
                <w:color w:val="000000"/>
                <w:sz w:val="22"/>
                <w:szCs w:val="22"/>
                <w:lang w:val="en-GB" w:eastAsia="en-GB"/>
              </w:rPr>
              <w:t>.0</w:t>
            </w:r>
            <w:r w:rsidR="00480DF0" w:rsidRPr="004700D9">
              <w:rPr>
                <w:color w:val="000000"/>
                <w:sz w:val="22"/>
                <w:szCs w:val="22"/>
                <w:lang w:val="en-GB" w:eastAsia="en-GB"/>
              </w:rPr>
              <w:t>%</w:t>
            </w:r>
          </w:p>
        </w:tc>
        <w:tc>
          <w:tcPr>
            <w:tcW w:w="1564" w:type="dxa"/>
          </w:tcPr>
          <w:p w14:paraId="4633D687" w14:textId="7F77DA23" w:rsidR="00480DF0" w:rsidRPr="004700D9" w:rsidRDefault="00480DF0" w:rsidP="00480DF0">
            <w:pPr>
              <w:keepNext/>
              <w:spacing w:after="0"/>
              <w:jc w:val="right"/>
              <w:rPr>
                <w:color w:val="000000"/>
                <w:sz w:val="22"/>
                <w:szCs w:val="22"/>
                <w:lang w:val="en-GB" w:eastAsia="en-GB"/>
              </w:rPr>
            </w:pPr>
            <w:r w:rsidRPr="004700D9">
              <w:rPr>
                <w:color w:val="000000"/>
                <w:sz w:val="22"/>
                <w:szCs w:val="22"/>
                <w:lang w:val="en-GB" w:eastAsia="en-GB"/>
              </w:rPr>
              <w:t>9</w:t>
            </w:r>
            <w:r w:rsidR="00F848E1" w:rsidRPr="004700D9">
              <w:rPr>
                <w:color w:val="000000"/>
                <w:sz w:val="22"/>
                <w:szCs w:val="22"/>
                <w:lang w:val="en-GB" w:eastAsia="en-GB"/>
              </w:rPr>
              <w:t>4</w:t>
            </w:r>
          </w:p>
        </w:tc>
      </w:tr>
      <w:tr w:rsidR="00480DF0" w:rsidRPr="004700D9" w14:paraId="0AFF4ACF" w14:textId="35C750E5" w:rsidTr="004029C8">
        <w:tc>
          <w:tcPr>
            <w:tcW w:w="1828" w:type="dxa"/>
          </w:tcPr>
          <w:p w14:paraId="6D7A12A8" w14:textId="5DE9DCB5" w:rsidR="00480DF0" w:rsidRPr="004700D9" w:rsidRDefault="0072463C" w:rsidP="00480DF0">
            <w:pPr>
              <w:keepNext/>
              <w:spacing w:after="0"/>
              <w:rPr>
                <w:b/>
                <w:color w:val="000000"/>
                <w:sz w:val="22"/>
                <w:szCs w:val="22"/>
              </w:rPr>
            </w:pPr>
            <w:r w:rsidRPr="004700D9">
              <w:rPr>
                <w:b/>
                <w:color w:val="000000"/>
                <w:sz w:val="22"/>
                <w:szCs w:val="22"/>
              </w:rPr>
              <w:t>Change 202</w:t>
            </w:r>
            <w:r w:rsidR="00AE206F" w:rsidRPr="004700D9">
              <w:rPr>
                <w:b/>
                <w:color w:val="000000"/>
                <w:sz w:val="22"/>
                <w:szCs w:val="22"/>
              </w:rPr>
              <w:t>1</w:t>
            </w:r>
            <w:r w:rsidR="00F81913" w:rsidRPr="004700D9">
              <w:rPr>
                <w:b/>
                <w:color w:val="000000"/>
                <w:sz w:val="22"/>
                <w:szCs w:val="22"/>
              </w:rPr>
              <w:t>/202</w:t>
            </w:r>
            <w:r w:rsidR="00AE206F" w:rsidRPr="004700D9">
              <w:rPr>
                <w:b/>
                <w:color w:val="000000"/>
                <w:sz w:val="22"/>
                <w:szCs w:val="22"/>
              </w:rPr>
              <w:t>2</w:t>
            </w:r>
          </w:p>
        </w:tc>
        <w:tc>
          <w:tcPr>
            <w:tcW w:w="1559" w:type="dxa"/>
          </w:tcPr>
          <w:p w14:paraId="7F2ABA4D" w14:textId="1E1D37D8" w:rsidR="00480DF0" w:rsidRPr="004700D9" w:rsidRDefault="00971095" w:rsidP="005A19F6">
            <w:pPr>
              <w:keepNext/>
              <w:spacing w:after="0"/>
              <w:jc w:val="right"/>
              <w:rPr>
                <w:b/>
                <w:color w:val="000000"/>
                <w:sz w:val="22"/>
                <w:szCs w:val="22"/>
                <w:lang w:val="en-GB" w:eastAsia="en-GB"/>
              </w:rPr>
            </w:pPr>
            <w:r w:rsidRPr="004700D9">
              <w:rPr>
                <w:b/>
                <w:color w:val="000000"/>
                <w:sz w:val="22"/>
                <w:szCs w:val="22"/>
                <w:lang w:val="en-GB" w:eastAsia="en-GB"/>
              </w:rPr>
              <w:t>+</w:t>
            </w:r>
            <w:r w:rsidR="00D74124" w:rsidRPr="004700D9">
              <w:rPr>
                <w:b/>
                <w:color w:val="000000"/>
                <w:sz w:val="22"/>
                <w:szCs w:val="22"/>
                <w:lang w:val="en-GB" w:eastAsia="en-GB"/>
              </w:rPr>
              <w:t>5,931</w:t>
            </w:r>
          </w:p>
        </w:tc>
        <w:tc>
          <w:tcPr>
            <w:tcW w:w="1418" w:type="dxa"/>
          </w:tcPr>
          <w:p w14:paraId="253A252B" w14:textId="77043C4F" w:rsidR="00480DF0" w:rsidRPr="004700D9" w:rsidRDefault="00971095" w:rsidP="00480DF0">
            <w:pPr>
              <w:keepNext/>
              <w:spacing w:after="0"/>
              <w:jc w:val="right"/>
              <w:rPr>
                <w:b/>
                <w:color w:val="000000"/>
                <w:sz w:val="22"/>
                <w:szCs w:val="22"/>
                <w:lang w:val="en-GB" w:eastAsia="en-GB"/>
              </w:rPr>
            </w:pPr>
            <w:r w:rsidRPr="004700D9">
              <w:rPr>
                <w:b/>
                <w:color w:val="000000"/>
                <w:sz w:val="22"/>
                <w:szCs w:val="22"/>
                <w:lang w:val="en-GB" w:eastAsia="en-GB"/>
              </w:rPr>
              <w:t>+</w:t>
            </w:r>
            <w:r w:rsidR="00D74124" w:rsidRPr="004700D9">
              <w:rPr>
                <w:b/>
                <w:color w:val="000000"/>
                <w:sz w:val="22"/>
                <w:szCs w:val="22"/>
                <w:lang w:val="en-GB" w:eastAsia="en-GB"/>
              </w:rPr>
              <w:t>1</w:t>
            </w:r>
            <w:r w:rsidR="0091706D" w:rsidRPr="004700D9">
              <w:rPr>
                <w:b/>
                <w:color w:val="000000"/>
                <w:sz w:val="22"/>
                <w:szCs w:val="22"/>
                <w:lang w:val="en-GB" w:eastAsia="en-GB"/>
              </w:rPr>
              <w:t>,</w:t>
            </w:r>
            <w:r w:rsidR="00D74124" w:rsidRPr="004700D9">
              <w:rPr>
                <w:b/>
                <w:color w:val="000000"/>
                <w:sz w:val="22"/>
                <w:szCs w:val="22"/>
                <w:lang w:val="en-GB" w:eastAsia="en-GB"/>
              </w:rPr>
              <w:t>184</w:t>
            </w:r>
          </w:p>
        </w:tc>
        <w:tc>
          <w:tcPr>
            <w:tcW w:w="1653" w:type="dxa"/>
          </w:tcPr>
          <w:p w14:paraId="42B0AC93" w14:textId="146C111D" w:rsidR="00480DF0" w:rsidRPr="004700D9" w:rsidRDefault="00971095" w:rsidP="00480DF0">
            <w:pPr>
              <w:keepNext/>
              <w:spacing w:after="0"/>
              <w:jc w:val="right"/>
              <w:rPr>
                <w:b/>
                <w:color w:val="000000"/>
                <w:sz w:val="22"/>
                <w:szCs w:val="22"/>
                <w:lang w:val="en-GB" w:eastAsia="en-GB"/>
              </w:rPr>
            </w:pPr>
            <w:r w:rsidRPr="004700D9">
              <w:rPr>
                <w:b/>
                <w:color w:val="000000"/>
                <w:sz w:val="22"/>
                <w:szCs w:val="22"/>
                <w:lang w:val="en-GB" w:eastAsia="en-GB"/>
              </w:rPr>
              <w:t>+</w:t>
            </w:r>
            <w:r w:rsidR="00D74124" w:rsidRPr="004700D9">
              <w:rPr>
                <w:b/>
                <w:color w:val="000000"/>
                <w:sz w:val="22"/>
                <w:szCs w:val="22"/>
                <w:lang w:val="en-GB" w:eastAsia="en-GB"/>
              </w:rPr>
              <w:t>0.7%</w:t>
            </w:r>
          </w:p>
        </w:tc>
        <w:tc>
          <w:tcPr>
            <w:tcW w:w="1418" w:type="dxa"/>
          </w:tcPr>
          <w:p w14:paraId="0ED967F6" w14:textId="15EE0117" w:rsidR="00480DF0" w:rsidRPr="004700D9" w:rsidRDefault="00971095" w:rsidP="00480DF0">
            <w:pPr>
              <w:keepNext/>
              <w:spacing w:after="0"/>
              <w:jc w:val="right"/>
              <w:rPr>
                <w:b/>
                <w:color w:val="000000"/>
                <w:sz w:val="22"/>
                <w:szCs w:val="22"/>
                <w:lang w:val="en-GB" w:eastAsia="en-GB"/>
              </w:rPr>
            </w:pPr>
            <w:r w:rsidRPr="004700D9">
              <w:rPr>
                <w:b/>
                <w:color w:val="000000"/>
                <w:sz w:val="22"/>
                <w:szCs w:val="22"/>
                <w:lang w:val="en-GB" w:eastAsia="en-GB"/>
              </w:rPr>
              <w:t>+</w:t>
            </w:r>
            <w:r w:rsidR="00D74124" w:rsidRPr="004700D9">
              <w:rPr>
                <w:b/>
                <w:color w:val="000000"/>
                <w:sz w:val="22"/>
                <w:szCs w:val="22"/>
                <w:lang w:val="en-GB" w:eastAsia="en-GB"/>
              </w:rPr>
              <w:t>0.4</w:t>
            </w:r>
            <w:r w:rsidRPr="004700D9">
              <w:rPr>
                <w:b/>
                <w:color w:val="000000"/>
                <w:sz w:val="22"/>
                <w:szCs w:val="22"/>
                <w:lang w:val="en-GB" w:eastAsia="en-GB"/>
              </w:rPr>
              <w:t>%</w:t>
            </w:r>
          </w:p>
        </w:tc>
        <w:tc>
          <w:tcPr>
            <w:tcW w:w="1276" w:type="dxa"/>
          </w:tcPr>
          <w:p w14:paraId="4575F2B4" w14:textId="66AC7EDC" w:rsidR="00480DF0" w:rsidRPr="004700D9" w:rsidRDefault="00971095" w:rsidP="00480DF0">
            <w:pPr>
              <w:keepNext/>
              <w:spacing w:after="0"/>
              <w:jc w:val="right"/>
              <w:rPr>
                <w:b/>
                <w:color w:val="000000"/>
                <w:sz w:val="22"/>
                <w:szCs w:val="22"/>
                <w:lang w:val="en-GB" w:eastAsia="en-GB"/>
              </w:rPr>
            </w:pPr>
            <w:r w:rsidRPr="004700D9">
              <w:rPr>
                <w:b/>
                <w:color w:val="000000"/>
                <w:sz w:val="22"/>
                <w:szCs w:val="22"/>
                <w:lang w:val="en-GB" w:eastAsia="en-GB"/>
              </w:rPr>
              <w:t>+</w:t>
            </w:r>
            <w:r w:rsidR="00D74124" w:rsidRPr="004700D9">
              <w:rPr>
                <w:b/>
                <w:color w:val="000000"/>
                <w:sz w:val="22"/>
                <w:szCs w:val="22"/>
                <w:lang w:val="en-GB" w:eastAsia="en-GB"/>
              </w:rPr>
              <w:t>5.3%</w:t>
            </w:r>
          </w:p>
        </w:tc>
        <w:tc>
          <w:tcPr>
            <w:tcW w:w="1564" w:type="dxa"/>
          </w:tcPr>
          <w:p w14:paraId="58ECAEEB" w14:textId="7DC5648A" w:rsidR="00480DF0" w:rsidRPr="004700D9" w:rsidRDefault="00D74124" w:rsidP="005A19F6">
            <w:pPr>
              <w:keepNext/>
              <w:spacing w:after="0"/>
              <w:jc w:val="right"/>
              <w:rPr>
                <w:b/>
                <w:color w:val="000000"/>
                <w:sz w:val="22"/>
                <w:szCs w:val="22"/>
                <w:lang w:val="en-GB" w:eastAsia="en-GB"/>
              </w:rPr>
            </w:pPr>
            <w:r w:rsidRPr="004700D9">
              <w:rPr>
                <w:b/>
                <w:color w:val="000000"/>
                <w:sz w:val="22"/>
                <w:szCs w:val="22"/>
                <w:lang w:val="en-GB" w:eastAsia="en-GB"/>
              </w:rPr>
              <w:t>0</w:t>
            </w:r>
          </w:p>
        </w:tc>
      </w:tr>
      <w:tr w:rsidR="004029C8" w:rsidRPr="004700D9" w14:paraId="0E310409" w14:textId="77777777" w:rsidTr="004029C8">
        <w:tc>
          <w:tcPr>
            <w:tcW w:w="1828" w:type="dxa"/>
          </w:tcPr>
          <w:p w14:paraId="4220D71C" w14:textId="77777777" w:rsidR="004029C8" w:rsidRPr="004700D9" w:rsidRDefault="004029C8" w:rsidP="00480DF0">
            <w:pPr>
              <w:keepNext/>
              <w:spacing w:after="0"/>
              <w:rPr>
                <w:b/>
                <w:color w:val="000000"/>
                <w:sz w:val="22"/>
                <w:szCs w:val="22"/>
              </w:rPr>
            </w:pPr>
          </w:p>
        </w:tc>
        <w:tc>
          <w:tcPr>
            <w:tcW w:w="1559" w:type="dxa"/>
          </w:tcPr>
          <w:p w14:paraId="00E914BC" w14:textId="77777777" w:rsidR="004029C8" w:rsidRPr="004700D9" w:rsidRDefault="004029C8" w:rsidP="005A19F6">
            <w:pPr>
              <w:keepNext/>
              <w:spacing w:after="0"/>
              <w:jc w:val="right"/>
              <w:rPr>
                <w:b/>
                <w:color w:val="000000"/>
                <w:sz w:val="22"/>
                <w:szCs w:val="22"/>
                <w:lang w:val="en-GB" w:eastAsia="en-GB"/>
              </w:rPr>
            </w:pPr>
          </w:p>
        </w:tc>
        <w:tc>
          <w:tcPr>
            <w:tcW w:w="1418" w:type="dxa"/>
          </w:tcPr>
          <w:p w14:paraId="08CD0F52" w14:textId="77777777" w:rsidR="004029C8" w:rsidRPr="004700D9" w:rsidRDefault="004029C8" w:rsidP="00480DF0">
            <w:pPr>
              <w:keepNext/>
              <w:spacing w:after="0"/>
              <w:jc w:val="right"/>
              <w:rPr>
                <w:b/>
                <w:color w:val="000000"/>
                <w:sz w:val="22"/>
                <w:szCs w:val="22"/>
                <w:lang w:val="en-GB" w:eastAsia="en-GB"/>
              </w:rPr>
            </w:pPr>
          </w:p>
        </w:tc>
        <w:tc>
          <w:tcPr>
            <w:tcW w:w="1653" w:type="dxa"/>
          </w:tcPr>
          <w:p w14:paraId="3DD177E9" w14:textId="77777777" w:rsidR="004029C8" w:rsidRPr="004700D9" w:rsidRDefault="004029C8" w:rsidP="00480DF0">
            <w:pPr>
              <w:keepNext/>
              <w:spacing w:after="0"/>
              <w:jc w:val="right"/>
              <w:rPr>
                <w:b/>
                <w:color w:val="000000"/>
                <w:sz w:val="22"/>
                <w:szCs w:val="22"/>
                <w:lang w:val="en-GB" w:eastAsia="en-GB"/>
              </w:rPr>
            </w:pPr>
          </w:p>
        </w:tc>
        <w:tc>
          <w:tcPr>
            <w:tcW w:w="1418" w:type="dxa"/>
          </w:tcPr>
          <w:p w14:paraId="27F1F0B0" w14:textId="77777777" w:rsidR="004029C8" w:rsidRPr="004700D9" w:rsidRDefault="004029C8" w:rsidP="00480DF0">
            <w:pPr>
              <w:keepNext/>
              <w:spacing w:after="0"/>
              <w:jc w:val="right"/>
              <w:rPr>
                <w:b/>
                <w:color w:val="000000"/>
                <w:sz w:val="22"/>
                <w:szCs w:val="22"/>
                <w:lang w:val="en-GB" w:eastAsia="en-GB"/>
              </w:rPr>
            </w:pPr>
          </w:p>
        </w:tc>
        <w:tc>
          <w:tcPr>
            <w:tcW w:w="1276" w:type="dxa"/>
          </w:tcPr>
          <w:p w14:paraId="07AB533A" w14:textId="77777777" w:rsidR="004029C8" w:rsidRPr="004700D9" w:rsidRDefault="004029C8" w:rsidP="00480DF0">
            <w:pPr>
              <w:keepNext/>
              <w:spacing w:after="0"/>
              <w:jc w:val="right"/>
              <w:rPr>
                <w:b/>
                <w:color w:val="000000"/>
                <w:sz w:val="22"/>
                <w:szCs w:val="22"/>
                <w:lang w:val="en-GB" w:eastAsia="en-GB"/>
              </w:rPr>
            </w:pPr>
          </w:p>
        </w:tc>
        <w:tc>
          <w:tcPr>
            <w:tcW w:w="1564" w:type="dxa"/>
          </w:tcPr>
          <w:p w14:paraId="52A48FE4" w14:textId="77777777" w:rsidR="004029C8" w:rsidRPr="004700D9" w:rsidRDefault="004029C8" w:rsidP="005A19F6">
            <w:pPr>
              <w:keepNext/>
              <w:spacing w:after="0"/>
              <w:jc w:val="right"/>
              <w:rPr>
                <w:b/>
                <w:color w:val="000000"/>
                <w:sz w:val="22"/>
                <w:szCs w:val="22"/>
                <w:lang w:val="en-GB" w:eastAsia="en-GB"/>
              </w:rPr>
            </w:pPr>
          </w:p>
        </w:tc>
      </w:tr>
      <w:tr w:rsidR="00480DF0" w:rsidRPr="004700D9" w14:paraId="1DA9E52F" w14:textId="7855D0DB" w:rsidTr="004029C8">
        <w:tc>
          <w:tcPr>
            <w:tcW w:w="1828" w:type="dxa"/>
          </w:tcPr>
          <w:p w14:paraId="549CD976" w14:textId="4AAD165E" w:rsidR="00480DF0" w:rsidRPr="004700D9" w:rsidRDefault="00F81913" w:rsidP="006E0F84">
            <w:pPr>
              <w:keepNext/>
              <w:spacing w:after="0"/>
              <w:rPr>
                <w:b/>
                <w:color w:val="000000"/>
                <w:sz w:val="22"/>
                <w:szCs w:val="22"/>
              </w:rPr>
            </w:pPr>
            <w:r w:rsidRPr="004700D9">
              <w:rPr>
                <w:b/>
                <w:color w:val="000000"/>
                <w:sz w:val="22"/>
                <w:szCs w:val="22"/>
              </w:rPr>
              <w:t>PBCS 202</w:t>
            </w:r>
            <w:r w:rsidR="004247D8" w:rsidRPr="004700D9">
              <w:rPr>
                <w:b/>
                <w:color w:val="000000"/>
                <w:sz w:val="22"/>
                <w:szCs w:val="22"/>
              </w:rPr>
              <w:t>2</w:t>
            </w:r>
          </w:p>
        </w:tc>
        <w:tc>
          <w:tcPr>
            <w:tcW w:w="1559" w:type="dxa"/>
          </w:tcPr>
          <w:p w14:paraId="22237F66" w14:textId="40966EFA"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17,385</w:t>
            </w:r>
          </w:p>
        </w:tc>
        <w:tc>
          <w:tcPr>
            <w:tcW w:w="1418" w:type="dxa"/>
          </w:tcPr>
          <w:p w14:paraId="46DB3423" w14:textId="72E0D2C8" w:rsidR="00480DF0" w:rsidRPr="004700D9" w:rsidRDefault="00144BC8" w:rsidP="00144BC8">
            <w:pPr>
              <w:keepNext/>
              <w:spacing w:after="0"/>
              <w:jc w:val="right"/>
              <w:rPr>
                <w:color w:val="000000"/>
                <w:sz w:val="22"/>
                <w:szCs w:val="22"/>
                <w:lang w:val="en-GB" w:eastAsia="en-GB"/>
              </w:rPr>
            </w:pPr>
            <w:r w:rsidRPr="004700D9">
              <w:rPr>
                <w:color w:val="000000"/>
                <w:sz w:val="22"/>
                <w:szCs w:val="22"/>
                <w:lang w:val="en-GB" w:eastAsia="en-GB"/>
              </w:rPr>
              <w:t>936</w:t>
            </w:r>
          </w:p>
        </w:tc>
        <w:tc>
          <w:tcPr>
            <w:tcW w:w="1653" w:type="dxa"/>
          </w:tcPr>
          <w:p w14:paraId="626BF283" w14:textId="77043187"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5.4%</w:t>
            </w:r>
          </w:p>
        </w:tc>
        <w:tc>
          <w:tcPr>
            <w:tcW w:w="1418" w:type="dxa"/>
          </w:tcPr>
          <w:p w14:paraId="62437696" w14:textId="7C2CC33E"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6.7%</w:t>
            </w:r>
          </w:p>
        </w:tc>
        <w:tc>
          <w:tcPr>
            <w:tcW w:w="1276" w:type="dxa"/>
          </w:tcPr>
          <w:p w14:paraId="51294104" w14:textId="07FE8F05"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85.0%</w:t>
            </w:r>
          </w:p>
        </w:tc>
        <w:tc>
          <w:tcPr>
            <w:tcW w:w="1564" w:type="dxa"/>
          </w:tcPr>
          <w:p w14:paraId="36B01F34" w14:textId="3E7DD152"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40</w:t>
            </w:r>
          </w:p>
        </w:tc>
      </w:tr>
      <w:tr w:rsidR="00480DF0" w:rsidRPr="004700D9" w14:paraId="20BD8BC9" w14:textId="4AB76AC3" w:rsidTr="004029C8">
        <w:tc>
          <w:tcPr>
            <w:tcW w:w="1828" w:type="dxa"/>
          </w:tcPr>
          <w:p w14:paraId="19CA0701" w14:textId="470766B0" w:rsidR="00480DF0" w:rsidRPr="004700D9" w:rsidRDefault="0072463C" w:rsidP="00480DF0">
            <w:pPr>
              <w:keepNext/>
              <w:spacing w:after="0"/>
              <w:rPr>
                <w:b/>
                <w:color w:val="000000"/>
                <w:sz w:val="22"/>
                <w:szCs w:val="22"/>
              </w:rPr>
            </w:pPr>
            <w:r w:rsidRPr="004700D9">
              <w:rPr>
                <w:b/>
                <w:color w:val="000000"/>
                <w:sz w:val="22"/>
                <w:szCs w:val="22"/>
              </w:rPr>
              <w:t>PBCS 202</w:t>
            </w:r>
            <w:r w:rsidR="004247D8" w:rsidRPr="004700D9">
              <w:rPr>
                <w:b/>
                <w:color w:val="000000"/>
                <w:sz w:val="22"/>
                <w:szCs w:val="22"/>
              </w:rPr>
              <w:t>1</w:t>
            </w:r>
          </w:p>
        </w:tc>
        <w:tc>
          <w:tcPr>
            <w:tcW w:w="1559" w:type="dxa"/>
          </w:tcPr>
          <w:p w14:paraId="3CE37F19" w14:textId="1E6D765D" w:rsidR="00480DF0" w:rsidRPr="004700D9" w:rsidRDefault="00480DF0" w:rsidP="00480DF0">
            <w:pPr>
              <w:keepNext/>
              <w:spacing w:after="0"/>
              <w:jc w:val="right"/>
              <w:rPr>
                <w:rFonts w:cs="Arial"/>
                <w:bCs/>
                <w:color w:val="000000"/>
                <w:sz w:val="22"/>
                <w:szCs w:val="22"/>
              </w:rPr>
            </w:pPr>
            <w:r w:rsidRPr="004700D9">
              <w:rPr>
                <w:rFonts w:cs="Arial"/>
                <w:bCs/>
                <w:color w:val="000000"/>
                <w:sz w:val="22"/>
                <w:szCs w:val="22"/>
              </w:rPr>
              <w:t>16,</w:t>
            </w:r>
            <w:r w:rsidR="00DF2EBC" w:rsidRPr="004700D9">
              <w:rPr>
                <w:rFonts w:cs="Arial"/>
                <w:bCs/>
                <w:color w:val="000000"/>
                <w:sz w:val="22"/>
                <w:szCs w:val="22"/>
              </w:rPr>
              <w:t>7</w:t>
            </w:r>
            <w:r w:rsidR="004247D8" w:rsidRPr="004700D9">
              <w:rPr>
                <w:rFonts w:cs="Arial"/>
                <w:bCs/>
                <w:color w:val="000000"/>
                <w:sz w:val="22"/>
                <w:szCs w:val="22"/>
              </w:rPr>
              <w:t>25</w:t>
            </w:r>
          </w:p>
          <w:p w14:paraId="7A87335B" w14:textId="77777777" w:rsidR="00480DF0" w:rsidRPr="004700D9" w:rsidRDefault="00480DF0" w:rsidP="00480DF0">
            <w:pPr>
              <w:keepNext/>
              <w:spacing w:after="0"/>
              <w:jc w:val="right"/>
              <w:rPr>
                <w:color w:val="000000"/>
                <w:sz w:val="22"/>
                <w:szCs w:val="22"/>
                <w:lang w:val="en-GB" w:eastAsia="en-GB"/>
              </w:rPr>
            </w:pPr>
          </w:p>
        </w:tc>
        <w:tc>
          <w:tcPr>
            <w:tcW w:w="1418" w:type="dxa"/>
          </w:tcPr>
          <w:p w14:paraId="2FCA20F9" w14:textId="29FC6B5C" w:rsidR="00480DF0" w:rsidRPr="004700D9" w:rsidRDefault="00DF2EBC" w:rsidP="00480DF0">
            <w:pPr>
              <w:keepNext/>
              <w:spacing w:after="0"/>
              <w:jc w:val="right"/>
              <w:rPr>
                <w:color w:val="000000"/>
                <w:sz w:val="22"/>
                <w:szCs w:val="22"/>
                <w:lang w:val="en-GB" w:eastAsia="en-GB"/>
              </w:rPr>
            </w:pPr>
            <w:r w:rsidRPr="004700D9">
              <w:rPr>
                <w:rFonts w:cs="Arial"/>
                <w:bCs/>
                <w:color w:val="000000"/>
                <w:sz w:val="22"/>
                <w:szCs w:val="22"/>
              </w:rPr>
              <w:t>77</w:t>
            </w:r>
            <w:r w:rsidR="004247D8" w:rsidRPr="004700D9">
              <w:rPr>
                <w:rFonts w:cs="Arial"/>
                <w:bCs/>
                <w:color w:val="000000"/>
                <w:sz w:val="22"/>
                <w:szCs w:val="22"/>
              </w:rPr>
              <w:t>3</w:t>
            </w:r>
          </w:p>
        </w:tc>
        <w:tc>
          <w:tcPr>
            <w:tcW w:w="1653" w:type="dxa"/>
          </w:tcPr>
          <w:p w14:paraId="785FAE1F" w14:textId="0F89B17D" w:rsidR="00480DF0" w:rsidRPr="004700D9" w:rsidRDefault="00DF2EBC" w:rsidP="00480DF0">
            <w:pPr>
              <w:keepNext/>
              <w:spacing w:after="0"/>
              <w:jc w:val="right"/>
              <w:rPr>
                <w:color w:val="000000"/>
                <w:sz w:val="22"/>
                <w:szCs w:val="22"/>
                <w:lang w:val="en-GB" w:eastAsia="en-GB"/>
              </w:rPr>
            </w:pPr>
            <w:r w:rsidRPr="004700D9">
              <w:rPr>
                <w:rFonts w:cs="Arial"/>
                <w:bCs/>
                <w:sz w:val="22"/>
                <w:szCs w:val="22"/>
              </w:rPr>
              <w:t>4.</w:t>
            </w:r>
            <w:r w:rsidR="004247D8" w:rsidRPr="004700D9">
              <w:rPr>
                <w:rFonts w:cs="Arial"/>
                <w:bCs/>
                <w:sz w:val="22"/>
                <w:szCs w:val="22"/>
              </w:rPr>
              <w:t>6</w:t>
            </w:r>
            <w:r w:rsidR="00480DF0" w:rsidRPr="004700D9">
              <w:rPr>
                <w:rFonts w:cs="Arial"/>
                <w:bCs/>
                <w:sz w:val="22"/>
                <w:szCs w:val="22"/>
              </w:rPr>
              <w:t>%</w:t>
            </w:r>
          </w:p>
        </w:tc>
        <w:tc>
          <w:tcPr>
            <w:tcW w:w="1418" w:type="dxa"/>
          </w:tcPr>
          <w:p w14:paraId="09A7C7E9" w14:textId="0B071602" w:rsidR="00480DF0" w:rsidRPr="004700D9" w:rsidRDefault="00DF2EBC" w:rsidP="00480DF0">
            <w:pPr>
              <w:keepNext/>
              <w:spacing w:after="0"/>
              <w:jc w:val="right"/>
              <w:rPr>
                <w:color w:val="000000"/>
                <w:sz w:val="22"/>
                <w:szCs w:val="22"/>
                <w:lang w:val="en-GB" w:eastAsia="en-GB"/>
              </w:rPr>
            </w:pPr>
            <w:r w:rsidRPr="004700D9">
              <w:rPr>
                <w:rFonts w:cs="Arial"/>
                <w:bCs/>
                <w:sz w:val="22"/>
                <w:szCs w:val="22"/>
              </w:rPr>
              <w:t>6.</w:t>
            </w:r>
            <w:r w:rsidR="004247D8" w:rsidRPr="004700D9">
              <w:rPr>
                <w:rFonts w:cs="Arial"/>
                <w:bCs/>
                <w:sz w:val="22"/>
                <w:szCs w:val="22"/>
              </w:rPr>
              <w:t>6</w:t>
            </w:r>
            <w:r w:rsidR="00480DF0" w:rsidRPr="004700D9">
              <w:rPr>
                <w:rFonts w:cs="Arial"/>
                <w:bCs/>
                <w:sz w:val="22"/>
                <w:szCs w:val="22"/>
              </w:rPr>
              <w:t>%</w:t>
            </w:r>
          </w:p>
        </w:tc>
        <w:tc>
          <w:tcPr>
            <w:tcW w:w="1276" w:type="dxa"/>
          </w:tcPr>
          <w:p w14:paraId="04ACF7CF" w14:textId="002D2E37" w:rsidR="00480DF0" w:rsidRPr="004700D9" w:rsidRDefault="00DF2EBC" w:rsidP="00480DF0">
            <w:pPr>
              <w:keepNext/>
              <w:spacing w:after="0"/>
              <w:jc w:val="right"/>
              <w:rPr>
                <w:color w:val="000000"/>
                <w:sz w:val="22"/>
                <w:szCs w:val="22"/>
                <w:lang w:val="en-GB" w:eastAsia="en-GB"/>
              </w:rPr>
            </w:pPr>
            <w:r w:rsidRPr="004700D9">
              <w:rPr>
                <w:rFonts w:cs="Arial"/>
                <w:bCs/>
                <w:sz w:val="22"/>
                <w:szCs w:val="22"/>
              </w:rPr>
              <w:t>8</w:t>
            </w:r>
            <w:r w:rsidR="004247D8" w:rsidRPr="004700D9">
              <w:rPr>
                <w:rFonts w:cs="Arial"/>
                <w:bCs/>
                <w:sz w:val="22"/>
                <w:szCs w:val="22"/>
              </w:rPr>
              <w:t>0</w:t>
            </w:r>
            <w:r w:rsidRPr="004700D9">
              <w:rPr>
                <w:rFonts w:cs="Arial"/>
                <w:bCs/>
                <w:sz w:val="22"/>
                <w:szCs w:val="22"/>
              </w:rPr>
              <w:t>.</w:t>
            </w:r>
            <w:r w:rsidR="004247D8" w:rsidRPr="004700D9">
              <w:rPr>
                <w:rFonts w:cs="Arial"/>
                <w:bCs/>
                <w:sz w:val="22"/>
                <w:szCs w:val="22"/>
              </w:rPr>
              <w:t>0</w:t>
            </w:r>
            <w:r w:rsidR="00480DF0" w:rsidRPr="004700D9">
              <w:rPr>
                <w:rFonts w:cs="Arial"/>
                <w:bCs/>
                <w:sz w:val="22"/>
                <w:szCs w:val="22"/>
              </w:rPr>
              <w:t>%</w:t>
            </w:r>
          </w:p>
        </w:tc>
        <w:tc>
          <w:tcPr>
            <w:tcW w:w="1564" w:type="dxa"/>
          </w:tcPr>
          <w:p w14:paraId="7AAB8295" w14:textId="14C4CD43" w:rsidR="00480DF0" w:rsidRPr="004700D9" w:rsidRDefault="00DF2EBC" w:rsidP="00480DF0">
            <w:pPr>
              <w:keepNext/>
              <w:spacing w:after="0"/>
              <w:jc w:val="right"/>
              <w:rPr>
                <w:color w:val="000000"/>
                <w:sz w:val="22"/>
                <w:szCs w:val="22"/>
                <w:lang w:val="en-GB" w:eastAsia="en-GB"/>
              </w:rPr>
            </w:pPr>
            <w:r w:rsidRPr="004700D9">
              <w:rPr>
                <w:rFonts w:cs="Arial"/>
                <w:bCs/>
                <w:color w:val="000000"/>
                <w:sz w:val="22"/>
                <w:szCs w:val="22"/>
              </w:rPr>
              <w:t>40</w:t>
            </w:r>
          </w:p>
        </w:tc>
      </w:tr>
      <w:tr w:rsidR="00480DF0" w:rsidRPr="004700D9" w14:paraId="4A9F27C1" w14:textId="639BAF25" w:rsidTr="004029C8">
        <w:tc>
          <w:tcPr>
            <w:tcW w:w="1828" w:type="dxa"/>
          </w:tcPr>
          <w:p w14:paraId="22A86906" w14:textId="61F334BB" w:rsidR="00480DF0" w:rsidRPr="004700D9" w:rsidRDefault="0072463C" w:rsidP="00480DF0">
            <w:pPr>
              <w:keepNext/>
              <w:spacing w:after="0"/>
              <w:rPr>
                <w:b/>
                <w:color w:val="000000"/>
                <w:sz w:val="22"/>
                <w:szCs w:val="22"/>
              </w:rPr>
            </w:pPr>
            <w:r w:rsidRPr="004700D9">
              <w:rPr>
                <w:b/>
                <w:color w:val="000000"/>
                <w:sz w:val="22"/>
                <w:szCs w:val="22"/>
              </w:rPr>
              <w:t>Change 202</w:t>
            </w:r>
            <w:r w:rsidR="004247D8" w:rsidRPr="004700D9">
              <w:rPr>
                <w:b/>
                <w:color w:val="000000"/>
                <w:sz w:val="22"/>
                <w:szCs w:val="22"/>
              </w:rPr>
              <w:t>1</w:t>
            </w:r>
            <w:r w:rsidR="00F81913" w:rsidRPr="004700D9">
              <w:rPr>
                <w:b/>
                <w:color w:val="000000"/>
                <w:sz w:val="22"/>
                <w:szCs w:val="22"/>
              </w:rPr>
              <w:t>/202</w:t>
            </w:r>
            <w:r w:rsidR="004247D8" w:rsidRPr="004700D9">
              <w:rPr>
                <w:b/>
                <w:color w:val="000000"/>
                <w:sz w:val="22"/>
                <w:szCs w:val="22"/>
              </w:rPr>
              <w:t>2</w:t>
            </w:r>
          </w:p>
        </w:tc>
        <w:tc>
          <w:tcPr>
            <w:tcW w:w="1559" w:type="dxa"/>
          </w:tcPr>
          <w:p w14:paraId="31D1DE34" w14:textId="028B9DE9" w:rsidR="00480DF0" w:rsidRPr="004700D9" w:rsidRDefault="00971095" w:rsidP="00866172">
            <w:pPr>
              <w:keepNext/>
              <w:spacing w:after="0"/>
              <w:jc w:val="right"/>
              <w:rPr>
                <w:b/>
                <w:color w:val="000000"/>
                <w:sz w:val="22"/>
                <w:szCs w:val="22"/>
                <w:lang w:val="en-GB" w:eastAsia="en-GB"/>
              </w:rPr>
            </w:pPr>
            <w:r w:rsidRPr="004700D9">
              <w:rPr>
                <w:b/>
                <w:color w:val="000000"/>
                <w:sz w:val="22"/>
                <w:szCs w:val="22"/>
                <w:lang w:val="en-GB" w:eastAsia="en-GB"/>
              </w:rPr>
              <w:t>+</w:t>
            </w:r>
            <w:r w:rsidR="00144BC8" w:rsidRPr="004700D9">
              <w:rPr>
                <w:b/>
                <w:color w:val="000000"/>
                <w:sz w:val="22"/>
                <w:szCs w:val="22"/>
                <w:lang w:val="en-GB" w:eastAsia="en-GB"/>
              </w:rPr>
              <w:t>660</w:t>
            </w:r>
          </w:p>
        </w:tc>
        <w:tc>
          <w:tcPr>
            <w:tcW w:w="1418" w:type="dxa"/>
          </w:tcPr>
          <w:p w14:paraId="5B462E41" w14:textId="41359AE8" w:rsidR="00480DF0" w:rsidRPr="004700D9" w:rsidRDefault="00971095" w:rsidP="00866172">
            <w:pPr>
              <w:keepNext/>
              <w:spacing w:after="0"/>
              <w:jc w:val="right"/>
              <w:rPr>
                <w:b/>
                <w:color w:val="000000"/>
                <w:sz w:val="22"/>
                <w:szCs w:val="22"/>
                <w:lang w:val="en-GB" w:eastAsia="en-GB"/>
              </w:rPr>
            </w:pPr>
            <w:r w:rsidRPr="004700D9">
              <w:rPr>
                <w:b/>
                <w:color w:val="000000"/>
                <w:sz w:val="22"/>
                <w:szCs w:val="22"/>
                <w:lang w:val="en-GB" w:eastAsia="en-GB"/>
              </w:rPr>
              <w:t>+</w:t>
            </w:r>
            <w:r w:rsidR="00144BC8" w:rsidRPr="004700D9">
              <w:rPr>
                <w:b/>
                <w:color w:val="000000"/>
                <w:sz w:val="22"/>
                <w:szCs w:val="22"/>
                <w:lang w:val="en-GB" w:eastAsia="en-GB"/>
              </w:rPr>
              <w:t>163</w:t>
            </w:r>
          </w:p>
        </w:tc>
        <w:tc>
          <w:tcPr>
            <w:tcW w:w="1653" w:type="dxa"/>
          </w:tcPr>
          <w:p w14:paraId="2E696AC0" w14:textId="40849704" w:rsidR="00480DF0" w:rsidRPr="004700D9" w:rsidRDefault="00971095" w:rsidP="00866172">
            <w:pPr>
              <w:keepNext/>
              <w:spacing w:after="0"/>
              <w:jc w:val="right"/>
              <w:rPr>
                <w:b/>
                <w:color w:val="000000"/>
                <w:sz w:val="22"/>
                <w:szCs w:val="22"/>
                <w:lang w:val="en-GB" w:eastAsia="en-GB"/>
              </w:rPr>
            </w:pPr>
            <w:r w:rsidRPr="004700D9">
              <w:rPr>
                <w:b/>
                <w:color w:val="000000"/>
                <w:sz w:val="22"/>
                <w:szCs w:val="22"/>
                <w:lang w:val="en-GB" w:eastAsia="en-GB"/>
              </w:rPr>
              <w:t>+</w:t>
            </w:r>
            <w:r w:rsidR="00144BC8" w:rsidRPr="004700D9">
              <w:rPr>
                <w:b/>
                <w:color w:val="000000"/>
                <w:sz w:val="22"/>
                <w:szCs w:val="22"/>
                <w:lang w:val="en-GB" w:eastAsia="en-GB"/>
              </w:rPr>
              <w:t>0.8%</w:t>
            </w:r>
          </w:p>
        </w:tc>
        <w:tc>
          <w:tcPr>
            <w:tcW w:w="1418" w:type="dxa"/>
          </w:tcPr>
          <w:p w14:paraId="1D311A40" w14:textId="39A2520A" w:rsidR="00480DF0" w:rsidRPr="004700D9" w:rsidRDefault="00971095" w:rsidP="00866172">
            <w:pPr>
              <w:keepNext/>
              <w:spacing w:after="0"/>
              <w:jc w:val="right"/>
              <w:rPr>
                <w:b/>
                <w:color w:val="000000"/>
                <w:sz w:val="22"/>
                <w:szCs w:val="22"/>
                <w:lang w:val="en-GB" w:eastAsia="en-GB"/>
              </w:rPr>
            </w:pPr>
            <w:r w:rsidRPr="004700D9">
              <w:rPr>
                <w:b/>
                <w:color w:val="000000"/>
                <w:sz w:val="22"/>
                <w:szCs w:val="22"/>
                <w:lang w:val="en-GB" w:eastAsia="en-GB"/>
              </w:rPr>
              <w:t>+</w:t>
            </w:r>
            <w:r w:rsidR="00144BC8" w:rsidRPr="004700D9">
              <w:rPr>
                <w:b/>
                <w:color w:val="000000"/>
                <w:sz w:val="22"/>
                <w:szCs w:val="22"/>
                <w:lang w:val="en-GB" w:eastAsia="en-GB"/>
              </w:rPr>
              <w:t>0.1%</w:t>
            </w:r>
          </w:p>
        </w:tc>
        <w:tc>
          <w:tcPr>
            <w:tcW w:w="1276" w:type="dxa"/>
          </w:tcPr>
          <w:p w14:paraId="7FC8BC33" w14:textId="23321E74" w:rsidR="00480DF0" w:rsidRPr="004700D9" w:rsidRDefault="00971095" w:rsidP="00866172">
            <w:pPr>
              <w:keepNext/>
              <w:spacing w:after="0"/>
              <w:jc w:val="right"/>
              <w:rPr>
                <w:b/>
                <w:color w:val="000000"/>
                <w:sz w:val="22"/>
                <w:szCs w:val="22"/>
                <w:lang w:val="en-GB" w:eastAsia="en-GB"/>
              </w:rPr>
            </w:pPr>
            <w:r w:rsidRPr="004700D9">
              <w:rPr>
                <w:b/>
                <w:color w:val="000000"/>
                <w:sz w:val="22"/>
                <w:szCs w:val="22"/>
                <w:lang w:val="en-GB" w:eastAsia="en-GB"/>
              </w:rPr>
              <w:t>+</w:t>
            </w:r>
            <w:r w:rsidR="00144BC8" w:rsidRPr="004700D9">
              <w:rPr>
                <w:b/>
                <w:color w:val="000000"/>
                <w:sz w:val="22"/>
                <w:szCs w:val="22"/>
                <w:lang w:val="en-GB" w:eastAsia="en-GB"/>
              </w:rPr>
              <w:t>5.0%</w:t>
            </w:r>
          </w:p>
        </w:tc>
        <w:tc>
          <w:tcPr>
            <w:tcW w:w="1564" w:type="dxa"/>
          </w:tcPr>
          <w:p w14:paraId="52E8DE26" w14:textId="55C2D085" w:rsidR="00480DF0" w:rsidRPr="004700D9" w:rsidRDefault="00144BC8" w:rsidP="00866172">
            <w:pPr>
              <w:keepNext/>
              <w:spacing w:after="0"/>
              <w:jc w:val="right"/>
              <w:rPr>
                <w:b/>
                <w:color w:val="000000"/>
                <w:sz w:val="22"/>
                <w:szCs w:val="22"/>
                <w:lang w:val="en-GB" w:eastAsia="en-GB"/>
              </w:rPr>
            </w:pPr>
            <w:r w:rsidRPr="004700D9">
              <w:rPr>
                <w:b/>
                <w:color w:val="000000"/>
                <w:sz w:val="22"/>
                <w:szCs w:val="22"/>
                <w:lang w:val="en-GB" w:eastAsia="en-GB"/>
              </w:rPr>
              <w:t>0</w:t>
            </w:r>
          </w:p>
        </w:tc>
      </w:tr>
      <w:tr w:rsidR="004029C8" w:rsidRPr="004700D9" w14:paraId="0CF83031" w14:textId="77777777" w:rsidTr="004029C8">
        <w:tc>
          <w:tcPr>
            <w:tcW w:w="1828" w:type="dxa"/>
          </w:tcPr>
          <w:p w14:paraId="329463E8" w14:textId="77777777" w:rsidR="004029C8" w:rsidRPr="004700D9" w:rsidRDefault="004029C8" w:rsidP="00480DF0">
            <w:pPr>
              <w:keepNext/>
              <w:spacing w:after="0"/>
              <w:rPr>
                <w:b/>
                <w:color w:val="000000"/>
                <w:sz w:val="22"/>
                <w:szCs w:val="22"/>
              </w:rPr>
            </w:pPr>
          </w:p>
        </w:tc>
        <w:tc>
          <w:tcPr>
            <w:tcW w:w="1559" w:type="dxa"/>
          </w:tcPr>
          <w:p w14:paraId="01C9920D" w14:textId="77777777" w:rsidR="004029C8" w:rsidRPr="004700D9" w:rsidRDefault="004029C8" w:rsidP="00866172">
            <w:pPr>
              <w:keepNext/>
              <w:spacing w:after="0"/>
              <w:jc w:val="right"/>
              <w:rPr>
                <w:b/>
                <w:color w:val="000000"/>
                <w:sz w:val="22"/>
                <w:szCs w:val="22"/>
                <w:lang w:val="en-GB" w:eastAsia="en-GB"/>
              </w:rPr>
            </w:pPr>
          </w:p>
        </w:tc>
        <w:tc>
          <w:tcPr>
            <w:tcW w:w="1418" w:type="dxa"/>
          </w:tcPr>
          <w:p w14:paraId="2CF4BD3D" w14:textId="77777777" w:rsidR="004029C8" w:rsidRPr="004700D9" w:rsidRDefault="004029C8" w:rsidP="00866172">
            <w:pPr>
              <w:keepNext/>
              <w:spacing w:after="0"/>
              <w:jc w:val="right"/>
              <w:rPr>
                <w:b/>
                <w:color w:val="000000"/>
                <w:sz w:val="22"/>
                <w:szCs w:val="22"/>
                <w:lang w:val="en-GB" w:eastAsia="en-GB"/>
              </w:rPr>
            </w:pPr>
          </w:p>
        </w:tc>
        <w:tc>
          <w:tcPr>
            <w:tcW w:w="1653" w:type="dxa"/>
          </w:tcPr>
          <w:p w14:paraId="440C8FB3" w14:textId="77777777" w:rsidR="004029C8" w:rsidRPr="004700D9" w:rsidRDefault="004029C8" w:rsidP="00866172">
            <w:pPr>
              <w:keepNext/>
              <w:spacing w:after="0"/>
              <w:jc w:val="right"/>
              <w:rPr>
                <w:b/>
                <w:color w:val="000000"/>
                <w:sz w:val="22"/>
                <w:szCs w:val="22"/>
                <w:lang w:val="en-GB" w:eastAsia="en-GB"/>
              </w:rPr>
            </w:pPr>
          </w:p>
        </w:tc>
        <w:tc>
          <w:tcPr>
            <w:tcW w:w="1418" w:type="dxa"/>
          </w:tcPr>
          <w:p w14:paraId="30F19BE5" w14:textId="77777777" w:rsidR="004029C8" w:rsidRPr="004700D9" w:rsidRDefault="004029C8" w:rsidP="00866172">
            <w:pPr>
              <w:keepNext/>
              <w:spacing w:after="0"/>
              <w:jc w:val="right"/>
              <w:rPr>
                <w:b/>
                <w:color w:val="000000"/>
                <w:sz w:val="22"/>
                <w:szCs w:val="22"/>
                <w:lang w:val="en-GB" w:eastAsia="en-GB"/>
              </w:rPr>
            </w:pPr>
          </w:p>
        </w:tc>
        <w:tc>
          <w:tcPr>
            <w:tcW w:w="1276" w:type="dxa"/>
          </w:tcPr>
          <w:p w14:paraId="3FF6802D" w14:textId="77777777" w:rsidR="004029C8" w:rsidRPr="004700D9" w:rsidRDefault="004029C8" w:rsidP="00866172">
            <w:pPr>
              <w:keepNext/>
              <w:spacing w:after="0"/>
              <w:jc w:val="right"/>
              <w:rPr>
                <w:b/>
                <w:color w:val="000000"/>
                <w:sz w:val="22"/>
                <w:szCs w:val="22"/>
                <w:lang w:val="en-GB" w:eastAsia="en-GB"/>
              </w:rPr>
            </w:pPr>
          </w:p>
        </w:tc>
        <w:tc>
          <w:tcPr>
            <w:tcW w:w="1564" w:type="dxa"/>
          </w:tcPr>
          <w:p w14:paraId="6EA00BF9" w14:textId="77777777" w:rsidR="004029C8" w:rsidRPr="004700D9" w:rsidRDefault="004029C8" w:rsidP="00866172">
            <w:pPr>
              <w:keepNext/>
              <w:spacing w:after="0"/>
              <w:jc w:val="right"/>
              <w:rPr>
                <w:b/>
                <w:color w:val="000000"/>
                <w:sz w:val="22"/>
                <w:szCs w:val="22"/>
                <w:lang w:val="en-GB" w:eastAsia="en-GB"/>
              </w:rPr>
            </w:pPr>
          </w:p>
        </w:tc>
      </w:tr>
      <w:tr w:rsidR="00480DF0" w:rsidRPr="004700D9" w14:paraId="068D0153" w14:textId="781EB4AC" w:rsidTr="004029C8">
        <w:tc>
          <w:tcPr>
            <w:tcW w:w="1828" w:type="dxa"/>
          </w:tcPr>
          <w:p w14:paraId="1DB7C10F" w14:textId="0518B30D" w:rsidR="00480DF0" w:rsidRPr="004700D9" w:rsidRDefault="00F81913" w:rsidP="00480DF0">
            <w:pPr>
              <w:keepNext/>
              <w:spacing w:after="0"/>
              <w:rPr>
                <w:b/>
                <w:color w:val="000000"/>
                <w:sz w:val="22"/>
                <w:szCs w:val="22"/>
              </w:rPr>
            </w:pPr>
            <w:r w:rsidRPr="004700D9">
              <w:rPr>
                <w:b/>
                <w:color w:val="000000"/>
                <w:sz w:val="22"/>
                <w:szCs w:val="22"/>
              </w:rPr>
              <w:t>Totals 202</w:t>
            </w:r>
            <w:r w:rsidR="004247D8" w:rsidRPr="004700D9">
              <w:rPr>
                <w:b/>
                <w:color w:val="000000"/>
                <w:sz w:val="22"/>
                <w:szCs w:val="22"/>
              </w:rPr>
              <w:t>2</w:t>
            </w:r>
          </w:p>
        </w:tc>
        <w:tc>
          <w:tcPr>
            <w:tcW w:w="1559" w:type="dxa"/>
          </w:tcPr>
          <w:p w14:paraId="299D971C" w14:textId="487CCDDB"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260,434</w:t>
            </w:r>
          </w:p>
        </w:tc>
        <w:tc>
          <w:tcPr>
            <w:tcW w:w="1418" w:type="dxa"/>
          </w:tcPr>
          <w:p w14:paraId="1DBADCF9" w14:textId="1FB43FBA" w:rsidR="00480DF0" w:rsidRPr="004700D9" w:rsidRDefault="00144BC8" w:rsidP="00F81913">
            <w:pPr>
              <w:keepNext/>
              <w:spacing w:after="0"/>
              <w:jc w:val="right"/>
              <w:rPr>
                <w:color w:val="000000"/>
                <w:sz w:val="22"/>
                <w:szCs w:val="22"/>
                <w:lang w:val="en-GB" w:eastAsia="en-GB"/>
              </w:rPr>
            </w:pPr>
            <w:r w:rsidRPr="004700D9">
              <w:rPr>
                <w:color w:val="000000"/>
                <w:sz w:val="22"/>
                <w:szCs w:val="22"/>
                <w:lang w:val="en-GB" w:eastAsia="en-GB"/>
              </w:rPr>
              <w:t>10,631</w:t>
            </w:r>
          </w:p>
        </w:tc>
        <w:tc>
          <w:tcPr>
            <w:tcW w:w="1653" w:type="dxa"/>
          </w:tcPr>
          <w:p w14:paraId="24BC0118" w14:textId="4692FBCA"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4.1%</w:t>
            </w:r>
          </w:p>
        </w:tc>
        <w:tc>
          <w:tcPr>
            <w:tcW w:w="1418" w:type="dxa"/>
          </w:tcPr>
          <w:p w14:paraId="5B82B7E1" w14:textId="3FC755A4"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100.0%</w:t>
            </w:r>
          </w:p>
        </w:tc>
        <w:tc>
          <w:tcPr>
            <w:tcW w:w="1276" w:type="dxa"/>
          </w:tcPr>
          <w:p w14:paraId="40D51B7D" w14:textId="20642063" w:rsidR="00480DF0" w:rsidRPr="004700D9" w:rsidRDefault="00144BC8" w:rsidP="00480DF0">
            <w:pPr>
              <w:keepNext/>
              <w:spacing w:after="0"/>
              <w:jc w:val="right"/>
              <w:rPr>
                <w:color w:val="000000"/>
                <w:sz w:val="22"/>
                <w:szCs w:val="22"/>
                <w:lang w:val="en-GB" w:eastAsia="en-GB"/>
              </w:rPr>
            </w:pPr>
            <w:r w:rsidRPr="004700D9">
              <w:rPr>
                <w:color w:val="000000"/>
                <w:sz w:val="22"/>
                <w:szCs w:val="22"/>
                <w:lang w:val="en-GB" w:eastAsia="en-GB"/>
              </w:rPr>
              <w:t>90.6%</w:t>
            </w:r>
          </w:p>
        </w:tc>
        <w:tc>
          <w:tcPr>
            <w:tcW w:w="1564" w:type="dxa"/>
          </w:tcPr>
          <w:p w14:paraId="4A8C61B4" w14:textId="2DDFC8B9" w:rsidR="00480DF0" w:rsidRPr="004700D9" w:rsidRDefault="00F81913" w:rsidP="00480DF0">
            <w:pPr>
              <w:keepNext/>
              <w:spacing w:after="0"/>
              <w:jc w:val="right"/>
              <w:rPr>
                <w:color w:val="000000"/>
                <w:sz w:val="22"/>
                <w:szCs w:val="22"/>
                <w:lang w:val="en-GB" w:eastAsia="en-GB"/>
              </w:rPr>
            </w:pPr>
            <w:r w:rsidRPr="004700D9">
              <w:rPr>
                <w:color w:val="000000"/>
                <w:sz w:val="22"/>
                <w:szCs w:val="22"/>
                <w:lang w:val="en-GB" w:eastAsia="en-GB"/>
              </w:rPr>
              <w:t>213</w:t>
            </w:r>
          </w:p>
        </w:tc>
      </w:tr>
      <w:tr w:rsidR="00480DF0" w:rsidRPr="004700D9" w14:paraId="6BC01FC2" w14:textId="7F86C05B" w:rsidTr="004029C8">
        <w:tc>
          <w:tcPr>
            <w:tcW w:w="1828" w:type="dxa"/>
          </w:tcPr>
          <w:p w14:paraId="6A7872D7" w14:textId="650695AA" w:rsidR="00480DF0" w:rsidRPr="004700D9" w:rsidRDefault="0072463C" w:rsidP="00480DF0">
            <w:pPr>
              <w:keepNext/>
              <w:spacing w:after="0"/>
              <w:rPr>
                <w:b/>
                <w:color w:val="000000"/>
                <w:sz w:val="22"/>
                <w:szCs w:val="22"/>
              </w:rPr>
            </w:pPr>
            <w:r w:rsidRPr="004700D9">
              <w:rPr>
                <w:b/>
                <w:color w:val="000000"/>
                <w:sz w:val="22"/>
                <w:szCs w:val="22"/>
              </w:rPr>
              <w:t>Totals 202</w:t>
            </w:r>
            <w:r w:rsidR="004247D8" w:rsidRPr="004700D9">
              <w:rPr>
                <w:b/>
                <w:color w:val="000000"/>
                <w:sz w:val="22"/>
                <w:szCs w:val="22"/>
              </w:rPr>
              <w:t>1</w:t>
            </w:r>
          </w:p>
        </w:tc>
        <w:tc>
          <w:tcPr>
            <w:tcW w:w="1559" w:type="dxa"/>
          </w:tcPr>
          <w:p w14:paraId="5624EC11" w14:textId="4ECF04E7" w:rsidR="00480DF0" w:rsidRPr="004700D9" w:rsidRDefault="004247D8" w:rsidP="00480DF0">
            <w:pPr>
              <w:keepNext/>
              <w:spacing w:after="0"/>
              <w:jc w:val="right"/>
              <w:rPr>
                <w:sz w:val="22"/>
                <w:szCs w:val="22"/>
              </w:rPr>
            </w:pPr>
            <w:r w:rsidRPr="004700D9">
              <w:rPr>
                <w:sz w:val="22"/>
                <w:szCs w:val="22"/>
              </w:rPr>
              <w:t>251,552</w:t>
            </w:r>
          </w:p>
          <w:p w14:paraId="29DA89F5" w14:textId="358E9CC2" w:rsidR="00480DF0" w:rsidRPr="004700D9" w:rsidRDefault="00480DF0" w:rsidP="00480DF0">
            <w:pPr>
              <w:keepNext/>
              <w:spacing w:after="0"/>
              <w:jc w:val="right"/>
              <w:rPr>
                <w:color w:val="000000"/>
                <w:sz w:val="22"/>
                <w:szCs w:val="22"/>
                <w:lang w:val="en-GB" w:eastAsia="en-GB"/>
              </w:rPr>
            </w:pPr>
          </w:p>
        </w:tc>
        <w:tc>
          <w:tcPr>
            <w:tcW w:w="1418" w:type="dxa"/>
          </w:tcPr>
          <w:p w14:paraId="3FEB4C67" w14:textId="6D63E362" w:rsidR="00480DF0" w:rsidRPr="004700D9" w:rsidRDefault="004247D8" w:rsidP="00480DF0">
            <w:pPr>
              <w:keepNext/>
              <w:spacing w:after="0"/>
              <w:jc w:val="right"/>
              <w:rPr>
                <w:color w:val="000000"/>
                <w:sz w:val="22"/>
                <w:szCs w:val="22"/>
                <w:lang w:val="en-GB" w:eastAsia="en-GB"/>
              </w:rPr>
            </w:pPr>
            <w:r w:rsidRPr="004700D9">
              <w:rPr>
                <w:sz w:val="22"/>
                <w:szCs w:val="22"/>
              </w:rPr>
              <w:t>9,011</w:t>
            </w:r>
          </w:p>
        </w:tc>
        <w:tc>
          <w:tcPr>
            <w:tcW w:w="1653" w:type="dxa"/>
          </w:tcPr>
          <w:p w14:paraId="40DEE170" w14:textId="0B10EE70" w:rsidR="00480DF0" w:rsidRPr="004700D9" w:rsidRDefault="00480DF0" w:rsidP="00480DF0">
            <w:pPr>
              <w:keepNext/>
              <w:spacing w:after="0"/>
              <w:jc w:val="right"/>
              <w:rPr>
                <w:color w:val="000000"/>
                <w:sz w:val="22"/>
                <w:szCs w:val="22"/>
                <w:lang w:val="en-GB" w:eastAsia="en-GB"/>
              </w:rPr>
            </w:pPr>
            <w:r w:rsidRPr="004700D9">
              <w:rPr>
                <w:sz w:val="22"/>
                <w:szCs w:val="22"/>
              </w:rPr>
              <w:t>3.</w:t>
            </w:r>
            <w:r w:rsidR="004247D8" w:rsidRPr="004700D9">
              <w:rPr>
                <w:sz w:val="22"/>
                <w:szCs w:val="22"/>
              </w:rPr>
              <w:t>6</w:t>
            </w:r>
            <w:r w:rsidRPr="004700D9">
              <w:rPr>
                <w:sz w:val="22"/>
                <w:szCs w:val="22"/>
              </w:rPr>
              <w:t>%</w:t>
            </w:r>
          </w:p>
        </w:tc>
        <w:tc>
          <w:tcPr>
            <w:tcW w:w="1418" w:type="dxa"/>
          </w:tcPr>
          <w:p w14:paraId="417B4D3F" w14:textId="5F8DD258" w:rsidR="00480DF0" w:rsidRPr="004700D9" w:rsidRDefault="00480DF0" w:rsidP="00480DF0">
            <w:pPr>
              <w:keepNext/>
              <w:spacing w:after="0"/>
              <w:jc w:val="right"/>
              <w:rPr>
                <w:color w:val="000000"/>
                <w:sz w:val="22"/>
                <w:szCs w:val="22"/>
                <w:lang w:val="en-GB" w:eastAsia="en-GB"/>
              </w:rPr>
            </w:pPr>
            <w:r w:rsidRPr="004700D9">
              <w:rPr>
                <w:sz w:val="22"/>
                <w:szCs w:val="22"/>
              </w:rPr>
              <w:t>100.0%</w:t>
            </w:r>
          </w:p>
        </w:tc>
        <w:tc>
          <w:tcPr>
            <w:tcW w:w="1276" w:type="dxa"/>
          </w:tcPr>
          <w:p w14:paraId="324F2F45" w14:textId="40224DB4" w:rsidR="00480DF0" w:rsidRPr="004700D9" w:rsidRDefault="00F81913" w:rsidP="00480DF0">
            <w:pPr>
              <w:keepNext/>
              <w:spacing w:after="0"/>
              <w:jc w:val="right"/>
              <w:rPr>
                <w:color w:val="000000"/>
                <w:sz w:val="22"/>
                <w:szCs w:val="22"/>
                <w:lang w:val="en-GB" w:eastAsia="en-GB"/>
              </w:rPr>
            </w:pPr>
            <w:r w:rsidRPr="004700D9">
              <w:rPr>
                <w:sz w:val="22"/>
                <w:szCs w:val="22"/>
              </w:rPr>
              <w:t>8</w:t>
            </w:r>
            <w:r w:rsidR="004247D8" w:rsidRPr="004700D9">
              <w:rPr>
                <w:sz w:val="22"/>
                <w:szCs w:val="22"/>
              </w:rPr>
              <w:t>7</w:t>
            </w:r>
            <w:r w:rsidRPr="004700D9">
              <w:rPr>
                <w:sz w:val="22"/>
                <w:szCs w:val="22"/>
              </w:rPr>
              <w:t>.</w:t>
            </w:r>
            <w:r w:rsidR="004247D8" w:rsidRPr="004700D9">
              <w:rPr>
                <w:sz w:val="22"/>
                <w:szCs w:val="22"/>
              </w:rPr>
              <w:t>3</w:t>
            </w:r>
            <w:r w:rsidR="00480DF0" w:rsidRPr="004700D9">
              <w:rPr>
                <w:sz w:val="22"/>
                <w:szCs w:val="22"/>
              </w:rPr>
              <w:t>%</w:t>
            </w:r>
          </w:p>
        </w:tc>
        <w:tc>
          <w:tcPr>
            <w:tcW w:w="1564" w:type="dxa"/>
          </w:tcPr>
          <w:p w14:paraId="22D54B8D" w14:textId="003FA0C9" w:rsidR="00480DF0" w:rsidRPr="004700D9" w:rsidRDefault="00F81913" w:rsidP="00480DF0">
            <w:pPr>
              <w:keepNext/>
              <w:spacing w:after="0"/>
              <w:jc w:val="right"/>
              <w:rPr>
                <w:color w:val="000000"/>
                <w:sz w:val="22"/>
                <w:szCs w:val="22"/>
                <w:lang w:val="en-GB" w:eastAsia="en-GB"/>
              </w:rPr>
            </w:pPr>
            <w:r w:rsidRPr="004700D9">
              <w:rPr>
                <w:sz w:val="22"/>
                <w:szCs w:val="22"/>
              </w:rPr>
              <w:t>21</w:t>
            </w:r>
            <w:r w:rsidR="004247D8" w:rsidRPr="004700D9">
              <w:rPr>
                <w:sz w:val="22"/>
                <w:szCs w:val="22"/>
              </w:rPr>
              <w:t>3</w:t>
            </w:r>
          </w:p>
        </w:tc>
      </w:tr>
      <w:tr w:rsidR="00480DF0" w:rsidRPr="004700D9" w14:paraId="1632759B" w14:textId="42C5470F" w:rsidTr="004029C8">
        <w:tc>
          <w:tcPr>
            <w:tcW w:w="1828" w:type="dxa"/>
          </w:tcPr>
          <w:p w14:paraId="448F56E1" w14:textId="0183AFE7" w:rsidR="00480DF0" w:rsidRPr="004700D9" w:rsidRDefault="00480DF0" w:rsidP="00480DF0">
            <w:pPr>
              <w:keepNext/>
              <w:spacing w:after="0"/>
              <w:rPr>
                <w:b/>
                <w:color w:val="000000"/>
                <w:sz w:val="22"/>
                <w:szCs w:val="22"/>
              </w:rPr>
            </w:pPr>
            <w:r w:rsidRPr="004700D9">
              <w:rPr>
                <w:b/>
                <w:color w:val="000000"/>
                <w:sz w:val="22"/>
                <w:szCs w:val="22"/>
              </w:rPr>
              <w:t xml:space="preserve">Change </w:t>
            </w:r>
            <w:r w:rsidR="00F81913" w:rsidRPr="004700D9">
              <w:rPr>
                <w:b/>
                <w:color w:val="000000"/>
                <w:sz w:val="22"/>
                <w:szCs w:val="22"/>
              </w:rPr>
              <w:t>202</w:t>
            </w:r>
            <w:r w:rsidR="004247D8" w:rsidRPr="004700D9">
              <w:rPr>
                <w:b/>
                <w:color w:val="000000"/>
                <w:sz w:val="22"/>
                <w:szCs w:val="22"/>
              </w:rPr>
              <w:t>1</w:t>
            </w:r>
            <w:r w:rsidR="00F81913" w:rsidRPr="004700D9">
              <w:rPr>
                <w:b/>
                <w:color w:val="000000"/>
                <w:sz w:val="22"/>
                <w:szCs w:val="22"/>
              </w:rPr>
              <w:t>/202</w:t>
            </w:r>
            <w:r w:rsidR="004247D8" w:rsidRPr="004700D9">
              <w:rPr>
                <w:b/>
                <w:color w:val="000000"/>
                <w:sz w:val="22"/>
                <w:szCs w:val="22"/>
              </w:rPr>
              <w:t>2</w:t>
            </w:r>
          </w:p>
        </w:tc>
        <w:tc>
          <w:tcPr>
            <w:tcW w:w="1559" w:type="dxa"/>
          </w:tcPr>
          <w:p w14:paraId="4A04C3E3" w14:textId="45C0964A" w:rsidR="00480DF0" w:rsidRPr="004700D9" w:rsidRDefault="00144BC8" w:rsidP="00480DF0">
            <w:pPr>
              <w:spacing w:after="0"/>
              <w:jc w:val="right"/>
              <w:rPr>
                <w:b/>
                <w:color w:val="000000"/>
                <w:sz w:val="22"/>
                <w:szCs w:val="22"/>
                <w:lang w:val="en-GB" w:eastAsia="en-GB"/>
              </w:rPr>
            </w:pPr>
            <w:r w:rsidRPr="004700D9">
              <w:rPr>
                <w:b/>
                <w:color w:val="000000"/>
                <w:sz w:val="22"/>
                <w:szCs w:val="22"/>
                <w:lang w:val="en-GB" w:eastAsia="en-GB"/>
              </w:rPr>
              <w:t>8,882</w:t>
            </w:r>
          </w:p>
        </w:tc>
        <w:tc>
          <w:tcPr>
            <w:tcW w:w="1418" w:type="dxa"/>
          </w:tcPr>
          <w:p w14:paraId="33DBC69D" w14:textId="2C2B8E0E" w:rsidR="00480DF0" w:rsidRPr="004700D9" w:rsidRDefault="00144BC8" w:rsidP="00480DF0">
            <w:pPr>
              <w:spacing w:after="0"/>
              <w:jc w:val="right"/>
              <w:rPr>
                <w:b/>
                <w:color w:val="000000"/>
                <w:sz w:val="22"/>
                <w:szCs w:val="22"/>
                <w:lang w:val="en-GB" w:eastAsia="en-GB"/>
              </w:rPr>
            </w:pPr>
            <w:r w:rsidRPr="004700D9">
              <w:rPr>
                <w:b/>
                <w:color w:val="000000"/>
                <w:sz w:val="22"/>
                <w:szCs w:val="22"/>
                <w:lang w:val="en-GB" w:eastAsia="en-GB"/>
              </w:rPr>
              <w:t>1,620</w:t>
            </w:r>
          </w:p>
        </w:tc>
        <w:tc>
          <w:tcPr>
            <w:tcW w:w="1653" w:type="dxa"/>
          </w:tcPr>
          <w:p w14:paraId="115F4523" w14:textId="098ADEE7" w:rsidR="00480DF0" w:rsidRPr="004700D9" w:rsidRDefault="00144BC8" w:rsidP="00144BC8">
            <w:pPr>
              <w:spacing w:after="0"/>
              <w:jc w:val="right"/>
              <w:rPr>
                <w:b/>
                <w:color w:val="000000"/>
                <w:sz w:val="22"/>
                <w:szCs w:val="22"/>
                <w:lang w:val="en-GB" w:eastAsia="en-GB"/>
              </w:rPr>
            </w:pPr>
            <w:r w:rsidRPr="004700D9">
              <w:rPr>
                <w:b/>
                <w:color w:val="000000"/>
                <w:sz w:val="22"/>
                <w:szCs w:val="22"/>
                <w:lang w:val="en-GB" w:eastAsia="en-GB"/>
              </w:rPr>
              <w:t>0.5%</w:t>
            </w:r>
          </w:p>
        </w:tc>
        <w:tc>
          <w:tcPr>
            <w:tcW w:w="1418" w:type="dxa"/>
          </w:tcPr>
          <w:p w14:paraId="0EEC09DD" w14:textId="2F95EE54" w:rsidR="00480DF0" w:rsidRPr="004700D9" w:rsidRDefault="00144BC8" w:rsidP="00480DF0">
            <w:pPr>
              <w:spacing w:after="0"/>
              <w:jc w:val="right"/>
              <w:rPr>
                <w:b/>
                <w:color w:val="000000"/>
                <w:sz w:val="22"/>
                <w:szCs w:val="22"/>
                <w:lang w:val="en-GB" w:eastAsia="en-GB"/>
              </w:rPr>
            </w:pPr>
            <w:r w:rsidRPr="004700D9">
              <w:rPr>
                <w:b/>
                <w:color w:val="000000"/>
                <w:sz w:val="22"/>
                <w:szCs w:val="22"/>
                <w:lang w:val="en-GB" w:eastAsia="en-GB"/>
              </w:rPr>
              <w:t>0</w:t>
            </w:r>
          </w:p>
        </w:tc>
        <w:tc>
          <w:tcPr>
            <w:tcW w:w="1276" w:type="dxa"/>
          </w:tcPr>
          <w:p w14:paraId="104314F7" w14:textId="45671F82" w:rsidR="00480DF0" w:rsidRPr="004700D9" w:rsidRDefault="00144BC8" w:rsidP="00480DF0">
            <w:pPr>
              <w:spacing w:after="0"/>
              <w:jc w:val="right"/>
              <w:rPr>
                <w:b/>
                <w:color w:val="000000"/>
                <w:sz w:val="22"/>
                <w:szCs w:val="22"/>
                <w:lang w:val="en-GB" w:eastAsia="en-GB"/>
              </w:rPr>
            </w:pPr>
            <w:r w:rsidRPr="004700D9">
              <w:rPr>
                <w:b/>
                <w:color w:val="000000"/>
                <w:sz w:val="22"/>
                <w:szCs w:val="22"/>
                <w:lang w:val="en-GB" w:eastAsia="en-GB"/>
              </w:rPr>
              <w:t>3.3%</w:t>
            </w:r>
          </w:p>
        </w:tc>
        <w:tc>
          <w:tcPr>
            <w:tcW w:w="1564" w:type="dxa"/>
          </w:tcPr>
          <w:p w14:paraId="78880B9D" w14:textId="3C3B4756" w:rsidR="00480DF0" w:rsidRPr="004700D9" w:rsidRDefault="00144BC8" w:rsidP="00480DF0">
            <w:pPr>
              <w:spacing w:after="0"/>
              <w:jc w:val="right"/>
              <w:rPr>
                <w:b/>
                <w:color w:val="000000"/>
                <w:sz w:val="22"/>
                <w:szCs w:val="22"/>
                <w:lang w:val="en-GB" w:eastAsia="en-GB"/>
              </w:rPr>
            </w:pPr>
            <w:r w:rsidRPr="004700D9">
              <w:rPr>
                <w:b/>
                <w:color w:val="000000"/>
                <w:sz w:val="22"/>
                <w:szCs w:val="22"/>
                <w:lang w:val="en-GB" w:eastAsia="en-GB"/>
              </w:rPr>
              <w:t>0</w:t>
            </w:r>
          </w:p>
        </w:tc>
      </w:tr>
    </w:tbl>
    <w:p w14:paraId="2DBCB656" w14:textId="7F5A2357" w:rsidR="0005435B" w:rsidRPr="004700D9" w:rsidRDefault="0005435B" w:rsidP="00DA2B08"/>
    <w:p w14:paraId="78E27D66" w14:textId="6E2C9217" w:rsidR="00973B13" w:rsidRPr="00BC13A0" w:rsidRDefault="001B1427" w:rsidP="00973B13">
      <w:pPr>
        <w:pStyle w:val="Heading2"/>
      </w:pPr>
      <w:bookmarkStart w:id="45" w:name="_Toc146113864"/>
      <w:r w:rsidRPr="00BC13A0">
        <w:t>2.</w:t>
      </w:r>
      <w:r w:rsidR="00006EAC" w:rsidRPr="00BC13A0">
        <w:t>3</w:t>
      </w:r>
      <w:r w:rsidR="00973B13" w:rsidRPr="00BC13A0">
        <w:t xml:space="preserve"> Analysis by size of public sector body</w:t>
      </w:r>
      <w:bookmarkEnd w:id="45"/>
    </w:p>
    <w:p w14:paraId="23F1A166" w14:textId="77777777" w:rsidR="00973B13" w:rsidRPr="00BC13A0" w:rsidRDefault="00973B13" w:rsidP="00973B13">
      <w:pPr>
        <w:pStyle w:val="Heading3"/>
      </w:pPr>
      <w:r w:rsidRPr="00BC13A0">
        <w:t>Public bodies with less than 100 staff</w:t>
      </w:r>
    </w:p>
    <w:p w14:paraId="07C99CE6" w14:textId="7344EF7D" w:rsidR="00973B13" w:rsidRPr="00BC13A0" w:rsidRDefault="00D03BAE" w:rsidP="003652F9">
      <w:r w:rsidRPr="00BC13A0">
        <w:t>In 202</w:t>
      </w:r>
      <w:r w:rsidR="001E5BBD" w:rsidRPr="00BC13A0">
        <w:t>2</w:t>
      </w:r>
      <w:r w:rsidR="00613280" w:rsidRPr="00BC13A0">
        <w:t>,</w:t>
      </w:r>
      <w:r w:rsidRPr="00BC13A0">
        <w:t xml:space="preserve"> there were 6</w:t>
      </w:r>
      <w:r w:rsidR="001E5BBD" w:rsidRPr="00BC13A0">
        <w:t>5</w:t>
      </w:r>
      <w:r w:rsidR="00973B13" w:rsidRPr="00BC13A0">
        <w:t xml:space="preserve"> bodies in the public sector with less than</w:t>
      </w:r>
      <w:r w:rsidRPr="00BC13A0">
        <w:t xml:space="preserve"> 100 employees, representing 1.</w:t>
      </w:r>
      <w:r w:rsidR="001E5BBD" w:rsidRPr="00BC13A0">
        <w:t>0</w:t>
      </w:r>
      <w:r w:rsidR="00973B13" w:rsidRPr="00BC13A0">
        <w:t>% of t</w:t>
      </w:r>
      <w:r w:rsidR="00961DC1" w:rsidRPr="00BC13A0">
        <w:t>he entire workforce</w:t>
      </w:r>
      <w:r w:rsidR="00973B13" w:rsidRPr="00BC13A0">
        <w:t>. T</w:t>
      </w:r>
      <w:r w:rsidRPr="00BC13A0">
        <w:t>his size category employed 2,</w:t>
      </w:r>
      <w:r w:rsidR="001E5BBD" w:rsidRPr="00BC13A0">
        <w:t>7</w:t>
      </w:r>
      <w:r w:rsidR="00971095" w:rsidRPr="00BC13A0">
        <w:t>2</w:t>
      </w:r>
      <w:r w:rsidR="001E5BBD" w:rsidRPr="00BC13A0">
        <w:t>4</w:t>
      </w:r>
      <w:r w:rsidR="00D46A41" w:rsidRPr="00BC13A0">
        <w:t xml:space="preserve"> people, of which</w:t>
      </w:r>
      <w:r w:rsidRPr="00BC13A0">
        <w:t xml:space="preserve"> 7.</w:t>
      </w:r>
      <w:r w:rsidR="001E5BBD" w:rsidRPr="00BC13A0">
        <w:t>6</w:t>
      </w:r>
      <w:r w:rsidRPr="00BC13A0">
        <w:t>% (20</w:t>
      </w:r>
      <w:r w:rsidR="001E5BBD" w:rsidRPr="00BC13A0">
        <w:t>8</w:t>
      </w:r>
      <w:r w:rsidR="00973B13" w:rsidRPr="00BC13A0">
        <w:t>) reported a disability. Of the entire workf</w:t>
      </w:r>
      <w:r w:rsidRPr="00BC13A0">
        <w:t>orce reporting a disability, 2.</w:t>
      </w:r>
      <w:r w:rsidR="001E5BBD" w:rsidRPr="00BC13A0">
        <w:t>0</w:t>
      </w:r>
      <w:r w:rsidR="00973B13" w:rsidRPr="00BC13A0">
        <w:t xml:space="preserve">% were employed in public bodies of this size. </w:t>
      </w:r>
    </w:p>
    <w:p w14:paraId="5C94EB09" w14:textId="3C5B7991" w:rsidR="00973B13" w:rsidRPr="00BC13A0" w:rsidRDefault="00973B13" w:rsidP="003652F9">
      <w:bookmarkStart w:id="46" w:name="_Hlk145323414"/>
      <w:r w:rsidRPr="00BC13A0">
        <w:t>This category includes public bodies who are very sm</w:t>
      </w:r>
      <w:r w:rsidR="00AB30F9" w:rsidRPr="00BC13A0">
        <w:t>all in size, employing between 4 to 20 people (</w:t>
      </w:r>
      <w:r w:rsidR="004A29E0" w:rsidRPr="00BC13A0">
        <w:t>19</w:t>
      </w:r>
      <w:r w:rsidR="002F41F3" w:rsidRPr="00BC13A0">
        <w:t xml:space="preserve"> out of the 6</w:t>
      </w:r>
      <w:r w:rsidR="004A29E0" w:rsidRPr="00BC13A0">
        <w:t>5</w:t>
      </w:r>
      <w:r w:rsidRPr="00BC13A0">
        <w:t xml:space="preserve"> organisations). Of these bodie</w:t>
      </w:r>
      <w:r w:rsidR="00D46A41" w:rsidRPr="00BC13A0">
        <w:t>s with 20 employees or fewer, 1</w:t>
      </w:r>
      <w:r w:rsidR="00BF38FE">
        <w:t>0</w:t>
      </w:r>
      <w:r w:rsidRPr="00BC13A0">
        <w:t xml:space="preserve"> reported that they have no em</w:t>
      </w:r>
      <w:r w:rsidR="00D3034D" w:rsidRPr="00BC13A0">
        <w:t>p</w:t>
      </w:r>
      <w:r w:rsidR="00AB30F9" w:rsidRPr="00BC13A0">
        <w:t>loyees with disabilities in 202</w:t>
      </w:r>
      <w:r w:rsidR="004A29E0" w:rsidRPr="00BC13A0">
        <w:t>2</w:t>
      </w:r>
      <w:r w:rsidRPr="00BC13A0">
        <w:t>.</w:t>
      </w:r>
    </w:p>
    <w:bookmarkEnd w:id="46"/>
    <w:p w14:paraId="58099D0C" w14:textId="3766E6B4" w:rsidR="00973B13" w:rsidRPr="004700D9" w:rsidRDefault="00973B13" w:rsidP="003652F9">
      <w:pPr>
        <w:rPr>
          <w:sz w:val="24"/>
        </w:rPr>
      </w:pPr>
      <w:r w:rsidRPr="004700D9">
        <w:rPr>
          <w:szCs w:val="26"/>
        </w:rPr>
        <w:t>The NDA acknowledges that if a public body is very small</w:t>
      </w:r>
      <w:r w:rsidR="00B57E81" w:rsidRPr="004700D9">
        <w:rPr>
          <w:szCs w:val="26"/>
        </w:rPr>
        <w:t>,</w:t>
      </w:r>
      <w:r w:rsidR="00366C86" w:rsidRPr="004700D9">
        <w:rPr>
          <w:szCs w:val="26"/>
        </w:rPr>
        <w:t xml:space="preserve"> with less than 5</w:t>
      </w:r>
      <w:r w:rsidRPr="004700D9">
        <w:rPr>
          <w:szCs w:val="26"/>
        </w:rPr>
        <w:t>0 staff</w:t>
      </w:r>
      <w:r w:rsidR="00B57E81" w:rsidRPr="004700D9">
        <w:rPr>
          <w:szCs w:val="26"/>
        </w:rPr>
        <w:t>,</w:t>
      </w:r>
      <w:r w:rsidRPr="004700D9">
        <w:rPr>
          <w:szCs w:val="26"/>
        </w:rPr>
        <w:t xml:space="preserve"> then its size does impact its ability to make the minimum 3% target. </w:t>
      </w:r>
      <w:r w:rsidRPr="004700D9">
        <w:t xml:space="preserve">The </w:t>
      </w:r>
      <w:r w:rsidRPr="004700D9">
        <w:lastRenderedPageBreak/>
        <w:t xml:space="preserve">departure of a staff member with a disability through retirement, via career break, or through a voluntary redundancy scheme, is one of the main factors that </w:t>
      </w:r>
      <w:r w:rsidR="00C80DA2">
        <w:t xml:space="preserve">can </w:t>
      </w:r>
      <w:r w:rsidRPr="004700D9">
        <w:t>prevent small public bodies from reaching the minimum 3% target. Losing (or hiring) one extra staff member for bodies of this size represents the difference between meeting and not meeting the minimum compliance target of 3%</w:t>
      </w:r>
      <w:r w:rsidRPr="004700D9">
        <w:rPr>
          <w:sz w:val="24"/>
        </w:rPr>
        <w:t>.</w:t>
      </w:r>
    </w:p>
    <w:p w14:paraId="328A1AA9" w14:textId="75A1A53E" w:rsidR="00750A4C" w:rsidRPr="004700D9" w:rsidRDefault="00973B13" w:rsidP="00743334">
      <w:pPr>
        <w:rPr>
          <w:b/>
          <w:color w:val="CC3399"/>
          <w:sz w:val="28"/>
          <w:szCs w:val="28"/>
        </w:rPr>
      </w:pPr>
      <w:r w:rsidRPr="004700D9">
        <w:t xml:space="preserve">In public </w:t>
      </w:r>
      <w:r w:rsidR="008E580D" w:rsidRPr="004700D9">
        <w:t>bodies of this small size, employees</w:t>
      </w:r>
      <w:r w:rsidRPr="004700D9">
        <w:t xml:space="preserve"> with disabilities may al</w:t>
      </w:r>
      <w:r w:rsidR="00D55D90" w:rsidRPr="004700D9">
        <w:t>so not be comfortable sharing</w:t>
      </w:r>
      <w:r w:rsidRPr="004700D9">
        <w:t xml:space="preserve"> their disability </w:t>
      </w:r>
      <w:r w:rsidR="00D55D90" w:rsidRPr="004700D9">
        <w:t xml:space="preserve">status </w:t>
      </w:r>
      <w:r w:rsidRPr="004700D9">
        <w:t xml:space="preserve">and this can also impact these public bodies’ ability to accurately report on </w:t>
      </w:r>
      <w:r w:rsidRPr="004700D9">
        <w:rPr>
          <w:color w:val="000000"/>
        </w:rPr>
        <w:t>meeting</w:t>
      </w:r>
      <w:r w:rsidRPr="004700D9">
        <w:rPr>
          <w:color w:val="FF0000"/>
        </w:rPr>
        <w:t xml:space="preserve"> </w:t>
      </w:r>
      <w:r w:rsidRPr="004700D9">
        <w:t>their obligations under Part 5 of the Disability Act 2005.</w:t>
      </w:r>
    </w:p>
    <w:p w14:paraId="794354E4" w14:textId="1B089007" w:rsidR="00973B13" w:rsidRPr="00BC13A0" w:rsidRDefault="00973B13" w:rsidP="00973B13">
      <w:pPr>
        <w:pStyle w:val="Heading3"/>
      </w:pPr>
      <w:r w:rsidRPr="00BC13A0">
        <w:t>Public bodies with between 100 and 999 staff</w:t>
      </w:r>
    </w:p>
    <w:p w14:paraId="271CB3C1" w14:textId="0CDC851B" w:rsidR="00973B13" w:rsidRPr="00BC13A0" w:rsidRDefault="00973B13" w:rsidP="003652F9">
      <w:r w:rsidRPr="00BC13A0">
        <w:t>This size category has the high</w:t>
      </w:r>
      <w:r w:rsidR="00A34C13" w:rsidRPr="00BC13A0">
        <w:t>est number</w:t>
      </w:r>
      <w:r w:rsidR="00CB0F94" w:rsidRPr="00BC13A0">
        <w:t xml:space="preserve"> of public bodies (10</w:t>
      </w:r>
      <w:r w:rsidR="008A5B26" w:rsidRPr="00BC13A0">
        <w:t>6</w:t>
      </w:r>
      <w:r w:rsidR="00A34C13" w:rsidRPr="00BC13A0">
        <w:t>) making up 1</w:t>
      </w:r>
      <w:r w:rsidR="008A5B26" w:rsidRPr="00BC13A0">
        <w:t>5.4</w:t>
      </w:r>
      <w:r w:rsidR="00CB0F94" w:rsidRPr="00BC13A0">
        <w:t>% of the total workforce in 202</w:t>
      </w:r>
      <w:r w:rsidR="008A5B26" w:rsidRPr="00BC13A0">
        <w:t>2</w:t>
      </w:r>
      <w:r w:rsidRPr="00BC13A0">
        <w:t xml:space="preserve">. In total </w:t>
      </w:r>
      <w:r w:rsidR="00CB0F94" w:rsidRPr="00BC13A0">
        <w:rPr>
          <w:lang w:eastAsia="en-IE"/>
        </w:rPr>
        <w:t>4</w:t>
      </w:r>
      <w:r w:rsidR="008A5B26" w:rsidRPr="00BC13A0">
        <w:rPr>
          <w:lang w:eastAsia="en-IE"/>
        </w:rPr>
        <w:t>0</w:t>
      </w:r>
      <w:r w:rsidR="00CB0F94" w:rsidRPr="00BC13A0">
        <w:rPr>
          <w:lang w:eastAsia="en-IE"/>
        </w:rPr>
        <w:t>,</w:t>
      </w:r>
      <w:r w:rsidR="008A5B26" w:rsidRPr="00BC13A0">
        <w:rPr>
          <w:lang w:eastAsia="en-IE"/>
        </w:rPr>
        <w:t>195</w:t>
      </w:r>
      <w:r w:rsidRPr="00BC13A0">
        <w:rPr>
          <w:lang w:eastAsia="en-IE"/>
        </w:rPr>
        <w:t xml:space="preserve"> people </w:t>
      </w:r>
      <w:r w:rsidRPr="00BC13A0">
        <w:t>were employed in thi</w:t>
      </w:r>
      <w:r w:rsidR="00B80C9F" w:rsidRPr="00BC13A0">
        <w:t xml:space="preserve">s </w:t>
      </w:r>
      <w:r w:rsidR="00CB0F94" w:rsidRPr="00BC13A0">
        <w:t>category, of which 5.</w:t>
      </w:r>
      <w:r w:rsidR="008A5B26" w:rsidRPr="00BC13A0">
        <w:t>9</w:t>
      </w:r>
      <w:r w:rsidR="00CB0F94" w:rsidRPr="00BC13A0">
        <w:t>% (2,</w:t>
      </w:r>
      <w:r w:rsidR="008A5B26" w:rsidRPr="00BC13A0">
        <w:t>380</w:t>
      </w:r>
      <w:r w:rsidRPr="00BC13A0">
        <w:t>) reported a disability. Of the entire work</w:t>
      </w:r>
      <w:r w:rsidR="00CB0F94" w:rsidRPr="00BC13A0">
        <w:t>force reporting a disability, 2</w:t>
      </w:r>
      <w:r w:rsidR="008A5B26" w:rsidRPr="00BC13A0">
        <w:t>2.4</w:t>
      </w:r>
      <w:r w:rsidRPr="00BC13A0">
        <w:t>% were employed in public bodies of this size.</w:t>
      </w:r>
    </w:p>
    <w:p w14:paraId="1328AF95" w14:textId="77777777" w:rsidR="00973B13" w:rsidRPr="00BC13A0" w:rsidRDefault="00973B13" w:rsidP="00973B13">
      <w:pPr>
        <w:pStyle w:val="Heading3"/>
      </w:pPr>
      <w:r w:rsidRPr="00BC13A0">
        <w:t>Public bodies with between 1000 and 4999 staff</w:t>
      </w:r>
    </w:p>
    <w:p w14:paraId="1AE4B103" w14:textId="41DF13F9" w:rsidR="00973B13" w:rsidRPr="004700D9" w:rsidRDefault="008F64F6" w:rsidP="003652F9">
      <w:pPr>
        <w:rPr>
          <w:color w:val="000000"/>
        </w:rPr>
      </w:pPr>
      <w:r w:rsidRPr="004700D9">
        <w:t>In 202</w:t>
      </w:r>
      <w:r w:rsidR="00CC70E4" w:rsidRPr="004700D9">
        <w:t>2</w:t>
      </w:r>
      <w:r w:rsidR="003E2A8E" w:rsidRPr="004700D9">
        <w:t>, there were 3</w:t>
      </w:r>
      <w:r w:rsidR="00CC70E4" w:rsidRPr="004700D9">
        <w:t>4</w:t>
      </w:r>
      <w:r w:rsidR="00973B13" w:rsidRPr="004700D9">
        <w:t xml:space="preserve"> public bodies employing between 1,000 and 4,999 employees, representing 2</w:t>
      </w:r>
      <w:r w:rsidRPr="004700D9">
        <w:t>7.</w:t>
      </w:r>
      <w:r w:rsidR="00CC70E4" w:rsidRPr="004700D9">
        <w:t>1</w:t>
      </w:r>
      <w:r w:rsidR="00973B13" w:rsidRPr="004700D9">
        <w:t xml:space="preserve">% of the total workforce. This cohort employed </w:t>
      </w:r>
      <w:r w:rsidRPr="004700D9">
        <w:t>70,</w:t>
      </w:r>
      <w:r w:rsidR="00CC70E4" w:rsidRPr="004700D9">
        <w:t>685</w:t>
      </w:r>
      <w:r w:rsidRPr="004700D9">
        <w:t xml:space="preserve"> employees, of which </w:t>
      </w:r>
      <w:r w:rsidR="00CC70E4" w:rsidRPr="004700D9">
        <w:t>5.1</w:t>
      </w:r>
      <w:r w:rsidRPr="004700D9">
        <w:t>% (3</w:t>
      </w:r>
      <w:r w:rsidR="00CC70E4" w:rsidRPr="004700D9">
        <w:t>,639</w:t>
      </w:r>
      <w:r w:rsidR="00973B13" w:rsidRPr="004700D9">
        <w:t xml:space="preserve">) reported a disability. </w:t>
      </w:r>
      <w:r w:rsidR="00973B13" w:rsidRPr="004700D9">
        <w:rPr>
          <w:color w:val="000000"/>
        </w:rPr>
        <w:t xml:space="preserve">Of the entire workforce reporting a disability, </w:t>
      </w:r>
      <w:r w:rsidRPr="004700D9">
        <w:t>3</w:t>
      </w:r>
      <w:r w:rsidR="00CC70E4" w:rsidRPr="004700D9">
        <w:t>4</w:t>
      </w:r>
      <w:r w:rsidRPr="004700D9">
        <w:t>.</w:t>
      </w:r>
      <w:r w:rsidR="00CC70E4" w:rsidRPr="004700D9">
        <w:t>2</w:t>
      </w:r>
      <w:r w:rsidR="00973B13" w:rsidRPr="004700D9">
        <w:t xml:space="preserve">% </w:t>
      </w:r>
      <w:r w:rsidR="00973B13" w:rsidRPr="004700D9">
        <w:rPr>
          <w:color w:val="000000"/>
        </w:rPr>
        <w:t>were employed in public bodies of this size.</w:t>
      </w:r>
    </w:p>
    <w:p w14:paraId="52677750" w14:textId="77777777" w:rsidR="00973B13" w:rsidRPr="00BC13A0" w:rsidRDefault="00973B13" w:rsidP="00973B13">
      <w:pPr>
        <w:pStyle w:val="Heading3"/>
      </w:pPr>
      <w:r w:rsidRPr="00BC13A0">
        <w:t>Public bodies with over 5,000 staff</w:t>
      </w:r>
    </w:p>
    <w:p w14:paraId="3752E050" w14:textId="77777777" w:rsidR="00435F4E" w:rsidRPr="004700D9" w:rsidRDefault="00435F4E" w:rsidP="00435F4E">
      <w:pPr>
        <w:rPr>
          <w:szCs w:val="26"/>
        </w:rPr>
      </w:pPr>
      <w:r w:rsidRPr="004700D9">
        <w:rPr>
          <w:szCs w:val="26"/>
        </w:rPr>
        <w:t>In 2022, this size category had the smallest number of public bodies (8) and represented 56.4% of the total workforce. It employed 146,830 employees of which 3.0% (4,404) reported a disability. Of the entire workforce reporting a disability, 41.4%</w:t>
      </w:r>
      <w:r w:rsidRPr="004700D9">
        <w:rPr>
          <w:color w:val="000000" w:themeColor="text1"/>
          <w:szCs w:val="26"/>
        </w:rPr>
        <w:t xml:space="preserve"> </w:t>
      </w:r>
      <w:r w:rsidRPr="004700D9">
        <w:rPr>
          <w:szCs w:val="26"/>
        </w:rPr>
        <w:t>were employed in these large public bodies.</w:t>
      </w:r>
    </w:p>
    <w:p w14:paraId="0174393A" w14:textId="77777777" w:rsidR="00435F4E" w:rsidRPr="004700D9" w:rsidRDefault="00435F4E" w:rsidP="00435F4E">
      <w:pPr>
        <w:rPr>
          <w:color w:val="000000" w:themeColor="text1"/>
          <w:szCs w:val="26"/>
        </w:rPr>
      </w:pPr>
      <w:r w:rsidRPr="004700D9">
        <w:rPr>
          <w:color w:val="000000" w:themeColor="text1"/>
          <w:szCs w:val="26"/>
        </w:rPr>
        <w:t>The public bodies in this category and their reported percentage of employees with disabilities for 2022 are:</w:t>
      </w:r>
    </w:p>
    <w:p w14:paraId="62C42994" w14:textId="77777777" w:rsidR="00435F4E" w:rsidRPr="00BC13A0" w:rsidRDefault="00435F4E" w:rsidP="00435F4E">
      <w:pPr>
        <w:pStyle w:val="ListBullet"/>
        <w:spacing w:before="0"/>
        <w:rPr>
          <w:color w:val="000000" w:themeColor="text1"/>
        </w:rPr>
      </w:pPr>
      <w:r w:rsidRPr="00BC13A0">
        <w:rPr>
          <w:color w:val="000000" w:themeColor="text1"/>
        </w:rPr>
        <w:t>An Post</w:t>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t>4.2% (4.4% in 2021)</w:t>
      </w:r>
    </w:p>
    <w:p w14:paraId="1A7C05DC" w14:textId="1F10D65B" w:rsidR="00435F4E" w:rsidRPr="00BC13A0" w:rsidRDefault="00435F4E" w:rsidP="009C01B9">
      <w:pPr>
        <w:pStyle w:val="ListBullet"/>
        <w:spacing w:before="0"/>
        <w:ind w:left="357" w:hanging="357"/>
        <w:rPr>
          <w:color w:val="000000" w:themeColor="text1"/>
        </w:rPr>
      </w:pPr>
      <w:r w:rsidRPr="00BC13A0">
        <w:rPr>
          <w:color w:val="000000" w:themeColor="text1"/>
        </w:rPr>
        <w:t>Child and Family Protection Agency, (Tusla)</w:t>
      </w:r>
      <w:r w:rsidRPr="00BC13A0">
        <w:rPr>
          <w:color w:val="000000" w:themeColor="text1"/>
        </w:rPr>
        <w:tab/>
      </w:r>
      <w:r w:rsidRPr="00BC13A0">
        <w:rPr>
          <w:color w:val="000000" w:themeColor="text1"/>
        </w:rPr>
        <w:tab/>
      </w:r>
      <w:r w:rsidRPr="00BC13A0">
        <w:rPr>
          <w:color w:val="000000" w:themeColor="text1"/>
        </w:rPr>
        <w:tab/>
        <w:t xml:space="preserve">4.8% (4.4% in 2021)               </w:t>
      </w:r>
    </w:p>
    <w:p w14:paraId="22F987DD" w14:textId="77777777" w:rsidR="00435F4E" w:rsidRPr="00BC13A0" w:rsidRDefault="00435F4E" w:rsidP="00435F4E">
      <w:pPr>
        <w:pStyle w:val="ListBullet"/>
        <w:spacing w:before="0"/>
        <w:rPr>
          <w:color w:val="000000" w:themeColor="text1"/>
        </w:rPr>
      </w:pPr>
      <w:r w:rsidRPr="00BC13A0">
        <w:rPr>
          <w:color w:val="000000" w:themeColor="text1"/>
        </w:rPr>
        <w:t xml:space="preserve">Department of Social Protection </w:t>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t>5.3% (6.5% in 2021)</w:t>
      </w:r>
    </w:p>
    <w:p w14:paraId="59DDF2F0" w14:textId="77777777" w:rsidR="00435F4E" w:rsidRPr="00BC13A0" w:rsidRDefault="00435F4E" w:rsidP="00435F4E">
      <w:pPr>
        <w:pStyle w:val="ListBullet"/>
        <w:spacing w:before="0"/>
        <w:rPr>
          <w:color w:val="000000" w:themeColor="text1"/>
        </w:rPr>
      </w:pPr>
      <w:r w:rsidRPr="00BC13A0">
        <w:rPr>
          <w:color w:val="000000" w:themeColor="text1"/>
        </w:rPr>
        <w:t>Dublin City Council</w:t>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t>4.2% (4.4% in 2021)</w:t>
      </w:r>
    </w:p>
    <w:p w14:paraId="32BDD03B" w14:textId="77777777" w:rsidR="00435F4E" w:rsidRPr="00BC13A0" w:rsidRDefault="00435F4E" w:rsidP="00435F4E">
      <w:pPr>
        <w:pStyle w:val="ListBullet"/>
        <w:spacing w:before="0"/>
        <w:rPr>
          <w:color w:val="000000" w:themeColor="text1"/>
        </w:rPr>
      </w:pPr>
      <w:r w:rsidRPr="00BC13A0">
        <w:rPr>
          <w:color w:val="000000" w:themeColor="text1"/>
        </w:rPr>
        <w:t>Electricity Supply Board (ESB)</w:t>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t>3.4% (3.8% in 2021)</w:t>
      </w:r>
    </w:p>
    <w:p w14:paraId="36EA489E" w14:textId="77777777" w:rsidR="00435F4E" w:rsidRPr="00BC13A0" w:rsidRDefault="00435F4E" w:rsidP="00435F4E">
      <w:pPr>
        <w:pStyle w:val="ListBullet"/>
        <w:spacing w:before="0"/>
        <w:ind w:left="357" w:hanging="357"/>
        <w:rPr>
          <w:color w:val="000000" w:themeColor="text1"/>
        </w:rPr>
      </w:pPr>
      <w:r w:rsidRPr="00BC13A0">
        <w:rPr>
          <w:color w:val="000000" w:themeColor="text1"/>
        </w:rPr>
        <w:t>HSE</w:t>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t>2.3% (1.6% in 2021)</w:t>
      </w:r>
    </w:p>
    <w:p w14:paraId="54F09F6D" w14:textId="77777777" w:rsidR="00435F4E" w:rsidRPr="00BC13A0" w:rsidRDefault="00435F4E" w:rsidP="0069488C">
      <w:pPr>
        <w:pStyle w:val="ListBullet"/>
        <w:spacing w:before="0"/>
        <w:ind w:left="357" w:hanging="357"/>
        <w:rPr>
          <w:color w:val="000000" w:themeColor="text1"/>
        </w:rPr>
      </w:pPr>
      <w:r w:rsidRPr="00BC13A0">
        <w:rPr>
          <w:color w:val="000000" w:themeColor="text1"/>
        </w:rPr>
        <w:t>Office of the Revenue Commissioners</w:t>
      </w:r>
      <w:r w:rsidRPr="00BC13A0">
        <w:rPr>
          <w:color w:val="000000" w:themeColor="text1"/>
        </w:rPr>
        <w:tab/>
      </w:r>
      <w:r w:rsidRPr="00BC13A0">
        <w:rPr>
          <w:color w:val="000000" w:themeColor="text1"/>
        </w:rPr>
        <w:tab/>
      </w:r>
      <w:r w:rsidRPr="00BC13A0">
        <w:rPr>
          <w:color w:val="000000" w:themeColor="text1"/>
        </w:rPr>
        <w:tab/>
        <w:t>3.9% (4.1% in 2021)</w:t>
      </w:r>
    </w:p>
    <w:p w14:paraId="2E21041F" w14:textId="0C08C86B" w:rsidR="00435F4E" w:rsidRPr="00406FB9" w:rsidRDefault="00435F4E" w:rsidP="00406FB9">
      <w:pPr>
        <w:pStyle w:val="ListBullet"/>
        <w:spacing w:before="0" w:after="240"/>
        <w:ind w:left="357" w:hanging="357"/>
        <w:rPr>
          <w:color w:val="000000" w:themeColor="text1"/>
        </w:rPr>
      </w:pPr>
      <w:r w:rsidRPr="00BC13A0">
        <w:rPr>
          <w:color w:val="000000" w:themeColor="text1"/>
        </w:rPr>
        <w:lastRenderedPageBreak/>
        <w:t>St. James’s Hospital</w:t>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r>
      <w:r w:rsidRPr="00BC13A0">
        <w:rPr>
          <w:color w:val="000000" w:themeColor="text1"/>
        </w:rPr>
        <w:tab/>
        <w:t xml:space="preserve">6.3% </w:t>
      </w:r>
      <w:r w:rsidR="00406FB9">
        <w:rPr>
          <w:color w:val="000000" w:themeColor="text1"/>
        </w:rPr>
        <w:t xml:space="preserve">               </w:t>
      </w:r>
      <w:r w:rsidRPr="00BC13A0">
        <w:rPr>
          <w:color w:val="000000" w:themeColor="text1"/>
        </w:rPr>
        <w:t>(</w:t>
      </w:r>
      <w:r w:rsidRPr="00406FB9">
        <w:rPr>
          <w:color w:val="000000" w:themeColor="text1"/>
        </w:rPr>
        <w:t>This public body had fewer than 5000 staff in 2021)</w:t>
      </w:r>
    </w:p>
    <w:p w14:paraId="5FD280FA" w14:textId="636F1951" w:rsidR="00EF3217" w:rsidRDefault="00EF3217" w:rsidP="00EF3217">
      <w:pPr>
        <w:pStyle w:val="Heading3"/>
      </w:pPr>
      <w:r>
        <w:t xml:space="preserve">Summary of analysis by size of public body </w:t>
      </w:r>
    </w:p>
    <w:p w14:paraId="382B27EB" w14:textId="02307EFB" w:rsidR="00EF3217" w:rsidRPr="00EF3217" w:rsidRDefault="00EF3217" w:rsidP="00EF3217">
      <w:r>
        <w:t>Table 4 details the summary of analysis by size of public body.</w:t>
      </w:r>
    </w:p>
    <w:p w14:paraId="1ECE391E" w14:textId="11ED834B" w:rsidR="00973B13" w:rsidRPr="00BC13A0" w:rsidRDefault="00EB7FD8" w:rsidP="00435F4E">
      <w:pPr>
        <w:pStyle w:val="TableTitle"/>
      </w:pPr>
      <w:r w:rsidRPr="00BC13A0">
        <w:t xml:space="preserve">Table </w:t>
      </w:r>
      <w:r w:rsidR="00F23185">
        <w:t>4</w:t>
      </w:r>
      <w:r w:rsidR="00973B13" w:rsidRPr="00BC13A0">
        <w:t xml:space="preserve">. </w:t>
      </w:r>
      <w:r w:rsidR="008A0082" w:rsidRPr="00BC13A0">
        <w:t>Data by size of public body 202</w:t>
      </w:r>
      <w:r w:rsidR="007C2B5B" w:rsidRPr="00BC13A0">
        <w:t>2</w:t>
      </w:r>
    </w:p>
    <w:tbl>
      <w:tblPr>
        <w:tblStyle w:val="TableGrid"/>
        <w:tblW w:w="10343" w:type="dxa"/>
        <w:tblInd w:w="-850" w:type="dxa"/>
        <w:tblLayout w:type="fixed"/>
        <w:tblLook w:val="0620" w:firstRow="1" w:lastRow="0" w:firstColumn="0" w:lastColumn="0" w:noHBand="1" w:noVBand="1"/>
      </w:tblPr>
      <w:tblGrid>
        <w:gridCol w:w="1555"/>
        <w:gridCol w:w="1417"/>
        <w:gridCol w:w="1418"/>
        <w:gridCol w:w="1417"/>
        <w:gridCol w:w="1418"/>
        <w:gridCol w:w="1417"/>
        <w:gridCol w:w="1701"/>
      </w:tblGrid>
      <w:tr w:rsidR="00973B13" w:rsidRPr="00BC13A0" w14:paraId="262424A5" w14:textId="77777777" w:rsidTr="004029C8">
        <w:tc>
          <w:tcPr>
            <w:tcW w:w="1555" w:type="dxa"/>
          </w:tcPr>
          <w:p w14:paraId="6871F41C" w14:textId="77777777" w:rsidR="00973B13" w:rsidRPr="00BC13A0" w:rsidRDefault="00973B13" w:rsidP="00AD2F28">
            <w:pPr>
              <w:pStyle w:val="TableHead"/>
              <w:keepNext/>
              <w:rPr>
                <w:color w:val="000000" w:themeColor="text1"/>
                <w:sz w:val="22"/>
                <w:szCs w:val="22"/>
              </w:rPr>
            </w:pPr>
            <w:r w:rsidRPr="00BC13A0">
              <w:rPr>
                <w:color w:val="000000" w:themeColor="text1"/>
                <w:sz w:val="22"/>
                <w:szCs w:val="22"/>
              </w:rPr>
              <w:t>No. of employees</w:t>
            </w:r>
          </w:p>
          <w:p w14:paraId="76AEC98F" w14:textId="77777777" w:rsidR="00973B13" w:rsidRPr="00BC13A0" w:rsidRDefault="00973B13" w:rsidP="00AD2F28">
            <w:pPr>
              <w:pStyle w:val="TableHead"/>
              <w:keepNext/>
              <w:rPr>
                <w:color w:val="000000" w:themeColor="text1"/>
                <w:sz w:val="22"/>
                <w:szCs w:val="22"/>
              </w:rPr>
            </w:pPr>
          </w:p>
        </w:tc>
        <w:tc>
          <w:tcPr>
            <w:tcW w:w="1417" w:type="dxa"/>
          </w:tcPr>
          <w:p w14:paraId="2A7768AA" w14:textId="77777777" w:rsidR="00973B13" w:rsidRPr="00BC13A0" w:rsidRDefault="00973B13" w:rsidP="005F4DBC">
            <w:pPr>
              <w:pStyle w:val="TableHead"/>
              <w:keepNext/>
              <w:rPr>
                <w:color w:val="000000" w:themeColor="text1"/>
                <w:sz w:val="22"/>
                <w:szCs w:val="22"/>
              </w:rPr>
            </w:pPr>
            <w:r w:rsidRPr="00BC13A0">
              <w:rPr>
                <w:color w:val="000000" w:themeColor="text1"/>
                <w:sz w:val="22"/>
                <w:szCs w:val="22"/>
              </w:rPr>
              <w:t>No. of public bodies</w:t>
            </w:r>
          </w:p>
          <w:p w14:paraId="41F70305" w14:textId="77777777" w:rsidR="00973B13" w:rsidRPr="00BC13A0" w:rsidRDefault="00973B13" w:rsidP="005F4DBC">
            <w:pPr>
              <w:keepNext/>
              <w:spacing w:after="0"/>
              <w:rPr>
                <w:color w:val="000000" w:themeColor="text1"/>
                <w:sz w:val="22"/>
                <w:szCs w:val="22"/>
              </w:rPr>
            </w:pPr>
          </w:p>
        </w:tc>
        <w:tc>
          <w:tcPr>
            <w:tcW w:w="1418" w:type="dxa"/>
          </w:tcPr>
          <w:p w14:paraId="3C3BB8AC" w14:textId="593DC58D" w:rsidR="00973B13" w:rsidRPr="00BC13A0" w:rsidRDefault="00973B13" w:rsidP="005F4DBC">
            <w:pPr>
              <w:pStyle w:val="TableHead"/>
              <w:keepNext/>
              <w:rPr>
                <w:color w:val="000000" w:themeColor="text1"/>
                <w:sz w:val="22"/>
                <w:szCs w:val="22"/>
              </w:rPr>
            </w:pPr>
            <w:r w:rsidRPr="00BC13A0">
              <w:rPr>
                <w:color w:val="000000" w:themeColor="text1"/>
                <w:sz w:val="22"/>
                <w:szCs w:val="22"/>
              </w:rPr>
              <w:t xml:space="preserve">Total </w:t>
            </w:r>
            <w:r w:rsidR="003C02A5" w:rsidRPr="00BC13A0">
              <w:rPr>
                <w:color w:val="000000" w:themeColor="text1"/>
                <w:sz w:val="22"/>
                <w:szCs w:val="22"/>
              </w:rPr>
              <w:t xml:space="preserve">Number of </w:t>
            </w:r>
            <w:r w:rsidRPr="00BC13A0">
              <w:rPr>
                <w:color w:val="000000" w:themeColor="text1"/>
                <w:sz w:val="22"/>
                <w:szCs w:val="22"/>
              </w:rPr>
              <w:t>employees</w:t>
            </w:r>
          </w:p>
          <w:p w14:paraId="5A2880DD" w14:textId="77777777" w:rsidR="00973B13" w:rsidRPr="00BC13A0" w:rsidRDefault="00973B13" w:rsidP="005F4DBC">
            <w:pPr>
              <w:keepNext/>
              <w:spacing w:after="0"/>
              <w:rPr>
                <w:color w:val="000000" w:themeColor="text1"/>
                <w:sz w:val="22"/>
                <w:szCs w:val="22"/>
              </w:rPr>
            </w:pPr>
          </w:p>
        </w:tc>
        <w:tc>
          <w:tcPr>
            <w:tcW w:w="1417" w:type="dxa"/>
          </w:tcPr>
          <w:p w14:paraId="5EE48B14" w14:textId="135B44AF" w:rsidR="00973B13" w:rsidRPr="00BC13A0" w:rsidRDefault="003C02A5" w:rsidP="005F4DBC">
            <w:pPr>
              <w:pStyle w:val="TableHead"/>
              <w:keepNext/>
              <w:rPr>
                <w:color w:val="000000" w:themeColor="text1"/>
                <w:sz w:val="22"/>
                <w:szCs w:val="22"/>
              </w:rPr>
            </w:pPr>
            <w:r w:rsidRPr="00BC13A0">
              <w:rPr>
                <w:color w:val="000000" w:themeColor="text1"/>
                <w:sz w:val="22"/>
                <w:szCs w:val="22"/>
              </w:rPr>
              <w:t>Number</w:t>
            </w:r>
            <w:r w:rsidR="00502D3B">
              <w:rPr>
                <w:color w:val="000000" w:themeColor="text1"/>
                <w:sz w:val="22"/>
                <w:szCs w:val="22"/>
              </w:rPr>
              <w:t xml:space="preserve"> </w:t>
            </w:r>
            <w:r w:rsidR="00973B13" w:rsidRPr="00BC13A0">
              <w:rPr>
                <w:color w:val="000000" w:themeColor="text1"/>
                <w:sz w:val="22"/>
                <w:szCs w:val="22"/>
              </w:rPr>
              <w:t>of employees</w:t>
            </w:r>
            <w:r w:rsidR="004A1740" w:rsidRPr="00BC13A0">
              <w:rPr>
                <w:color w:val="000000" w:themeColor="text1"/>
                <w:sz w:val="22"/>
                <w:szCs w:val="22"/>
              </w:rPr>
              <w:t xml:space="preserve"> reporting </w:t>
            </w:r>
            <w:r w:rsidR="00AF6DF1" w:rsidRPr="00BC13A0">
              <w:rPr>
                <w:color w:val="000000" w:themeColor="text1"/>
                <w:sz w:val="22"/>
                <w:szCs w:val="22"/>
              </w:rPr>
              <w:t>a</w:t>
            </w:r>
            <w:r w:rsidR="004A1740" w:rsidRPr="00BC13A0">
              <w:rPr>
                <w:color w:val="000000" w:themeColor="text1"/>
                <w:sz w:val="22"/>
                <w:szCs w:val="22"/>
              </w:rPr>
              <w:t xml:space="preserve"> </w:t>
            </w:r>
            <w:r w:rsidR="00AF6DF1" w:rsidRPr="00BC13A0">
              <w:rPr>
                <w:color w:val="000000" w:themeColor="text1"/>
                <w:sz w:val="22"/>
                <w:szCs w:val="22"/>
              </w:rPr>
              <w:t>disability</w:t>
            </w:r>
          </w:p>
        </w:tc>
        <w:tc>
          <w:tcPr>
            <w:tcW w:w="1418" w:type="dxa"/>
          </w:tcPr>
          <w:p w14:paraId="00B87495" w14:textId="5D5AB4D6" w:rsidR="00973B13" w:rsidRPr="00BC13A0" w:rsidRDefault="004A1740" w:rsidP="005F4DBC">
            <w:pPr>
              <w:pStyle w:val="TableHead"/>
              <w:keepNext/>
              <w:rPr>
                <w:color w:val="000000" w:themeColor="text1"/>
                <w:sz w:val="22"/>
                <w:szCs w:val="22"/>
              </w:rPr>
            </w:pPr>
            <w:r w:rsidRPr="00BC13A0">
              <w:rPr>
                <w:color w:val="000000" w:themeColor="text1"/>
                <w:sz w:val="22"/>
                <w:szCs w:val="22"/>
              </w:rPr>
              <w:t>% of employees</w:t>
            </w:r>
            <w:r w:rsidR="003C02A5" w:rsidRPr="00BC13A0">
              <w:rPr>
                <w:color w:val="000000" w:themeColor="text1"/>
                <w:sz w:val="22"/>
                <w:szCs w:val="22"/>
              </w:rPr>
              <w:t xml:space="preserve"> reporting</w:t>
            </w:r>
            <w:r w:rsidR="00FE708A" w:rsidRPr="00BC13A0">
              <w:rPr>
                <w:color w:val="000000" w:themeColor="text1"/>
                <w:sz w:val="22"/>
                <w:szCs w:val="22"/>
              </w:rPr>
              <w:t xml:space="preserve"> </w:t>
            </w:r>
            <w:r w:rsidR="00AF6DF1" w:rsidRPr="00BC13A0">
              <w:rPr>
                <w:color w:val="000000" w:themeColor="text1"/>
                <w:sz w:val="22"/>
                <w:szCs w:val="22"/>
              </w:rPr>
              <w:t>a disability</w:t>
            </w:r>
          </w:p>
        </w:tc>
        <w:tc>
          <w:tcPr>
            <w:tcW w:w="1417" w:type="dxa"/>
          </w:tcPr>
          <w:p w14:paraId="3F5D2456" w14:textId="77777777" w:rsidR="00973B13" w:rsidRPr="00BC13A0" w:rsidRDefault="00973B13" w:rsidP="005F4DBC">
            <w:pPr>
              <w:pStyle w:val="TableHead"/>
              <w:keepNext/>
              <w:rPr>
                <w:color w:val="000000" w:themeColor="text1"/>
                <w:sz w:val="22"/>
                <w:szCs w:val="22"/>
              </w:rPr>
            </w:pPr>
            <w:r w:rsidRPr="00BC13A0">
              <w:rPr>
                <w:color w:val="000000" w:themeColor="text1"/>
                <w:sz w:val="22"/>
                <w:szCs w:val="22"/>
              </w:rPr>
              <w:t xml:space="preserve">% of total public sector workforce </w:t>
            </w:r>
          </w:p>
        </w:tc>
        <w:tc>
          <w:tcPr>
            <w:tcW w:w="1701" w:type="dxa"/>
          </w:tcPr>
          <w:p w14:paraId="7347D786" w14:textId="70E121AA" w:rsidR="00973B13" w:rsidRPr="00BC13A0" w:rsidRDefault="005F4DBC" w:rsidP="004273F9">
            <w:pPr>
              <w:spacing w:after="0"/>
              <w:rPr>
                <w:b/>
                <w:color w:val="000000" w:themeColor="text1"/>
                <w:sz w:val="22"/>
                <w:szCs w:val="22"/>
              </w:rPr>
            </w:pPr>
            <w:r w:rsidRPr="00BC13A0">
              <w:rPr>
                <w:b/>
                <w:sz w:val="22"/>
                <w:szCs w:val="22"/>
                <w:lang w:eastAsia="en-IE"/>
              </w:rPr>
              <w:t xml:space="preserve">% of employees </w:t>
            </w:r>
            <w:r w:rsidR="00F2736D" w:rsidRPr="00BC13A0">
              <w:rPr>
                <w:rStyle w:val="CommentReference"/>
                <w:b/>
                <w:sz w:val="22"/>
                <w:szCs w:val="22"/>
              </w:rPr>
              <w:t xml:space="preserve">with a disability as a proportion of </w:t>
            </w:r>
            <w:r w:rsidR="004273F9" w:rsidRPr="00BC13A0">
              <w:rPr>
                <w:rStyle w:val="CommentReference"/>
                <w:b/>
                <w:sz w:val="22"/>
                <w:szCs w:val="22"/>
              </w:rPr>
              <w:t xml:space="preserve">all </w:t>
            </w:r>
            <w:r w:rsidR="00F2736D" w:rsidRPr="00BC13A0">
              <w:rPr>
                <w:rStyle w:val="CommentReference"/>
                <w:b/>
                <w:sz w:val="22"/>
                <w:szCs w:val="22"/>
              </w:rPr>
              <w:t>employees with a disability</w:t>
            </w:r>
          </w:p>
        </w:tc>
      </w:tr>
      <w:tr w:rsidR="00973B13" w:rsidRPr="00BC13A0" w14:paraId="7B6698E1" w14:textId="77777777" w:rsidTr="004029C8">
        <w:trPr>
          <w:trHeight w:val="510"/>
        </w:trPr>
        <w:tc>
          <w:tcPr>
            <w:tcW w:w="1555" w:type="dxa"/>
          </w:tcPr>
          <w:p w14:paraId="539E963F" w14:textId="77777777" w:rsidR="00973B13" w:rsidRPr="00BC13A0" w:rsidRDefault="00973B13" w:rsidP="00AD2F28">
            <w:pPr>
              <w:pStyle w:val="TableHead"/>
              <w:keepNext/>
              <w:rPr>
                <w:color w:val="000000" w:themeColor="text1"/>
                <w:sz w:val="22"/>
                <w:szCs w:val="22"/>
              </w:rPr>
            </w:pPr>
            <w:r w:rsidRPr="00BC13A0">
              <w:rPr>
                <w:color w:val="000000" w:themeColor="text1"/>
                <w:sz w:val="22"/>
                <w:szCs w:val="22"/>
              </w:rPr>
              <w:t>1-99</w:t>
            </w:r>
          </w:p>
        </w:tc>
        <w:tc>
          <w:tcPr>
            <w:tcW w:w="1417" w:type="dxa"/>
          </w:tcPr>
          <w:p w14:paraId="05F6D398" w14:textId="4416FDB1" w:rsidR="00973B13" w:rsidRPr="00BC13A0" w:rsidRDefault="007C2B5B" w:rsidP="00AD2F28">
            <w:pPr>
              <w:pStyle w:val="TableCell"/>
              <w:keepNext/>
              <w:jc w:val="right"/>
              <w:rPr>
                <w:color w:val="000000" w:themeColor="text1"/>
                <w:sz w:val="22"/>
                <w:szCs w:val="22"/>
                <w:lang w:val="en-GB" w:eastAsia="en-GB"/>
              </w:rPr>
            </w:pPr>
            <w:r w:rsidRPr="00BC13A0">
              <w:rPr>
                <w:rFonts w:cs="Arial"/>
                <w:sz w:val="22"/>
                <w:szCs w:val="22"/>
              </w:rPr>
              <w:t>65</w:t>
            </w:r>
            <w:r w:rsidR="00973B13" w:rsidRPr="00BC13A0">
              <w:rPr>
                <w:rFonts w:cs="Arial"/>
                <w:sz w:val="22"/>
                <w:szCs w:val="22"/>
              </w:rPr>
              <w:t xml:space="preserve"> </w:t>
            </w:r>
          </w:p>
        </w:tc>
        <w:tc>
          <w:tcPr>
            <w:tcW w:w="1418" w:type="dxa"/>
          </w:tcPr>
          <w:p w14:paraId="6920267D" w14:textId="1BB5B896" w:rsidR="00973B13" w:rsidRPr="00BC13A0" w:rsidRDefault="008A0082" w:rsidP="00AD2F28">
            <w:pPr>
              <w:pStyle w:val="TableCell"/>
              <w:keepNext/>
              <w:jc w:val="right"/>
              <w:rPr>
                <w:color w:val="000000" w:themeColor="text1"/>
                <w:sz w:val="22"/>
                <w:szCs w:val="22"/>
                <w:lang w:val="en-GB" w:eastAsia="en-GB"/>
              </w:rPr>
            </w:pPr>
            <w:r w:rsidRPr="00BC13A0">
              <w:rPr>
                <w:color w:val="000000"/>
                <w:sz w:val="22"/>
                <w:szCs w:val="22"/>
              </w:rPr>
              <w:t>2,</w:t>
            </w:r>
            <w:r w:rsidR="007C2B5B" w:rsidRPr="00BC13A0">
              <w:rPr>
                <w:color w:val="000000"/>
                <w:sz w:val="22"/>
                <w:szCs w:val="22"/>
              </w:rPr>
              <w:t>724</w:t>
            </w:r>
          </w:p>
        </w:tc>
        <w:tc>
          <w:tcPr>
            <w:tcW w:w="1417" w:type="dxa"/>
          </w:tcPr>
          <w:p w14:paraId="11717310" w14:textId="6174D50A" w:rsidR="00973B13" w:rsidRPr="00BC13A0" w:rsidRDefault="008A0082" w:rsidP="00AD2F28">
            <w:pPr>
              <w:pStyle w:val="TableCell"/>
              <w:keepNext/>
              <w:jc w:val="right"/>
              <w:rPr>
                <w:color w:val="000000" w:themeColor="text1"/>
                <w:sz w:val="22"/>
                <w:szCs w:val="22"/>
                <w:lang w:val="en-GB" w:eastAsia="en-GB"/>
              </w:rPr>
            </w:pPr>
            <w:r w:rsidRPr="00BC13A0">
              <w:rPr>
                <w:color w:val="000000"/>
                <w:sz w:val="22"/>
                <w:szCs w:val="22"/>
              </w:rPr>
              <w:t>20</w:t>
            </w:r>
            <w:r w:rsidR="007C2B5B" w:rsidRPr="00BC13A0">
              <w:rPr>
                <w:color w:val="000000"/>
                <w:sz w:val="22"/>
                <w:szCs w:val="22"/>
              </w:rPr>
              <w:t>8</w:t>
            </w:r>
          </w:p>
        </w:tc>
        <w:tc>
          <w:tcPr>
            <w:tcW w:w="1418" w:type="dxa"/>
          </w:tcPr>
          <w:p w14:paraId="4857E4A2" w14:textId="467E0C77" w:rsidR="00973B13" w:rsidRPr="00BC13A0" w:rsidRDefault="008A0082" w:rsidP="00AD2F28">
            <w:pPr>
              <w:pStyle w:val="TableCell"/>
              <w:keepNext/>
              <w:jc w:val="right"/>
              <w:rPr>
                <w:color w:val="000000" w:themeColor="text1"/>
                <w:sz w:val="22"/>
                <w:szCs w:val="22"/>
                <w:lang w:val="en-GB" w:eastAsia="en-GB"/>
              </w:rPr>
            </w:pPr>
            <w:r w:rsidRPr="00BC13A0">
              <w:rPr>
                <w:rFonts w:cs="Arial"/>
                <w:color w:val="000000"/>
                <w:sz w:val="22"/>
                <w:szCs w:val="22"/>
              </w:rPr>
              <w:t>7.</w:t>
            </w:r>
            <w:r w:rsidR="007C2B5B" w:rsidRPr="00BC13A0">
              <w:rPr>
                <w:rFonts w:cs="Arial"/>
                <w:color w:val="000000"/>
                <w:sz w:val="22"/>
                <w:szCs w:val="22"/>
              </w:rPr>
              <w:t>6</w:t>
            </w:r>
            <w:r w:rsidR="00973B13" w:rsidRPr="00BC13A0">
              <w:rPr>
                <w:rFonts w:cs="Arial"/>
                <w:color w:val="000000"/>
                <w:sz w:val="22"/>
                <w:szCs w:val="22"/>
              </w:rPr>
              <w:t>%</w:t>
            </w:r>
          </w:p>
        </w:tc>
        <w:tc>
          <w:tcPr>
            <w:tcW w:w="1417" w:type="dxa"/>
          </w:tcPr>
          <w:p w14:paraId="6EEB010D" w14:textId="61EDE196" w:rsidR="00973B13" w:rsidRPr="00BC13A0" w:rsidRDefault="008A0082" w:rsidP="00AD2F28">
            <w:pPr>
              <w:spacing w:after="0"/>
              <w:jc w:val="right"/>
              <w:rPr>
                <w:color w:val="000000" w:themeColor="text1"/>
                <w:sz w:val="22"/>
                <w:szCs w:val="22"/>
                <w:lang w:val="en-GB" w:eastAsia="en-GB"/>
              </w:rPr>
            </w:pPr>
            <w:r w:rsidRPr="00BC13A0">
              <w:rPr>
                <w:rFonts w:cs="Arial"/>
                <w:sz w:val="22"/>
                <w:szCs w:val="22"/>
              </w:rPr>
              <w:t>1.</w:t>
            </w:r>
            <w:r w:rsidR="007C2B5B" w:rsidRPr="00BC13A0">
              <w:rPr>
                <w:rFonts w:cs="Arial"/>
                <w:sz w:val="22"/>
                <w:szCs w:val="22"/>
              </w:rPr>
              <w:t>0</w:t>
            </w:r>
            <w:r w:rsidR="00973B13" w:rsidRPr="00BC13A0">
              <w:rPr>
                <w:rFonts w:cs="Arial"/>
                <w:sz w:val="22"/>
                <w:szCs w:val="22"/>
              </w:rPr>
              <w:t>%</w:t>
            </w:r>
          </w:p>
        </w:tc>
        <w:tc>
          <w:tcPr>
            <w:tcW w:w="1701" w:type="dxa"/>
          </w:tcPr>
          <w:p w14:paraId="489446A2" w14:textId="281AC07E" w:rsidR="00973B13" w:rsidRPr="00BC13A0" w:rsidRDefault="008A0082" w:rsidP="00AD2F28">
            <w:pPr>
              <w:spacing w:after="0"/>
              <w:jc w:val="right"/>
              <w:rPr>
                <w:color w:val="000000" w:themeColor="text1"/>
                <w:sz w:val="22"/>
                <w:szCs w:val="22"/>
                <w:lang w:val="en-GB" w:eastAsia="en-GB"/>
              </w:rPr>
            </w:pPr>
            <w:r w:rsidRPr="00BC13A0">
              <w:rPr>
                <w:rFonts w:cs="Arial"/>
                <w:sz w:val="22"/>
                <w:szCs w:val="22"/>
              </w:rPr>
              <w:t>2.</w:t>
            </w:r>
            <w:r w:rsidR="007C2B5B" w:rsidRPr="00BC13A0">
              <w:rPr>
                <w:rFonts w:cs="Arial"/>
                <w:sz w:val="22"/>
                <w:szCs w:val="22"/>
              </w:rPr>
              <w:t>0%</w:t>
            </w:r>
          </w:p>
        </w:tc>
      </w:tr>
      <w:tr w:rsidR="00973B13" w:rsidRPr="00BC13A0" w14:paraId="113E1D4C" w14:textId="77777777" w:rsidTr="004029C8">
        <w:trPr>
          <w:trHeight w:val="510"/>
        </w:trPr>
        <w:tc>
          <w:tcPr>
            <w:tcW w:w="1555" w:type="dxa"/>
          </w:tcPr>
          <w:p w14:paraId="2A03DC63" w14:textId="77777777" w:rsidR="00973B13" w:rsidRPr="00BC13A0" w:rsidRDefault="00973B13" w:rsidP="00AD2F28">
            <w:pPr>
              <w:pStyle w:val="TableHead"/>
              <w:rPr>
                <w:color w:val="000000" w:themeColor="text1"/>
                <w:sz w:val="22"/>
                <w:szCs w:val="22"/>
              </w:rPr>
            </w:pPr>
            <w:r w:rsidRPr="00BC13A0">
              <w:rPr>
                <w:color w:val="000000" w:themeColor="text1"/>
                <w:sz w:val="22"/>
                <w:szCs w:val="22"/>
              </w:rPr>
              <w:t xml:space="preserve">100 -999 </w:t>
            </w:r>
          </w:p>
        </w:tc>
        <w:tc>
          <w:tcPr>
            <w:tcW w:w="1417" w:type="dxa"/>
          </w:tcPr>
          <w:p w14:paraId="712A8420" w14:textId="6511B725" w:rsidR="00973B13" w:rsidRPr="00BC13A0" w:rsidRDefault="008A0082" w:rsidP="00AD2F28">
            <w:pPr>
              <w:pStyle w:val="TableCell"/>
              <w:jc w:val="right"/>
              <w:rPr>
                <w:color w:val="000000" w:themeColor="text1"/>
                <w:sz w:val="22"/>
                <w:szCs w:val="22"/>
                <w:lang w:val="en-GB" w:eastAsia="en-GB"/>
              </w:rPr>
            </w:pPr>
            <w:r w:rsidRPr="00BC13A0">
              <w:rPr>
                <w:rFonts w:cs="Arial"/>
                <w:sz w:val="22"/>
                <w:szCs w:val="22"/>
              </w:rPr>
              <w:t>1</w:t>
            </w:r>
            <w:r w:rsidR="00BF3A90" w:rsidRPr="00BC13A0">
              <w:rPr>
                <w:rFonts w:cs="Arial"/>
                <w:sz w:val="22"/>
                <w:szCs w:val="22"/>
              </w:rPr>
              <w:t>06</w:t>
            </w:r>
          </w:p>
        </w:tc>
        <w:tc>
          <w:tcPr>
            <w:tcW w:w="1418" w:type="dxa"/>
          </w:tcPr>
          <w:p w14:paraId="071BA861" w14:textId="172FCAA8" w:rsidR="00973B13" w:rsidRPr="00BC13A0" w:rsidRDefault="008A0082" w:rsidP="00AD2F28">
            <w:pPr>
              <w:pStyle w:val="TableCell"/>
              <w:jc w:val="right"/>
              <w:rPr>
                <w:color w:val="000000" w:themeColor="text1"/>
                <w:sz w:val="22"/>
                <w:szCs w:val="22"/>
                <w:lang w:val="en-GB" w:eastAsia="en-GB"/>
              </w:rPr>
            </w:pPr>
            <w:r w:rsidRPr="00BC13A0">
              <w:rPr>
                <w:rFonts w:cs="Arial"/>
                <w:sz w:val="22"/>
                <w:szCs w:val="22"/>
              </w:rPr>
              <w:t>4</w:t>
            </w:r>
            <w:r w:rsidR="00BF3A90" w:rsidRPr="00BC13A0">
              <w:rPr>
                <w:rFonts w:cs="Arial"/>
                <w:sz w:val="22"/>
                <w:szCs w:val="22"/>
              </w:rPr>
              <w:t>0,195</w:t>
            </w:r>
          </w:p>
        </w:tc>
        <w:tc>
          <w:tcPr>
            <w:tcW w:w="1417" w:type="dxa"/>
          </w:tcPr>
          <w:p w14:paraId="4B174251" w14:textId="6A526A5E" w:rsidR="00973B13" w:rsidRPr="00BC13A0" w:rsidRDefault="008A0082" w:rsidP="000125BA">
            <w:pPr>
              <w:pStyle w:val="TableCell"/>
              <w:jc w:val="right"/>
              <w:rPr>
                <w:color w:val="000000" w:themeColor="text1"/>
                <w:sz w:val="22"/>
                <w:szCs w:val="22"/>
                <w:lang w:val="en-GB" w:eastAsia="en-GB"/>
              </w:rPr>
            </w:pPr>
            <w:r w:rsidRPr="00BC13A0">
              <w:rPr>
                <w:rFonts w:cs="Arial"/>
                <w:sz w:val="22"/>
                <w:szCs w:val="22"/>
              </w:rPr>
              <w:t>2,</w:t>
            </w:r>
            <w:r w:rsidR="00BF3A90" w:rsidRPr="00BC13A0">
              <w:rPr>
                <w:rFonts w:cs="Arial"/>
                <w:sz w:val="22"/>
                <w:szCs w:val="22"/>
              </w:rPr>
              <w:t>380</w:t>
            </w:r>
          </w:p>
        </w:tc>
        <w:tc>
          <w:tcPr>
            <w:tcW w:w="1418" w:type="dxa"/>
          </w:tcPr>
          <w:p w14:paraId="5657F64A" w14:textId="60385CDE" w:rsidR="00973B13" w:rsidRPr="00BC13A0" w:rsidRDefault="008A0082" w:rsidP="00AD2F28">
            <w:pPr>
              <w:pStyle w:val="TableCell"/>
              <w:jc w:val="right"/>
              <w:rPr>
                <w:color w:val="000000" w:themeColor="text1"/>
                <w:sz w:val="22"/>
                <w:szCs w:val="22"/>
                <w:lang w:val="en-GB" w:eastAsia="en-GB"/>
              </w:rPr>
            </w:pPr>
            <w:r w:rsidRPr="00BC13A0">
              <w:rPr>
                <w:rFonts w:cs="Arial"/>
                <w:color w:val="000000"/>
                <w:sz w:val="22"/>
                <w:szCs w:val="22"/>
              </w:rPr>
              <w:t>5.</w:t>
            </w:r>
            <w:r w:rsidR="00BF3A90" w:rsidRPr="00BC13A0">
              <w:rPr>
                <w:rFonts w:cs="Arial"/>
                <w:color w:val="000000"/>
                <w:sz w:val="22"/>
                <w:szCs w:val="22"/>
              </w:rPr>
              <w:t>9</w:t>
            </w:r>
            <w:r w:rsidR="00973B13" w:rsidRPr="00BC13A0">
              <w:rPr>
                <w:rFonts w:cs="Arial"/>
                <w:color w:val="000000"/>
                <w:sz w:val="22"/>
                <w:szCs w:val="22"/>
              </w:rPr>
              <w:t>%</w:t>
            </w:r>
          </w:p>
        </w:tc>
        <w:tc>
          <w:tcPr>
            <w:tcW w:w="1417" w:type="dxa"/>
          </w:tcPr>
          <w:p w14:paraId="07905F0F" w14:textId="49448A93" w:rsidR="00973B13" w:rsidRPr="00BC13A0" w:rsidRDefault="00973B13" w:rsidP="000125BA">
            <w:pPr>
              <w:spacing w:after="0"/>
              <w:jc w:val="right"/>
              <w:rPr>
                <w:color w:val="000000" w:themeColor="text1"/>
                <w:sz w:val="22"/>
                <w:szCs w:val="22"/>
                <w:lang w:val="en-GB" w:eastAsia="en-GB"/>
              </w:rPr>
            </w:pPr>
            <w:r w:rsidRPr="00BC13A0">
              <w:rPr>
                <w:rFonts w:cs="Arial"/>
                <w:sz w:val="22"/>
                <w:szCs w:val="22"/>
              </w:rPr>
              <w:t>1</w:t>
            </w:r>
            <w:r w:rsidR="00BF3A90" w:rsidRPr="00BC13A0">
              <w:rPr>
                <w:rFonts w:cs="Arial"/>
                <w:sz w:val="22"/>
                <w:szCs w:val="22"/>
              </w:rPr>
              <w:t>5.4</w:t>
            </w:r>
            <w:r w:rsidRPr="00BC13A0">
              <w:rPr>
                <w:rFonts w:cs="Arial"/>
                <w:sz w:val="22"/>
                <w:szCs w:val="22"/>
              </w:rPr>
              <w:t>%</w:t>
            </w:r>
          </w:p>
        </w:tc>
        <w:tc>
          <w:tcPr>
            <w:tcW w:w="1701" w:type="dxa"/>
          </w:tcPr>
          <w:p w14:paraId="489B84B0" w14:textId="586C71C7" w:rsidR="00973B13" w:rsidRPr="00BC13A0" w:rsidRDefault="00973B13" w:rsidP="000125BA">
            <w:pPr>
              <w:spacing w:after="0"/>
              <w:jc w:val="right"/>
              <w:rPr>
                <w:color w:val="000000" w:themeColor="text1"/>
                <w:sz w:val="22"/>
                <w:szCs w:val="22"/>
                <w:lang w:val="en-GB" w:eastAsia="en-GB"/>
              </w:rPr>
            </w:pPr>
            <w:r w:rsidRPr="00BC13A0">
              <w:rPr>
                <w:rFonts w:cs="Arial"/>
                <w:sz w:val="22"/>
                <w:szCs w:val="22"/>
              </w:rPr>
              <w:t>2</w:t>
            </w:r>
            <w:r w:rsidR="00BF3A90" w:rsidRPr="00BC13A0">
              <w:rPr>
                <w:rFonts w:cs="Arial"/>
                <w:sz w:val="22"/>
                <w:szCs w:val="22"/>
              </w:rPr>
              <w:t>2.4</w:t>
            </w:r>
            <w:r w:rsidRPr="00BC13A0">
              <w:rPr>
                <w:rFonts w:cs="Arial"/>
                <w:sz w:val="22"/>
                <w:szCs w:val="22"/>
              </w:rPr>
              <w:t>%</w:t>
            </w:r>
          </w:p>
        </w:tc>
      </w:tr>
      <w:tr w:rsidR="00973B13" w:rsidRPr="00BC13A0" w14:paraId="536B4B55" w14:textId="77777777" w:rsidTr="004029C8">
        <w:trPr>
          <w:trHeight w:val="510"/>
        </w:trPr>
        <w:tc>
          <w:tcPr>
            <w:tcW w:w="1555" w:type="dxa"/>
          </w:tcPr>
          <w:p w14:paraId="16F6996B" w14:textId="77777777" w:rsidR="00973B13" w:rsidRPr="00BC13A0" w:rsidRDefault="00973B13" w:rsidP="00AD2F28">
            <w:pPr>
              <w:spacing w:after="0"/>
              <w:rPr>
                <w:b/>
                <w:color w:val="000000" w:themeColor="text1"/>
                <w:sz w:val="22"/>
                <w:szCs w:val="22"/>
              </w:rPr>
            </w:pPr>
            <w:r w:rsidRPr="00BC13A0">
              <w:rPr>
                <w:b/>
                <w:color w:val="000000" w:themeColor="text1"/>
                <w:sz w:val="22"/>
                <w:szCs w:val="22"/>
              </w:rPr>
              <w:t xml:space="preserve">1,000 -4,999 </w:t>
            </w:r>
          </w:p>
        </w:tc>
        <w:tc>
          <w:tcPr>
            <w:tcW w:w="1417" w:type="dxa"/>
          </w:tcPr>
          <w:p w14:paraId="0D68692D" w14:textId="0AB8880D" w:rsidR="00973B13" w:rsidRPr="00BC13A0" w:rsidRDefault="00BF3A90" w:rsidP="00AD2F28">
            <w:pPr>
              <w:spacing w:after="0"/>
              <w:jc w:val="right"/>
              <w:rPr>
                <w:color w:val="000000" w:themeColor="text1"/>
                <w:sz w:val="22"/>
                <w:szCs w:val="22"/>
              </w:rPr>
            </w:pPr>
            <w:r w:rsidRPr="00BC13A0">
              <w:rPr>
                <w:rFonts w:cs="Arial"/>
                <w:sz w:val="22"/>
                <w:szCs w:val="22"/>
              </w:rPr>
              <w:t>34</w:t>
            </w:r>
          </w:p>
        </w:tc>
        <w:tc>
          <w:tcPr>
            <w:tcW w:w="1418" w:type="dxa"/>
          </w:tcPr>
          <w:p w14:paraId="7997ABE0" w14:textId="4DB51F6D" w:rsidR="00973B13" w:rsidRPr="00BC13A0" w:rsidRDefault="00AC0B0F" w:rsidP="000125BA">
            <w:pPr>
              <w:spacing w:after="0"/>
              <w:jc w:val="right"/>
              <w:rPr>
                <w:color w:val="000000" w:themeColor="text1"/>
                <w:sz w:val="22"/>
                <w:szCs w:val="22"/>
              </w:rPr>
            </w:pPr>
            <w:r w:rsidRPr="00BC13A0">
              <w:rPr>
                <w:rFonts w:cs="Arial"/>
                <w:sz w:val="22"/>
                <w:szCs w:val="22"/>
              </w:rPr>
              <w:t>70,</w:t>
            </w:r>
            <w:r w:rsidR="00BF3A90" w:rsidRPr="00BC13A0">
              <w:rPr>
                <w:rFonts w:cs="Arial"/>
                <w:sz w:val="22"/>
                <w:szCs w:val="22"/>
              </w:rPr>
              <w:t>685</w:t>
            </w:r>
          </w:p>
        </w:tc>
        <w:tc>
          <w:tcPr>
            <w:tcW w:w="1417" w:type="dxa"/>
          </w:tcPr>
          <w:p w14:paraId="4AA9A9FC" w14:textId="20E0D58C" w:rsidR="00973B13" w:rsidRPr="00BC13A0" w:rsidRDefault="00AC0B0F" w:rsidP="00AD2F28">
            <w:pPr>
              <w:spacing w:after="0"/>
              <w:jc w:val="right"/>
              <w:rPr>
                <w:color w:val="000000" w:themeColor="text1"/>
                <w:sz w:val="22"/>
                <w:szCs w:val="22"/>
              </w:rPr>
            </w:pPr>
            <w:r w:rsidRPr="00BC13A0">
              <w:rPr>
                <w:rFonts w:cs="Arial"/>
                <w:sz w:val="22"/>
                <w:szCs w:val="22"/>
              </w:rPr>
              <w:t>3,</w:t>
            </w:r>
            <w:r w:rsidR="00BF3A90" w:rsidRPr="00BC13A0">
              <w:rPr>
                <w:rFonts w:cs="Arial"/>
                <w:sz w:val="22"/>
                <w:szCs w:val="22"/>
              </w:rPr>
              <w:t>639</w:t>
            </w:r>
          </w:p>
        </w:tc>
        <w:tc>
          <w:tcPr>
            <w:tcW w:w="1418" w:type="dxa"/>
          </w:tcPr>
          <w:p w14:paraId="69EAFAE4" w14:textId="55E7A701" w:rsidR="00973B13" w:rsidRPr="00BC13A0" w:rsidRDefault="00BF3A90" w:rsidP="00AD2F28">
            <w:pPr>
              <w:spacing w:after="0"/>
              <w:jc w:val="right"/>
              <w:rPr>
                <w:color w:val="000000" w:themeColor="text1"/>
                <w:sz w:val="22"/>
                <w:szCs w:val="22"/>
              </w:rPr>
            </w:pPr>
            <w:r w:rsidRPr="00BC13A0">
              <w:rPr>
                <w:rFonts w:cs="Arial"/>
                <w:color w:val="000000"/>
                <w:sz w:val="22"/>
                <w:szCs w:val="22"/>
              </w:rPr>
              <w:t>5.1%</w:t>
            </w:r>
          </w:p>
        </w:tc>
        <w:tc>
          <w:tcPr>
            <w:tcW w:w="1417" w:type="dxa"/>
          </w:tcPr>
          <w:p w14:paraId="76A7EE91" w14:textId="720E5820" w:rsidR="00973B13" w:rsidRPr="00BC13A0" w:rsidRDefault="00973B13" w:rsidP="000125BA">
            <w:pPr>
              <w:spacing w:after="0"/>
              <w:jc w:val="right"/>
              <w:rPr>
                <w:color w:val="000000" w:themeColor="text1"/>
                <w:sz w:val="22"/>
                <w:szCs w:val="22"/>
              </w:rPr>
            </w:pPr>
            <w:r w:rsidRPr="00BC13A0">
              <w:rPr>
                <w:rFonts w:cs="Arial"/>
                <w:sz w:val="22"/>
                <w:szCs w:val="22"/>
              </w:rPr>
              <w:t>2</w:t>
            </w:r>
            <w:r w:rsidR="00AC0B0F" w:rsidRPr="00BC13A0">
              <w:rPr>
                <w:rFonts w:cs="Arial"/>
                <w:sz w:val="22"/>
                <w:szCs w:val="22"/>
              </w:rPr>
              <w:t>7.</w:t>
            </w:r>
            <w:r w:rsidR="00BF3A90" w:rsidRPr="00BC13A0">
              <w:rPr>
                <w:rFonts w:cs="Arial"/>
                <w:sz w:val="22"/>
                <w:szCs w:val="22"/>
              </w:rPr>
              <w:t>1</w:t>
            </w:r>
            <w:r w:rsidRPr="00BC13A0">
              <w:rPr>
                <w:rFonts w:cs="Arial"/>
                <w:sz w:val="22"/>
                <w:szCs w:val="22"/>
              </w:rPr>
              <w:t>%</w:t>
            </w:r>
          </w:p>
        </w:tc>
        <w:tc>
          <w:tcPr>
            <w:tcW w:w="1701" w:type="dxa"/>
          </w:tcPr>
          <w:p w14:paraId="2378268A" w14:textId="6B1130F8" w:rsidR="00973B13" w:rsidRPr="00BC13A0" w:rsidRDefault="00AC0B0F" w:rsidP="00AD2F28">
            <w:pPr>
              <w:spacing w:after="0"/>
              <w:jc w:val="right"/>
              <w:rPr>
                <w:color w:val="000000" w:themeColor="text1"/>
                <w:sz w:val="22"/>
                <w:szCs w:val="22"/>
              </w:rPr>
            </w:pPr>
            <w:r w:rsidRPr="00BC13A0">
              <w:rPr>
                <w:rFonts w:cs="Arial"/>
                <w:sz w:val="22"/>
                <w:szCs w:val="22"/>
              </w:rPr>
              <w:t>3</w:t>
            </w:r>
            <w:r w:rsidR="00BF3A90" w:rsidRPr="00BC13A0">
              <w:rPr>
                <w:rFonts w:cs="Arial"/>
                <w:sz w:val="22"/>
                <w:szCs w:val="22"/>
              </w:rPr>
              <w:t>4.2</w:t>
            </w:r>
            <w:r w:rsidR="00973B13" w:rsidRPr="00BC13A0">
              <w:rPr>
                <w:rFonts w:cs="Arial"/>
                <w:sz w:val="22"/>
                <w:szCs w:val="22"/>
              </w:rPr>
              <w:t>%</w:t>
            </w:r>
          </w:p>
        </w:tc>
      </w:tr>
      <w:tr w:rsidR="00973B13" w:rsidRPr="00BC13A0" w14:paraId="7C1F76BA" w14:textId="77777777" w:rsidTr="004029C8">
        <w:trPr>
          <w:trHeight w:val="510"/>
        </w:trPr>
        <w:tc>
          <w:tcPr>
            <w:tcW w:w="1555" w:type="dxa"/>
          </w:tcPr>
          <w:p w14:paraId="5635D57E" w14:textId="77777777" w:rsidR="00973B13" w:rsidRPr="00BC13A0" w:rsidRDefault="00973B13" w:rsidP="00AD2F28">
            <w:pPr>
              <w:spacing w:after="0"/>
              <w:rPr>
                <w:b/>
                <w:color w:val="000000" w:themeColor="text1"/>
                <w:sz w:val="22"/>
                <w:szCs w:val="22"/>
              </w:rPr>
            </w:pPr>
            <w:r w:rsidRPr="00BC13A0">
              <w:rPr>
                <w:b/>
                <w:color w:val="000000" w:themeColor="text1"/>
                <w:sz w:val="22"/>
                <w:szCs w:val="22"/>
              </w:rPr>
              <w:t>5,000 +</w:t>
            </w:r>
          </w:p>
        </w:tc>
        <w:tc>
          <w:tcPr>
            <w:tcW w:w="1417" w:type="dxa"/>
          </w:tcPr>
          <w:p w14:paraId="6A4C25E7" w14:textId="7CB067A1" w:rsidR="00973B13" w:rsidRPr="00BC13A0" w:rsidRDefault="00BF3A90" w:rsidP="00AD2F28">
            <w:pPr>
              <w:spacing w:after="0"/>
              <w:jc w:val="right"/>
              <w:rPr>
                <w:color w:val="000000" w:themeColor="text1"/>
                <w:sz w:val="22"/>
                <w:szCs w:val="22"/>
              </w:rPr>
            </w:pPr>
            <w:r w:rsidRPr="00BC13A0">
              <w:rPr>
                <w:color w:val="000000" w:themeColor="text1"/>
                <w:sz w:val="22"/>
                <w:szCs w:val="22"/>
              </w:rPr>
              <w:t>8</w:t>
            </w:r>
          </w:p>
        </w:tc>
        <w:tc>
          <w:tcPr>
            <w:tcW w:w="1418" w:type="dxa"/>
          </w:tcPr>
          <w:p w14:paraId="0656F4AD" w14:textId="649F6397" w:rsidR="00973B13" w:rsidRPr="00BC13A0" w:rsidRDefault="00AC0B0F" w:rsidP="00AD2F28">
            <w:pPr>
              <w:spacing w:after="0"/>
              <w:jc w:val="right"/>
              <w:rPr>
                <w:color w:val="000000" w:themeColor="text1"/>
                <w:sz w:val="22"/>
                <w:szCs w:val="22"/>
              </w:rPr>
            </w:pPr>
            <w:r w:rsidRPr="00BC13A0">
              <w:rPr>
                <w:color w:val="000000"/>
                <w:sz w:val="22"/>
                <w:szCs w:val="22"/>
              </w:rPr>
              <w:t>1</w:t>
            </w:r>
            <w:r w:rsidR="00BF3A90" w:rsidRPr="00BC13A0">
              <w:rPr>
                <w:color w:val="000000"/>
                <w:sz w:val="22"/>
                <w:szCs w:val="22"/>
              </w:rPr>
              <w:t>46</w:t>
            </w:r>
            <w:r w:rsidR="00F254DA" w:rsidRPr="00BC13A0">
              <w:rPr>
                <w:color w:val="000000"/>
                <w:sz w:val="22"/>
                <w:szCs w:val="22"/>
              </w:rPr>
              <w:t>,</w:t>
            </w:r>
            <w:r w:rsidR="00BF3A90" w:rsidRPr="00BC13A0">
              <w:rPr>
                <w:color w:val="000000"/>
                <w:sz w:val="22"/>
                <w:szCs w:val="22"/>
              </w:rPr>
              <w:t>830</w:t>
            </w:r>
          </w:p>
        </w:tc>
        <w:tc>
          <w:tcPr>
            <w:tcW w:w="1417" w:type="dxa"/>
          </w:tcPr>
          <w:p w14:paraId="50F53796" w14:textId="1B9899A0" w:rsidR="00973B13" w:rsidRPr="00BC13A0" w:rsidRDefault="00F254DA" w:rsidP="00AD2F28">
            <w:pPr>
              <w:spacing w:after="0"/>
              <w:jc w:val="right"/>
              <w:rPr>
                <w:color w:val="000000" w:themeColor="text1"/>
                <w:sz w:val="22"/>
                <w:szCs w:val="22"/>
              </w:rPr>
            </w:pPr>
            <w:r w:rsidRPr="00BC13A0">
              <w:rPr>
                <w:color w:val="000000"/>
                <w:sz w:val="22"/>
                <w:szCs w:val="22"/>
              </w:rPr>
              <w:t>4,404</w:t>
            </w:r>
          </w:p>
        </w:tc>
        <w:tc>
          <w:tcPr>
            <w:tcW w:w="1418" w:type="dxa"/>
          </w:tcPr>
          <w:p w14:paraId="6A624BCF" w14:textId="1BFD862D" w:rsidR="00973B13" w:rsidRPr="00BC13A0" w:rsidRDefault="00F254DA" w:rsidP="00AD2F28">
            <w:pPr>
              <w:spacing w:after="0"/>
              <w:jc w:val="right"/>
              <w:rPr>
                <w:color w:val="000000" w:themeColor="text1"/>
                <w:sz w:val="22"/>
                <w:szCs w:val="22"/>
              </w:rPr>
            </w:pPr>
            <w:r w:rsidRPr="00BC13A0">
              <w:rPr>
                <w:color w:val="000000" w:themeColor="text1"/>
                <w:sz w:val="22"/>
                <w:szCs w:val="22"/>
              </w:rPr>
              <w:t>3.0</w:t>
            </w:r>
            <w:r w:rsidR="00973B13" w:rsidRPr="00BC13A0">
              <w:rPr>
                <w:color w:val="000000" w:themeColor="text1"/>
                <w:sz w:val="22"/>
                <w:szCs w:val="22"/>
              </w:rPr>
              <w:t>%</w:t>
            </w:r>
          </w:p>
        </w:tc>
        <w:tc>
          <w:tcPr>
            <w:tcW w:w="1417" w:type="dxa"/>
          </w:tcPr>
          <w:p w14:paraId="580327A1" w14:textId="0CDED4DD" w:rsidR="00973B13" w:rsidRPr="00BC13A0" w:rsidRDefault="00973B13" w:rsidP="000125BA">
            <w:pPr>
              <w:spacing w:after="0"/>
              <w:jc w:val="right"/>
              <w:rPr>
                <w:color w:val="000000" w:themeColor="text1"/>
                <w:sz w:val="22"/>
                <w:szCs w:val="22"/>
              </w:rPr>
            </w:pPr>
            <w:r w:rsidRPr="00BC13A0">
              <w:rPr>
                <w:color w:val="000000" w:themeColor="text1"/>
                <w:sz w:val="22"/>
                <w:szCs w:val="22"/>
              </w:rPr>
              <w:t>5</w:t>
            </w:r>
            <w:r w:rsidR="00F254DA" w:rsidRPr="00BC13A0">
              <w:rPr>
                <w:color w:val="000000" w:themeColor="text1"/>
                <w:sz w:val="22"/>
                <w:szCs w:val="22"/>
              </w:rPr>
              <w:t>6.4</w:t>
            </w:r>
            <w:r w:rsidRPr="00BC13A0">
              <w:rPr>
                <w:color w:val="000000" w:themeColor="text1"/>
                <w:sz w:val="22"/>
                <w:szCs w:val="22"/>
              </w:rPr>
              <w:t>%</w:t>
            </w:r>
          </w:p>
        </w:tc>
        <w:tc>
          <w:tcPr>
            <w:tcW w:w="1701" w:type="dxa"/>
          </w:tcPr>
          <w:p w14:paraId="0C1426C1" w14:textId="59B002D3" w:rsidR="00973B13" w:rsidRPr="00BC13A0" w:rsidRDefault="00F254DA" w:rsidP="000125BA">
            <w:pPr>
              <w:spacing w:after="0"/>
              <w:jc w:val="right"/>
              <w:rPr>
                <w:color w:val="000000" w:themeColor="text1"/>
                <w:sz w:val="22"/>
                <w:szCs w:val="22"/>
              </w:rPr>
            </w:pPr>
            <w:r w:rsidRPr="00BC13A0">
              <w:rPr>
                <w:color w:val="000000" w:themeColor="text1"/>
                <w:sz w:val="22"/>
                <w:szCs w:val="22"/>
              </w:rPr>
              <w:t>41.4</w:t>
            </w:r>
            <w:r w:rsidR="00973B13" w:rsidRPr="00BC13A0">
              <w:rPr>
                <w:color w:val="000000" w:themeColor="text1"/>
                <w:sz w:val="22"/>
                <w:szCs w:val="22"/>
              </w:rPr>
              <w:t>%</w:t>
            </w:r>
          </w:p>
        </w:tc>
      </w:tr>
      <w:tr w:rsidR="00973B13" w:rsidRPr="004C3D5B" w14:paraId="010A9BBA" w14:textId="77777777" w:rsidTr="004029C8">
        <w:trPr>
          <w:trHeight w:val="510"/>
        </w:trPr>
        <w:tc>
          <w:tcPr>
            <w:tcW w:w="1555" w:type="dxa"/>
          </w:tcPr>
          <w:p w14:paraId="5E1ABBBF" w14:textId="71FEB832" w:rsidR="00973B13" w:rsidRPr="00BC13A0" w:rsidRDefault="002F41F3" w:rsidP="00AD2F28">
            <w:pPr>
              <w:spacing w:after="0"/>
              <w:rPr>
                <w:b/>
                <w:color w:val="000000" w:themeColor="text1"/>
                <w:sz w:val="22"/>
                <w:szCs w:val="22"/>
              </w:rPr>
            </w:pPr>
            <w:r w:rsidRPr="00BC13A0">
              <w:rPr>
                <w:b/>
                <w:color w:val="000000" w:themeColor="text1"/>
                <w:sz w:val="22"/>
                <w:szCs w:val="22"/>
              </w:rPr>
              <w:t>Total 202</w:t>
            </w:r>
            <w:r w:rsidR="00F254DA" w:rsidRPr="00BC13A0">
              <w:rPr>
                <w:b/>
                <w:color w:val="000000" w:themeColor="text1"/>
                <w:sz w:val="22"/>
                <w:szCs w:val="22"/>
              </w:rPr>
              <w:t>2</w:t>
            </w:r>
          </w:p>
        </w:tc>
        <w:tc>
          <w:tcPr>
            <w:tcW w:w="1417" w:type="dxa"/>
          </w:tcPr>
          <w:p w14:paraId="42A18A18" w14:textId="5FA5D404" w:rsidR="00973B13" w:rsidRPr="00BC13A0" w:rsidRDefault="00AC0B0F" w:rsidP="00AD2F28">
            <w:pPr>
              <w:spacing w:after="0"/>
              <w:jc w:val="right"/>
              <w:rPr>
                <w:b/>
                <w:color w:val="000000" w:themeColor="text1"/>
                <w:sz w:val="22"/>
                <w:szCs w:val="22"/>
              </w:rPr>
            </w:pPr>
            <w:r w:rsidRPr="00BC13A0">
              <w:rPr>
                <w:b/>
                <w:color w:val="000000" w:themeColor="text1"/>
                <w:sz w:val="22"/>
                <w:szCs w:val="22"/>
              </w:rPr>
              <w:t>213</w:t>
            </w:r>
          </w:p>
        </w:tc>
        <w:tc>
          <w:tcPr>
            <w:tcW w:w="1418" w:type="dxa"/>
          </w:tcPr>
          <w:p w14:paraId="4A3B9049" w14:textId="4AEB311D" w:rsidR="00973B13" w:rsidRPr="00BC13A0" w:rsidRDefault="00AC0B0F" w:rsidP="00AD2F28">
            <w:pPr>
              <w:spacing w:after="0"/>
              <w:jc w:val="right"/>
              <w:rPr>
                <w:b/>
                <w:color w:val="000000" w:themeColor="text1"/>
                <w:sz w:val="22"/>
                <w:szCs w:val="22"/>
              </w:rPr>
            </w:pPr>
            <w:r w:rsidRPr="00BC13A0">
              <w:rPr>
                <w:rFonts w:cs="Arial"/>
                <w:b/>
                <w:bCs/>
                <w:color w:val="000000"/>
                <w:sz w:val="22"/>
                <w:szCs w:val="22"/>
              </w:rPr>
              <w:t>2</w:t>
            </w:r>
            <w:r w:rsidR="00F254DA" w:rsidRPr="00BC13A0">
              <w:rPr>
                <w:rFonts w:cs="Arial"/>
                <w:b/>
                <w:bCs/>
                <w:color w:val="000000"/>
                <w:sz w:val="22"/>
                <w:szCs w:val="22"/>
              </w:rPr>
              <w:t>60,434</w:t>
            </w:r>
            <w:r w:rsidR="00973B13" w:rsidRPr="00BC13A0">
              <w:rPr>
                <w:rFonts w:cs="Arial"/>
                <w:b/>
                <w:bCs/>
                <w:color w:val="000000"/>
                <w:sz w:val="22"/>
                <w:szCs w:val="22"/>
              </w:rPr>
              <w:t xml:space="preserve"> </w:t>
            </w:r>
          </w:p>
        </w:tc>
        <w:tc>
          <w:tcPr>
            <w:tcW w:w="1417" w:type="dxa"/>
          </w:tcPr>
          <w:p w14:paraId="6A1B2AFE" w14:textId="36FE1677" w:rsidR="00973B13" w:rsidRPr="00BC13A0" w:rsidRDefault="00F254DA" w:rsidP="00AD2F28">
            <w:pPr>
              <w:spacing w:after="0"/>
              <w:jc w:val="right"/>
              <w:rPr>
                <w:b/>
                <w:color w:val="000000" w:themeColor="text1"/>
                <w:sz w:val="22"/>
                <w:szCs w:val="22"/>
              </w:rPr>
            </w:pPr>
            <w:r w:rsidRPr="00BC13A0">
              <w:rPr>
                <w:rFonts w:cs="Arial"/>
                <w:b/>
                <w:bCs/>
                <w:color w:val="000000"/>
                <w:sz w:val="22"/>
                <w:szCs w:val="22"/>
              </w:rPr>
              <w:t>10,631</w:t>
            </w:r>
            <w:r w:rsidR="00973B13" w:rsidRPr="00BC13A0">
              <w:rPr>
                <w:rFonts w:cs="Arial"/>
                <w:b/>
                <w:bCs/>
                <w:color w:val="000000"/>
                <w:sz w:val="22"/>
                <w:szCs w:val="22"/>
              </w:rPr>
              <w:t xml:space="preserve"> </w:t>
            </w:r>
          </w:p>
        </w:tc>
        <w:tc>
          <w:tcPr>
            <w:tcW w:w="1418" w:type="dxa"/>
          </w:tcPr>
          <w:p w14:paraId="2F4D3062" w14:textId="7478C71C" w:rsidR="00973B13" w:rsidRPr="00BC13A0" w:rsidRDefault="00F254DA" w:rsidP="00AD2F28">
            <w:pPr>
              <w:spacing w:after="0"/>
              <w:jc w:val="right"/>
              <w:rPr>
                <w:b/>
                <w:color w:val="000000" w:themeColor="text1"/>
                <w:sz w:val="22"/>
                <w:szCs w:val="22"/>
              </w:rPr>
            </w:pPr>
            <w:r w:rsidRPr="00BC13A0">
              <w:rPr>
                <w:b/>
                <w:color w:val="000000" w:themeColor="text1"/>
                <w:sz w:val="22"/>
                <w:szCs w:val="22"/>
              </w:rPr>
              <w:t>4.1%</w:t>
            </w:r>
          </w:p>
        </w:tc>
        <w:tc>
          <w:tcPr>
            <w:tcW w:w="1417" w:type="dxa"/>
          </w:tcPr>
          <w:p w14:paraId="3F45FED6" w14:textId="77777777" w:rsidR="00973B13" w:rsidRPr="00BC13A0" w:rsidRDefault="00973B13" w:rsidP="00AD2F28">
            <w:pPr>
              <w:spacing w:after="0"/>
              <w:jc w:val="right"/>
              <w:rPr>
                <w:b/>
                <w:color w:val="000000" w:themeColor="text1"/>
                <w:sz w:val="22"/>
                <w:szCs w:val="22"/>
              </w:rPr>
            </w:pPr>
            <w:r w:rsidRPr="00BC13A0">
              <w:rPr>
                <w:b/>
                <w:color w:val="000000" w:themeColor="text1"/>
                <w:sz w:val="22"/>
                <w:szCs w:val="22"/>
              </w:rPr>
              <w:t>100%</w:t>
            </w:r>
          </w:p>
        </w:tc>
        <w:tc>
          <w:tcPr>
            <w:tcW w:w="1701" w:type="dxa"/>
          </w:tcPr>
          <w:p w14:paraId="7B4E2C68" w14:textId="77777777" w:rsidR="00973B13" w:rsidRPr="004C3D5B" w:rsidRDefault="00973B13" w:rsidP="00AD2F28">
            <w:pPr>
              <w:spacing w:after="0"/>
              <w:jc w:val="right"/>
              <w:rPr>
                <w:b/>
                <w:color w:val="000000" w:themeColor="text1"/>
                <w:sz w:val="22"/>
                <w:szCs w:val="22"/>
              </w:rPr>
            </w:pPr>
            <w:r w:rsidRPr="00BC13A0">
              <w:rPr>
                <w:b/>
                <w:color w:val="000000" w:themeColor="text1"/>
                <w:sz w:val="22"/>
                <w:szCs w:val="22"/>
              </w:rPr>
              <w:t>100%</w:t>
            </w:r>
          </w:p>
        </w:tc>
      </w:tr>
    </w:tbl>
    <w:p w14:paraId="562D3F99" w14:textId="77777777" w:rsidR="008A6636" w:rsidRPr="004C3D5B" w:rsidRDefault="008A6636" w:rsidP="008A6636">
      <w:pPr>
        <w:pStyle w:val="Heading2"/>
      </w:pPr>
    </w:p>
    <w:p w14:paraId="736E4E41" w14:textId="160A0689" w:rsidR="00F23185" w:rsidRDefault="00090DB2" w:rsidP="00F23185">
      <w:pPr>
        <w:pStyle w:val="Heading2"/>
      </w:pPr>
      <w:bookmarkStart w:id="47" w:name="_Toc146113865"/>
      <w:r w:rsidRPr="00F23185">
        <w:t>2.</w:t>
      </w:r>
      <w:r w:rsidR="002858EC" w:rsidRPr="00F23185">
        <w:t>4</w:t>
      </w:r>
      <w:r w:rsidRPr="00F23185">
        <w:t xml:space="preserve"> </w:t>
      </w:r>
      <w:r w:rsidR="00F23185" w:rsidRPr="00F23185">
        <w:t>Models of Good Practice</w:t>
      </w:r>
      <w:bookmarkEnd w:id="47"/>
      <w:r w:rsidR="00F23185" w:rsidRPr="00F23185">
        <w:t xml:space="preserve"> </w:t>
      </w:r>
    </w:p>
    <w:p w14:paraId="36DB8FBA" w14:textId="39D5DF1C" w:rsidR="00DF3CD0" w:rsidRPr="004700D9" w:rsidRDefault="00DF3CD0" w:rsidP="00F23185">
      <w:r w:rsidRPr="004700D9">
        <w:t xml:space="preserve">Public bodies have demonstrated the importance of having models of good practice </w:t>
      </w:r>
      <w:r w:rsidR="003E01C9" w:rsidRPr="004700D9">
        <w:t xml:space="preserve">in place </w:t>
      </w:r>
      <w:r w:rsidRPr="004700D9">
        <w:t xml:space="preserve">to help them meet their obligations </w:t>
      </w:r>
      <w:r w:rsidR="003E01C9" w:rsidRPr="004700D9">
        <w:t xml:space="preserve">and also improve their performance </w:t>
      </w:r>
      <w:r w:rsidRPr="004700D9">
        <w:t xml:space="preserve">under Part </w:t>
      </w:r>
      <w:r w:rsidR="003E01C9" w:rsidRPr="004700D9">
        <w:t>5. The NDA has consistently provided these public bodies with advice and guidance to help them achieve this object</w:t>
      </w:r>
      <w:r w:rsidR="007F6C95">
        <w:t>i</w:t>
      </w:r>
      <w:r w:rsidR="003E01C9" w:rsidRPr="004700D9">
        <w:t>ve.</w:t>
      </w:r>
    </w:p>
    <w:p w14:paraId="15D3CEAC" w14:textId="54FB9D84" w:rsidR="00D012C4" w:rsidRPr="004700D9" w:rsidRDefault="00D012C4" w:rsidP="00D012C4">
      <w:r w:rsidRPr="004700D9">
        <w:t xml:space="preserve">Implementing these models of good practice has resulted in some public bodies reporting an increase in the number and percentage of employees reporting and demonstrating the progress they are making towards reaching the minimum 4.5% by 2024 and </w:t>
      </w:r>
      <w:r w:rsidR="00A32A5F">
        <w:t xml:space="preserve">the minimum </w:t>
      </w:r>
      <w:r w:rsidRPr="004700D9">
        <w:t>6% target by 2025.</w:t>
      </w:r>
    </w:p>
    <w:p w14:paraId="79AC4A43" w14:textId="1B501374" w:rsidR="00D012C4" w:rsidRPr="004700D9" w:rsidRDefault="00D012C4" w:rsidP="00D012C4">
      <w:r w:rsidRPr="004700D9">
        <w:t>For some public bodies that have experienced significant organisational restructuring and/or</w:t>
      </w:r>
      <w:r w:rsidR="00A32A5F">
        <w:t xml:space="preserve"> </w:t>
      </w:r>
      <w:r w:rsidRPr="004700D9">
        <w:t>considerable disruption to their operations due to the COVID-19 pandemic, having models of good practice in place has helped them to demonstrate that despite these events they are still working towards meeting their obligations under Part 5.</w:t>
      </w:r>
    </w:p>
    <w:p w14:paraId="3911AAFB" w14:textId="438FE43E" w:rsidR="003E01C9" w:rsidRPr="004700D9" w:rsidRDefault="003E01C9" w:rsidP="00F23185"/>
    <w:p w14:paraId="30F4EA50" w14:textId="0EDDCC90" w:rsidR="00D012C4" w:rsidRPr="004700D9" w:rsidRDefault="00D012C4" w:rsidP="00E642D9">
      <w:r w:rsidRPr="004700D9">
        <w:lastRenderedPageBreak/>
        <w:t xml:space="preserve">Some examples of models of good practice reported by public bodies and Government Departments are as follows: </w:t>
      </w:r>
    </w:p>
    <w:p w14:paraId="09EBE27D" w14:textId="6A0715F1" w:rsidR="00D012C4" w:rsidRPr="004700D9" w:rsidRDefault="00222B10" w:rsidP="00D012C4">
      <w:pPr>
        <w:pStyle w:val="ListParagraph"/>
        <w:numPr>
          <w:ilvl w:val="0"/>
          <w:numId w:val="23"/>
        </w:numPr>
        <w:spacing w:after="120"/>
        <w:ind w:left="714" w:hanging="357"/>
        <w:contextualSpacing w:val="0"/>
        <w:rPr>
          <w:rFonts w:ascii="Gill Sans MT" w:hAnsi="Gill Sans MT"/>
        </w:rPr>
      </w:pPr>
      <w:r w:rsidRPr="004700D9">
        <w:rPr>
          <w:rFonts w:ascii="Gill Sans MT" w:hAnsi="Gill Sans MT"/>
        </w:rPr>
        <w:t xml:space="preserve">Had a commitment to creating  an EDI work culture that is focussed on increasing the recruitment and retention of persons with disabilities as an objective in in their HR/Corporate Strategy. </w:t>
      </w:r>
      <w:r w:rsidR="00D012C4" w:rsidRPr="004700D9">
        <w:rPr>
          <w:rFonts w:ascii="Gill Sans MT" w:hAnsi="Gill Sans MT"/>
        </w:rPr>
        <w:t xml:space="preserve">Directors and Senior Management demonstrated their </w:t>
      </w:r>
      <w:r w:rsidRPr="004700D9">
        <w:rPr>
          <w:rFonts w:ascii="Gill Sans MT" w:hAnsi="Gill Sans MT"/>
        </w:rPr>
        <w:t xml:space="preserve">commitment to achieving this objective </w:t>
      </w:r>
      <w:r w:rsidR="00D012C4" w:rsidRPr="004700D9">
        <w:rPr>
          <w:rFonts w:ascii="Gill Sans MT" w:hAnsi="Gill Sans MT"/>
        </w:rPr>
        <w:t xml:space="preserve">by </w:t>
      </w:r>
      <w:r w:rsidRPr="004700D9">
        <w:rPr>
          <w:rFonts w:ascii="Gill Sans MT" w:hAnsi="Gill Sans MT"/>
        </w:rPr>
        <w:t>d</w:t>
      </w:r>
      <w:r w:rsidR="00D012C4" w:rsidRPr="004700D9">
        <w:rPr>
          <w:rFonts w:ascii="Gill Sans MT" w:hAnsi="Gill Sans MT"/>
        </w:rPr>
        <w:t>evelop</w:t>
      </w:r>
      <w:r w:rsidRPr="004700D9">
        <w:rPr>
          <w:rFonts w:ascii="Gill Sans MT" w:hAnsi="Gill Sans MT"/>
        </w:rPr>
        <w:t>ing</w:t>
      </w:r>
      <w:r w:rsidR="00D012C4" w:rsidRPr="004700D9">
        <w:rPr>
          <w:rFonts w:ascii="Gill Sans MT" w:hAnsi="Gill Sans MT"/>
        </w:rPr>
        <w:t xml:space="preserve"> an EDI Action Plan to implement </w:t>
      </w:r>
      <w:r w:rsidRPr="004700D9">
        <w:rPr>
          <w:rFonts w:ascii="Gill Sans MT" w:hAnsi="Gill Sans MT"/>
        </w:rPr>
        <w:t>same</w:t>
      </w:r>
    </w:p>
    <w:p w14:paraId="395C7C99" w14:textId="2E823BB1" w:rsidR="00D012C4" w:rsidRPr="004700D9" w:rsidRDefault="00D012C4" w:rsidP="00D012C4">
      <w:pPr>
        <w:pStyle w:val="ListParagraph"/>
        <w:numPr>
          <w:ilvl w:val="0"/>
          <w:numId w:val="23"/>
        </w:numPr>
        <w:spacing w:after="120"/>
        <w:ind w:left="714" w:hanging="357"/>
        <w:contextualSpacing w:val="0"/>
        <w:rPr>
          <w:rFonts w:ascii="Gill Sans MT" w:hAnsi="Gill Sans MT"/>
        </w:rPr>
      </w:pPr>
      <w:r w:rsidRPr="004700D9">
        <w:rPr>
          <w:rFonts w:ascii="Gill Sans MT" w:hAnsi="Gill Sans MT"/>
        </w:rPr>
        <w:t>Implemented a Universal Design approach to ensure that their products, services, communications (digital, written, spoken and signed) and their physical environments are easy to access, understand and use for everyone  regardless of age, size, ability or disability. Having policies and processes in place to ensure that all communications, especially recruitment information and documentation are accessible, can help persons with disabilities feel more included and may encourage them to apply for vacancies in a public body. It may also encourage employees with disabilities to apply for promotions within an organisation</w:t>
      </w:r>
    </w:p>
    <w:p w14:paraId="2C24D359" w14:textId="396EE503" w:rsidR="00D012C4" w:rsidRPr="004700D9" w:rsidRDefault="00D012C4" w:rsidP="00D012C4">
      <w:pPr>
        <w:pStyle w:val="ListParagraph"/>
        <w:numPr>
          <w:ilvl w:val="0"/>
          <w:numId w:val="18"/>
        </w:numPr>
        <w:spacing w:after="120"/>
        <w:ind w:left="714" w:hanging="357"/>
        <w:contextualSpacing w:val="0"/>
        <w:rPr>
          <w:rFonts w:ascii="Gill Sans MT" w:hAnsi="Gill Sans MT"/>
        </w:rPr>
      </w:pPr>
      <w:r w:rsidRPr="004700D9">
        <w:rPr>
          <w:rFonts w:ascii="Gill Sans MT" w:hAnsi="Gill Sans MT"/>
        </w:rPr>
        <w:t>Train</w:t>
      </w:r>
      <w:r w:rsidR="00222B10" w:rsidRPr="004700D9">
        <w:rPr>
          <w:rFonts w:ascii="Gill Sans MT" w:hAnsi="Gill Sans MT"/>
        </w:rPr>
        <w:t>ed</w:t>
      </w:r>
      <w:r w:rsidRPr="004700D9">
        <w:rPr>
          <w:rFonts w:ascii="Gill Sans MT" w:hAnsi="Gill Sans MT"/>
        </w:rPr>
        <w:t xml:space="preserve"> Managers and Line Managers to support all employees, including employees with disabilities</w:t>
      </w:r>
    </w:p>
    <w:p w14:paraId="1BCCC80A" w14:textId="2B53B2E5" w:rsidR="00D012C4" w:rsidRPr="004700D9" w:rsidRDefault="00D012C4" w:rsidP="00D012C4">
      <w:pPr>
        <w:pStyle w:val="ListParagraph"/>
        <w:numPr>
          <w:ilvl w:val="0"/>
          <w:numId w:val="18"/>
        </w:numPr>
        <w:spacing w:after="120"/>
        <w:ind w:left="714" w:hanging="357"/>
        <w:contextualSpacing w:val="0"/>
        <w:rPr>
          <w:rFonts w:ascii="Gill Sans MT" w:hAnsi="Gill Sans MT"/>
        </w:rPr>
      </w:pPr>
      <w:r w:rsidRPr="004700D9">
        <w:rPr>
          <w:rFonts w:ascii="Gill Sans MT" w:hAnsi="Gill Sans MT"/>
        </w:rPr>
        <w:t>Ha</w:t>
      </w:r>
      <w:r w:rsidR="00222B10" w:rsidRPr="004700D9">
        <w:rPr>
          <w:rFonts w:ascii="Gill Sans MT" w:hAnsi="Gill Sans MT"/>
        </w:rPr>
        <w:t>d</w:t>
      </w:r>
      <w:r w:rsidRPr="004700D9">
        <w:rPr>
          <w:rFonts w:ascii="Gill Sans MT" w:hAnsi="Gill Sans MT"/>
        </w:rPr>
        <w:t xml:space="preserve"> a partnership with </w:t>
      </w:r>
      <w:r w:rsidR="00222B10" w:rsidRPr="004700D9">
        <w:rPr>
          <w:rFonts w:ascii="Gill Sans MT" w:hAnsi="Gill Sans MT"/>
        </w:rPr>
        <w:t>AHEAD, the Trinity Centre for People with Intellectual Disabilities</w:t>
      </w:r>
      <w:r w:rsidR="00222B10" w:rsidRPr="004700D9">
        <w:rPr>
          <w:rFonts w:ascii="Gill Sans MT" w:hAnsi="Gill Sans MT"/>
          <w:sz w:val="22"/>
          <w:szCs w:val="22"/>
        </w:rPr>
        <w:t xml:space="preserve">  </w:t>
      </w:r>
      <w:r w:rsidR="00222B10" w:rsidRPr="004700D9">
        <w:rPr>
          <w:rFonts w:ascii="Gill Sans MT" w:hAnsi="Gill Sans MT"/>
        </w:rPr>
        <w:t>and other</w:t>
      </w:r>
      <w:r w:rsidR="00222B10" w:rsidRPr="004700D9">
        <w:rPr>
          <w:rFonts w:ascii="Gill Sans MT" w:hAnsi="Gill Sans MT"/>
          <w:sz w:val="22"/>
          <w:szCs w:val="22"/>
        </w:rPr>
        <w:t xml:space="preserve"> </w:t>
      </w:r>
      <w:r w:rsidRPr="004700D9">
        <w:rPr>
          <w:rFonts w:ascii="Gill Sans MT" w:hAnsi="Gill Sans MT"/>
        </w:rPr>
        <w:t>organisations that support employers to  provide work experience opportunities for persons with disabilities with a view to providing them with part-time or full time employment</w:t>
      </w:r>
    </w:p>
    <w:p w14:paraId="14A6BDF6" w14:textId="2CE19F5C" w:rsidR="00D012C4" w:rsidRPr="004700D9" w:rsidRDefault="00222B10" w:rsidP="00D012C4">
      <w:pPr>
        <w:pStyle w:val="ListParagraph"/>
        <w:numPr>
          <w:ilvl w:val="0"/>
          <w:numId w:val="18"/>
        </w:numPr>
        <w:rPr>
          <w:rFonts w:ascii="Gill Sans MT" w:hAnsi="Gill Sans MT"/>
          <w:lang w:eastAsia="en-IE"/>
        </w:rPr>
      </w:pPr>
      <w:r w:rsidRPr="004700D9">
        <w:rPr>
          <w:rFonts w:ascii="Gill Sans MT" w:hAnsi="Gill Sans MT"/>
        </w:rPr>
        <w:t>Had clear policies and processes and a consistent approach to the provision of reasonable accomm</w:t>
      </w:r>
      <w:r w:rsidR="007F6C95">
        <w:rPr>
          <w:rFonts w:ascii="Gill Sans MT" w:hAnsi="Gill Sans MT"/>
        </w:rPr>
        <w:t>o</w:t>
      </w:r>
      <w:r w:rsidRPr="004700D9">
        <w:rPr>
          <w:rFonts w:ascii="Gill Sans MT" w:hAnsi="Gill Sans MT"/>
        </w:rPr>
        <w:t xml:space="preserve">dations. One Government Department </w:t>
      </w:r>
      <w:r w:rsidR="00D012C4" w:rsidRPr="004700D9">
        <w:rPr>
          <w:rFonts w:ascii="Gill Sans MT" w:hAnsi="Gill Sans MT"/>
        </w:rPr>
        <w:t xml:space="preserve">reported that it </w:t>
      </w:r>
      <w:r w:rsidR="00D012C4" w:rsidRPr="004700D9">
        <w:rPr>
          <w:rFonts w:ascii="Gill Sans MT" w:hAnsi="Gill Sans MT"/>
          <w:lang w:eastAsia="en-IE"/>
        </w:rPr>
        <w:t>scheduled Sign Language Interpreters to assist employees who are deaf or with hearing loss for their induction, training and development, PMDS and probation cycle</w:t>
      </w:r>
      <w:r w:rsidR="00A32A5F">
        <w:rPr>
          <w:rFonts w:ascii="Gill Sans MT" w:hAnsi="Gill Sans MT"/>
          <w:lang w:eastAsia="en-IE"/>
        </w:rPr>
        <w:t>s</w:t>
      </w:r>
      <w:r w:rsidR="00D012C4" w:rsidRPr="004700D9">
        <w:rPr>
          <w:rFonts w:ascii="Gill Sans MT" w:hAnsi="Gill Sans MT"/>
          <w:lang w:eastAsia="en-IE"/>
        </w:rPr>
        <w:t xml:space="preserve">. </w:t>
      </w:r>
    </w:p>
    <w:p w14:paraId="62A03822" w14:textId="77777777" w:rsidR="00D012C4" w:rsidRPr="004700D9" w:rsidRDefault="00D012C4" w:rsidP="00D012C4">
      <w:pPr>
        <w:pStyle w:val="ListParagraph"/>
        <w:rPr>
          <w:rFonts w:ascii="Gill Sans MT" w:hAnsi="Gill Sans MT"/>
          <w:sz w:val="12"/>
          <w:szCs w:val="12"/>
          <w:lang w:eastAsia="en-IE"/>
        </w:rPr>
      </w:pPr>
    </w:p>
    <w:p w14:paraId="42A354EF" w14:textId="2DB9235F" w:rsidR="00D012C4" w:rsidRPr="00A32A5F" w:rsidRDefault="00D012C4" w:rsidP="00E642D9">
      <w:pPr>
        <w:pStyle w:val="ListParagraph"/>
        <w:numPr>
          <w:ilvl w:val="0"/>
          <w:numId w:val="18"/>
        </w:numPr>
        <w:spacing w:after="120"/>
        <w:ind w:left="714" w:hanging="357"/>
        <w:contextualSpacing w:val="0"/>
        <w:rPr>
          <w:rFonts w:ascii="Gill Sans MT" w:hAnsi="Gill Sans MT"/>
        </w:rPr>
      </w:pPr>
      <w:r w:rsidRPr="004700D9">
        <w:rPr>
          <w:rFonts w:ascii="Gill Sans MT" w:hAnsi="Gill Sans MT"/>
        </w:rPr>
        <w:t>Establish</w:t>
      </w:r>
      <w:r w:rsidR="00222B10" w:rsidRPr="004700D9">
        <w:rPr>
          <w:rFonts w:ascii="Gill Sans MT" w:hAnsi="Gill Sans MT"/>
        </w:rPr>
        <w:t>ed</w:t>
      </w:r>
      <w:r w:rsidRPr="004700D9">
        <w:rPr>
          <w:rFonts w:ascii="Gill Sans MT" w:hAnsi="Gill Sans MT"/>
        </w:rPr>
        <w:t xml:space="preserve"> a Social Inclusion and Disability group/employee network that includes employees with disabilities to inform the development and implementation of organisational policies to create and maintain an EDI work culture. </w:t>
      </w:r>
    </w:p>
    <w:p w14:paraId="0FD8FEC6" w14:textId="1943E8E4" w:rsidR="00B12926" w:rsidRPr="006766F6" w:rsidRDefault="00A53ACB" w:rsidP="00B12926">
      <w:pPr>
        <w:pStyle w:val="Heading2"/>
        <w:rPr>
          <w:lang w:eastAsia="en-IE"/>
        </w:rPr>
      </w:pPr>
      <w:bookmarkStart w:id="48" w:name="_Toc146113866"/>
      <w:r>
        <w:rPr>
          <w:lang w:eastAsia="en-IE"/>
        </w:rPr>
        <w:t xml:space="preserve">2.5 </w:t>
      </w:r>
      <w:r w:rsidR="00B12926">
        <w:rPr>
          <w:lang w:eastAsia="en-IE"/>
        </w:rPr>
        <w:t>Maintaining the momentum</w:t>
      </w:r>
      <w:bookmarkEnd w:id="48"/>
    </w:p>
    <w:p w14:paraId="12B2B811" w14:textId="2D5168ED" w:rsidR="00B12926" w:rsidRDefault="00B12926" w:rsidP="00B12926">
      <w:r>
        <w:t xml:space="preserve">The NDA is pleased to note the increase in the overall number and percentage of employees reporting a disability in 2022. </w:t>
      </w:r>
    </w:p>
    <w:p w14:paraId="266815AB" w14:textId="6B50E682" w:rsidR="00474F82" w:rsidRDefault="00474F82" w:rsidP="00B12926">
      <w:r>
        <w:t xml:space="preserve">However, the NDA has advised public bodies that the statutory employment target will increase to </w:t>
      </w:r>
      <w:r w:rsidR="00A32A5F">
        <w:t xml:space="preserve"> a minimum of </w:t>
      </w:r>
      <w:r>
        <w:t>4.5% by 2024. In 2022</w:t>
      </w:r>
      <w:r w:rsidRPr="00474F82">
        <w:t xml:space="preserve"> </w:t>
      </w:r>
      <w:r>
        <w:t>141 public bodies (66.2%) met the 4.5% target</w:t>
      </w:r>
      <w:r w:rsidR="00533050">
        <w:t xml:space="preserve"> and </w:t>
      </w:r>
      <w:r>
        <w:t>72 bodies (33.8%) did not reach th</w:t>
      </w:r>
      <w:r w:rsidR="00533050">
        <w:t>is</w:t>
      </w:r>
      <w:r>
        <w:t xml:space="preserve"> target.</w:t>
      </w:r>
      <w:r w:rsidR="00533050">
        <w:t xml:space="preserve"> The NDA therefore continues to advise public bodies that they need to continue to </w:t>
      </w:r>
      <w:r w:rsidR="00533050">
        <w:lastRenderedPageBreak/>
        <w:t>maintain the momentum and focus on continually improving their performance under Part 5</w:t>
      </w:r>
      <w:r w:rsidR="00CD5456">
        <w:t>. This is essential</w:t>
      </w:r>
      <w:r w:rsidR="00533050">
        <w:t xml:space="preserve"> if there is to be a significant increase in the number and percentage of public bodies that meet the minimum 4.5% </w:t>
      </w:r>
      <w:r w:rsidR="00A32A5F">
        <w:t xml:space="preserve">target </w:t>
      </w:r>
      <w:r w:rsidR="00533050">
        <w:t xml:space="preserve">when the </w:t>
      </w:r>
      <w:r w:rsidR="00533050" w:rsidRPr="003343F5">
        <w:rPr>
          <w:b/>
          <w:bCs/>
        </w:rPr>
        <w:t>Report on Compliance with Part 5 of the Disability Act 2005 for 2024</w:t>
      </w:r>
      <w:r w:rsidR="00533050">
        <w:t xml:space="preserve"> is produced in two years time.</w:t>
      </w:r>
    </w:p>
    <w:p w14:paraId="2733183A" w14:textId="42468EEC" w:rsidR="00474F82" w:rsidRDefault="00533050" w:rsidP="003343F5">
      <w:r>
        <w:t xml:space="preserve">The NDA </w:t>
      </w:r>
      <w:r w:rsidR="003343F5">
        <w:t xml:space="preserve">also </w:t>
      </w:r>
      <w:r>
        <w:t xml:space="preserve">notes that the number and percentage of public bodies reporting that </w:t>
      </w:r>
      <w:r w:rsidRPr="00BC13A0">
        <w:t>a minimum of 6% of their employees reported a disability</w:t>
      </w:r>
      <w:r w:rsidR="003343F5">
        <w:t xml:space="preserve"> </w:t>
      </w:r>
      <w:r>
        <w:t xml:space="preserve">increased from </w:t>
      </w:r>
      <w:r w:rsidRPr="00BC13A0">
        <w:t>78 (36.6%)</w:t>
      </w:r>
      <w:r>
        <w:t xml:space="preserve"> in 2021 to </w:t>
      </w:r>
      <w:r w:rsidR="00474F82" w:rsidRPr="00BC13A0">
        <w:t>103</w:t>
      </w:r>
      <w:r w:rsidR="003343F5">
        <w:t xml:space="preserve"> </w:t>
      </w:r>
      <w:r w:rsidR="00474F82" w:rsidRPr="00BC13A0">
        <w:t xml:space="preserve">(48.4%) </w:t>
      </w:r>
      <w:r w:rsidR="003343F5">
        <w:t>in 2022.  In this context, we have consistent</w:t>
      </w:r>
      <w:r w:rsidR="007F6C95">
        <w:t>l</w:t>
      </w:r>
      <w:r w:rsidR="003343F5">
        <w:t xml:space="preserve">y advised public bodies that it is essential for them to focussing on progressing from </w:t>
      </w:r>
      <w:r w:rsidR="00A32A5F">
        <w:t xml:space="preserve"> a minimum of </w:t>
      </w:r>
      <w:r w:rsidR="003343F5">
        <w:t>4.5% to</w:t>
      </w:r>
      <w:r w:rsidR="00A32A5F">
        <w:t xml:space="preserve"> a minimum</w:t>
      </w:r>
      <w:r w:rsidR="003343F5">
        <w:t xml:space="preserve"> </w:t>
      </w:r>
      <w:r w:rsidR="00A32A5F">
        <w:t xml:space="preserve">of </w:t>
      </w:r>
      <w:r w:rsidR="003343F5">
        <w:t>6% in the next few years.</w:t>
      </w:r>
    </w:p>
    <w:p w14:paraId="0ADEEB15" w14:textId="24ED4CC9" w:rsidR="00502D3B" w:rsidRDefault="00502D3B" w:rsidP="00E642D9"/>
    <w:p w14:paraId="3EA791C9" w14:textId="2ABE7DDA" w:rsidR="00502D3B" w:rsidRDefault="00502D3B" w:rsidP="00E642D9"/>
    <w:p w14:paraId="68EED65B" w14:textId="77777777" w:rsidR="001639FE" w:rsidRDefault="001639FE" w:rsidP="00E642D9"/>
    <w:p w14:paraId="5FC1869C" w14:textId="1E55EAC3" w:rsidR="00B12926" w:rsidRDefault="00B12926" w:rsidP="00E642D9"/>
    <w:p w14:paraId="611BF761" w14:textId="08EE3B74" w:rsidR="00B12926" w:rsidRDefault="00B12926" w:rsidP="00E642D9"/>
    <w:p w14:paraId="366B843E" w14:textId="77777777" w:rsidR="00B12926" w:rsidRDefault="00B12926" w:rsidP="00E642D9"/>
    <w:p w14:paraId="732BE417" w14:textId="75DA2B95" w:rsidR="00502D3B" w:rsidRDefault="00502D3B" w:rsidP="00E642D9"/>
    <w:p w14:paraId="4DC6DC41" w14:textId="77777777" w:rsidR="00502D3B" w:rsidRDefault="00502D3B" w:rsidP="00E642D9"/>
    <w:p w14:paraId="5851C1FD" w14:textId="47FD70BF" w:rsidR="00E642D9" w:rsidRDefault="00E642D9" w:rsidP="00F23185"/>
    <w:p w14:paraId="60DB3699" w14:textId="77777777" w:rsidR="00406FB9" w:rsidRPr="00F23185" w:rsidRDefault="00406FB9" w:rsidP="00533050">
      <w:pPr>
        <w:tabs>
          <w:tab w:val="left" w:pos="4962"/>
        </w:tabs>
      </w:pPr>
    </w:p>
    <w:p w14:paraId="423142AC" w14:textId="2DA249CF" w:rsidR="00BD1227" w:rsidRDefault="00BD1227" w:rsidP="003652F9"/>
    <w:p w14:paraId="45F6617E" w14:textId="7FA43DDB" w:rsidR="001639FE" w:rsidRDefault="001639FE" w:rsidP="003652F9"/>
    <w:p w14:paraId="5AE604BA" w14:textId="77777777" w:rsidR="00056CC3" w:rsidRDefault="00056CC3" w:rsidP="003652F9"/>
    <w:p w14:paraId="5C406A71" w14:textId="7F250771" w:rsidR="001639FE" w:rsidRDefault="001639FE" w:rsidP="003652F9"/>
    <w:p w14:paraId="4A9B67F8" w14:textId="27E5BE37" w:rsidR="001639FE" w:rsidRDefault="001639FE" w:rsidP="003652F9"/>
    <w:p w14:paraId="33BF0C96" w14:textId="4352B0B5" w:rsidR="00A32A5F" w:rsidRDefault="00A32A5F" w:rsidP="003652F9"/>
    <w:p w14:paraId="5651DDE7" w14:textId="77777777" w:rsidR="00A32A5F" w:rsidRPr="00F23185" w:rsidRDefault="00A32A5F" w:rsidP="003652F9"/>
    <w:p w14:paraId="52684CA4" w14:textId="33CB4B59" w:rsidR="00973B13" w:rsidRPr="00BC13A0" w:rsidRDefault="00973B13" w:rsidP="00973B13">
      <w:pPr>
        <w:pStyle w:val="Heading1"/>
        <w:rPr>
          <w:rFonts w:cs="Arial"/>
          <w:bCs/>
          <w:kern w:val="32"/>
        </w:rPr>
      </w:pPr>
      <w:bookmarkStart w:id="49" w:name="_Toc146113867"/>
      <w:r w:rsidRPr="00BC13A0">
        <w:rPr>
          <w:rFonts w:cs="Arial"/>
          <w:bCs/>
          <w:kern w:val="32"/>
        </w:rPr>
        <w:lastRenderedPageBreak/>
        <w:t xml:space="preserve">3. </w:t>
      </w:r>
      <w:r w:rsidRPr="00BC13A0">
        <w:t>Monitoring and Compliance</w:t>
      </w:r>
      <w:bookmarkEnd w:id="49"/>
    </w:p>
    <w:p w14:paraId="252FC322" w14:textId="3914AB4B" w:rsidR="00724D99" w:rsidRPr="00BC13A0" w:rsidRDefault="00973B13" w:rsidP="00973B13">
      <w:pPr>
        <w:pStyle w:val="Heading2"/>
      </w:pPr>
      <w:bookmarkStart w:id="50" w:name="_Toc498585838"/>
      <w:bookmarkStart w:id="51" w:name="_Toc146113868"/>
      <w:bookmarkStart w:id="52" w:name="_Toc526435819"/>
      <w:bookmarkStart w:id="53" w:name="_Toc18680253"/>
      <w:r w:rsidRPr="00BC13A0">
        <w:t xml:space="preserve">3.1 </w:t>
      </w:r>
      <w:bookmarkEnd w:id="50"/>
      <w:r w:rsidR="008B57D5" w:rsidRPr="00BC13A0">
        <w:t>Compliance</w:t>
      </w:r>
      <w:r w:rsidR="00724D99" w:rsidRPr="00BC13A0">
        <w:t xml:space="preserve"> under Part 5 of the Disability Act</w:t>
      </w:r>
      <w:bookmarkEnd w:id="51"/>
    </w:p>
    <w:p w14:paraId="10455A79" w14:textId="7BF89DF1" w:rsidR="00A2310F" w:rsidRPr="00BC13A0" w:rsidRDefault="00DE33B3" w:rsidP="003652F9">
      <w:r w:rsidRPr="00BC13A0">
        <w:t xml:space="preserve">Under Section 49 of the </w:t>
      </w:r>
      <w:r w:rsidR="008B57D5" w:rsidRPr="00BC13A0">
        <w:t>Disability</w:t>
      </w:r>
      <w:r w:rsidRPr="00BC13A0">
        <w:t xml:space="preserve"> Act 2005, the NDA can request further information from public bodie</w:t>
      </w:r>
      <w:r w:rsidR="00E118F5" w:rsidRPr="00BC13A0">
        <w:t>s who have not made the current</w:t>
      </w:r>
      <w:r w:rsidRPr="00BC13A0">
        <w:t xml:space="preserve"> minimum 3% target for two consecutive years and who have provided </w:t>
      </w:r>
      <w:r w:rsidR="00A2310F" w:rsidRPr="00BC13A0">
        <w:t>in</w:t>
      </w:r>
      <w:r w:rsidR="00366C86" w:rsidRPr="00BC13A0">
        <w:t>s</w:t>
      </w:r>
      <w:r w:rsidR="00A2310F" w:rsidRPr="00BC13A0">
        <w:t>ufficient evidence i</w:t>
      </w:r>
      <w:r w:rsidRPr="00BC13A0">
        <w:t>n their Part 5 retur</w:t>
      </w:r>
      <w:r w:rsidR="00A2310F" w:rsidRPr="00BC13A0">
        <w:t>ns for the relevan</w:t>
      </w:r>
      <w:r w:rsidR="00366C86" w:rsidRPr="00BC13A0">
        <w:t>t two year period that</w:t>
      </w:r>
      <w:r w:rsidR="00A2310F" w:rsidRPr="00BC13A0">
        <w:t>:</w:t>
      </w:r>
    </w:p>
    <w:p w14:paraId="77549A91" w14:textId="77777777" w:rsidR="00A2310F" w:rsidRPr="00BC13A0" w:rsidRDefault="00A2310F" w:rsidP="003652F9">
      <w:pPr>
        <w:pStyle w:val="ListBullet"/>
      </w:pPr>
      <w:r w:rsidRPr="00BC13A0">
        <w:t>Whether they “in so far as practicable” took “all reasonable measures to promote and support the employment” of persons with disabilities during the 2 year period, as detailed under Section 47 1(a) of the Disability Act 2005.</w:t>
      </w:r>
    </w:p>
    <w:p w14:paraId="4ADD8761" w14:textId="291C077F" w:rsidR="00A2310F" w:rsidRPr="00BC13A0" w:rsidRDefault="00A2310F" w:rsidP="003652F9">
      <w:pPr>
        <w:pStyle w:val="ListBullet"/>
      </w:pPr>
      <w:r w:rsidRPr="00BC13A0">
        <w:t>Whether there was “good reason to the contrary” for not reaching the 3% employment target in the 2 years, as detailed under Section 47 (2) of the Disability Act 2005.</w:t>
      </w:r>
    </w:p>
    <w:p w14:paraId="22E563B0" w14:textId="14E7A436" w:rsidR="00A3653B" w:rsidRPr="00BC13A0" w:rsidRDefault="008C5B57" w:rsidP="003652F9">
      <w:r w:rsidRPr="00BC13A0">
        <w:t xml:space="preserve">As stated in </w:t>
      </w:r>
      <w:r w:rsidR="00B2553D" w:rsidRPr="00B2553D">
        <w:rPr>
          <w:b/>
          <w:bCs/>
        </w:rPr>
        <w:t>S</w:t>
      </w:r>
      <w:r w:rsidRPr="00B2553D">
        <w:rPr>
          <w:b/>
          <w:bCs/>
        </w:rPr>
        <w:t>ection 2.</w:t>
      </w:r>
      <w:r w:rsidR="00B2553D" w:rsidRPr="00B2553D">
        <w:rPr>
          <w:b/>
          <w:bCs/>
        </w:rPr>
        <w:t>3 of this report</w:t>
      </w:r>
      <w:r w:rsidRPr="00BC13A0">
        <w:t>, th</w:t>
      </w:r>
      <w:r w:rsidR="002E63E1" w:rsidRPr="00BC13A0">
        <w:t>e NDA</w:t>
      </w:r>
      <w:r w:rsidRPr="00BC13A0">
        <w:t xml:space="preserve"> acknowledges that for smaller </w:t>
      </w:r>
      <w:r w:rsidR="008B57D5" w:rsidRPr="00BC13A0">
        <w:t>public</w:t>
      </w:r>
      <w:r w:rsidRPr="00BC13A0">
        <w:t xml:space="preserve"> bodies w</w:t>
      </w:r>
      <w:r w:rsidR="00E118F5" w:rsidRPr="00BC13A0">
        <w:t>ith less than 50 employees</w:t>
      </w:r>
      <w:r w:rsidR="008B57D5" w:rsidRPr="00BC13A0">
        <w:t>, their</w:t>
      </w:r>
      <w:r w:rsidRPr="00BC13A0">
        <w:t xml:space="preserve"> size may make it difficult for them to </w:t>
      </w:r>
      <w:r w:rsidR="008B57D5" w:rsidRPr="00BC13A0">
        <w:t>meet</w:t>
      </w:r>
      <w:r w:rsidRPr="00BC13A0">
        <w:t xml:space="preserve"> the</w:t>
      </w:r>
      <w:r w:rsidR="00A3653B" w:rsidRPr="00BC13A0">
        <w:t xml:space="preserve"> current </w:t>
      </w:r>
      <w:r w:rsidR="008B57D5" w:rsidRPr="00BC13A0">
        <w:t>minimum</w:t>
      </w:r>
      <w:r w:rsidR="00A3653B" w:rsidRPr="00BC13A0">
        <w:t xml:space="preserve"> 3% target. One employee joining or leaving a public body can be the difference between these public bodies meeting or not meetin</w:t>
      </w:r>
      <w:r w:rsidR="0008719B" w:rsidRPr="00BC13A0">
        <w:t>g the current minimum 3% target</w:t>
      </w:r>
      <w:r w:rsidR="00C36A50" w:rsidRPr="00BC13A0">
        <w:t xml:space="preserve">. </w:t>
      </w:r>
      <w:r w:rsidR="0008719B" w:rsidRPr="00BC13A0">
        <w:t xml:space="preserve">The </w:t>
      </w:r>
      <w:r w:rsidR="00C36A50" w:rsidRPr="00BC13A0">
        <w:t>NDA</w:t>
      </w:r>
      <w:r w:rsidR="0008719B" w:rsidRPr="00BC13A0">
        <w:t xml:space="preserve"> therefore does not issue these smaller public bodies </w:t>
      </w:r>
      <w:r w:rsidR="00C36A50" w:rsidRPr="00BC13A0">
        <w:t xml:space="preserve">with requests for further information known as S.49 </w:t>
      </w:r>
      <w:r w:rsidR="0008719B" w:rsidRPr="00BC13A0">
        <w:t>requests. The NDA provides these and other public bodes with continuous advice and guidance to help the</w:t>
      </w:r>
      <w:r w:rsidR="00A32A5F">
        <w:t>m</w:t>
      </w:r>
      <w:r w:rsidR="0008719B" w:rsidRPr="00BC13A0">
        <w:t xml:space="preserve"> to improve their performance under Part 5. We inform them that we are monitoring their performance</w:t>
      </w:r>
      <w:r w:rsidR="00487BFE" w:rsidRPr="00BC13A0">
        <w:t xml:space="preserve"> on an ongoing basis</w:t>
      </w:r>
      <w:r w:rsidR="0008719B" w:rsidRPr="00BC13A0">
        <w:t>.</w:t>
      </w:r>
    </w:p>
    <w:p w14:paraId="5ABB0322" w14:textId="19B1D8E9" w:rsidR="004A0AEC" w:rsidRPr="00BC13A0" w:rsidRDefault="0057606A" w:rsidP="003652F9">
      <w:r w:rsidRPr="00BC13A0">
        <w:t xml:space="preserve">When the NDA sends S.49 requests </w:t>
      </w:r>
      <w:r w:rsidR="008B57D5" w:rsidRPr="00BC13A0">
        <w:t>to public</w:t>
      </w:r>
      <w:r w:rsidRPr="00BC13A0">
        <w:t xml:space="preserve"> bodies with 50 plus employees</w:t>
      </w:r>
      <w:r w:rsidR="00E118F5" w:rsidRPr="00BC13A0">
        <w:t>,</w:t>
      </w:r>
      <w:r w:rsidRPr="00BC13A0">
        <w:t xml:space="preserve"> we ask them to </w:t>
      </w:r>
      <w:r w:rsidR="004A0AEC" w:rsidRPr="00BC13A0">
        <w:t>provide resp</w:t>
      </w:r>
      <w:r w:rsidR="0008719B" w:rsidRPr="00BC13A0">
        <w:t>onses that address</w:t>
      </w:r>
      <w:r w:rsidR="004A0AEC" w:rsidRPr="00BC13A0">
        <w:t xml:space="preserve"> key </w:t>
      </w:r>
      <w:r w:rsidR="009C3598">
        <w:t>indicators</w:t>
      </w:r>
      <w:r w:rsidR="00EF5EA4" w:rsidRPr="00BC13A0">
        <w:t xml:space="preserve"> that are based on legal advice the NDA has received. These key </w:t>
      </w:r>
      <w:r w:rsidR="009C3598">
        <w:t>indicators</w:t>
      </w:r>
      <w:r w:rsidR="00EF5EA4" w:rsidRPr="00BC13A0">
        <w:t xml:space="preserve"> are as follows:</w:t>
      </w:r>
    </w:p>
    <w:p w14:paraId="537423DD" w14:textId="33C8215E" w:rsidR="004A0AEC" w:rsidRPr="00BC13A0" w:rsidRDefault="00BC13A0" w:rsidP="003652F9">
      <w:pPr>
        <w:pStyle w:val="ListBullet"/>
      </w:pPr>
      <w:r w:rsidRPr="00BC13A0">
        <w:rPr>
          <w:b/>
        </w:rPr>
        <w:t>Indicator</w:t>
      </w:r>
      <w:r w:rsidR="004A0AEC" w:rsidRPr="00BC13A0">
        <w:rPr>
          <w:b/>
        </w:rPr>
        <w:t xml:space="preserve"> 1:</w:t>
      </w:r>
      <w:r w:rsidR="004A0AEC" w:rsidRPr="00BC13A0">
        <w:t xml:space="preserve"> Evidence of a planned strategic commitment to achieve the current minimum 3% target, for example within a corporate strategy or HR strategy </w:t>
      </w:r>
      <w:r w:rsidR="004A0AEC" w:rsidRPr="00BC13A0">
        <w:rPr>
          <w:bCs/>
        </w:rPr>
        <w:t>that aligns with public bodies’ obligations under</w:t>
      </w:r>
      <w:r w:rsidR="004A0AEC" w:rsidRPr="00BC13A0">
        <w:rPr>
          <w:b/>
          <w:bCs/>
        </w:rPr>
        <w:t xml:space="preserve"> the Public Sector Equality and Human Rights Duty </w:t>
      </w:r>
      <w:r w:rsidR="004A0AEC" w:rsidRPr="00BC13A0">
        <w:rPr>
          <w:bCs/>
        </w:rPr>
        <w:t>and</w:t>
      </w:r>
      <w:r w:rsidR="004A0AEC" w:rsidRPr="00BC13A0">
        <w:rPr>
          <w:b/>
          <w:bCs/>
        </w:rPr>
        <w:t xml:space="preserve"> OPS 2020 (Our Public Service 2020) framework for development and innovati</w:t>
      </w:r>
      <w:r w:rsidR="00ED2309" w:rsidRPr="00BC13A0">
        <w:rPr>
          <w:b/>
          <w:bCs/>
        </w:rPr>
        <w:t>on in Ireland’s public service</w:t>
      </w:r>
    </w:p>
    <w:p w14:paraId="2990C06F" w14:textId="1AD73339" w:rsidR="004A0AEC" w:rsidRPr="00BC13A0" w:rsidRDefault="00BC13A0" w:rsidP="003652F9">
      <w:pPr>
        <w:pStyle w:val="ListBullet"/>
      </w:pPr>
      <w:r w:rsidRPr="00BC13A0">
        <w:rPr>
          <w:b/>
        </w:rPr>
        <w:t>Indicator</w:t>
      </w:r>
      <w:r w:rsidR="004A0AEC" w:rsidRPr="00BC13A0">
        <w:rPr>
          <w:b/>
        </w:rPr>
        <w:t xml:space="preserve"> 2: </w:t>
      </w:r>
      <w:r w:rsidR="004A0AEC" w:rsidRPr="00BC13A0">
        <w:t>Evidence of the development of a Equality Diversity and Inclusion (EDI) Action Plan during that period</w:t>
      </w:r>
      <w:r w:rsidR="003C559D" w:rsidRPr="00BC13A0">
        <w:t>,</w:t>
      </w:r>
      <w:r w:rsidR="004A0AEC" w:rsidRPr="00BC13A0">
        <w:t xml:space="preserve"> that includes Key Performance Indicators for specific measures to create an EDI work environment that promotes and supports the increased recruitment and retention of persons with disabilities and supports employees to feel comfortable sharing their disability status</w:t>
      </w:r>
    </w:p>
    <w:p w14:paraId="3133326C" w14:textId="1AFEDB0A" w:rsidR="004A0AEC" w:rsidRPr="00BC13A0" w:rsidRDefault="00BC13A0" w:rsidP="003652F9">
      <w:pPr>
        <w:pStyle w:val="ListBullet"/>
      </w:pPr>
      <w:r w:rsidRPr="00BC13A0">
        <w:rPr>
          <w:b/>
          <w:szCs w:val="26"/>
        </w:rPr>
        <w:lastRenderedPageBreak/>
        <w:t>Indicator</w:t>
      </w:r>
      <w:r w:rsidR="004A0AEC" w:rsidRPr="00BC13A0">
        <w:rPr>
          <w:b/>
          <w:szCs w:val="26"/>
        </w:rPr>
        <w:t xml:space="preserve"> 3:</w:t>
      </w:r>
      <w:r w:rsidR="004A0AEC" w:rsidRPr="00BC13A0">
        <w:rPr>
          <w:szCs w:val="26"/>
        </w:rPr>
        <w:t xml:space="preserve"> </w:t>
      </w:r>
      <w:r w:rsidR="004A0AEC" w:rsidRPr="00BC13A0">
        <w:t xml:space="preserve">Evidence of any planning as to how the increased minimum </w:t>
      </w:r>
      <w:r w:rsidR="00403AF2">
        <w:t xml:space="preserve">4.5% and </w:t>
      </w:r>
      <w:r w:rsidR="00A32A5F">
        <w:t xml:space="preserve">minimum </w:t>
      </w:r>
      <w:r w:rsidR="004A0AEC" w:rsidRPr="00BC13A0">
        <w:t>6% target</w:t>
      </w:r>
      <w:r w:rsidR="00403AF2">
        <w:t>s</w:t>
      </w:r>
      <w:r w:rsidR="004A0AEC" w:rsidRPr="00BC13A0">
        <w:t xml:space="preserve"> could be achieved</w:t>
      </w:r>
    </w:p>
    <w:p w14:paraId="142239BF" w14:textId="0546CC5B" w:rsidR="004A0AEC" w:rsidRPr="00BC13A0" w:rsidRDefault="00BC13A0" w:rsidP="003652F9">
      <w:pPr>
        <w:pStyle w:val="ListBullet"/>
      </w:pPr>
      <w:r w:rsidRPr="00BC13A0">
        <w:rPr>
          <w:b/>
        </w:rPr>
        <w:t>Indicator</w:t>
      </w:r>
      <w:r w:rsidR="004A0AEC" w:rsidRPr="00BC13A0">
        <w:rPr>
          <w:b/>
        </w:rPr>
        <w:t xml:space="preserve"> 4:</w:t>
      </w:r>
      <w:r w:rsidR="004A0AEC" w:rsidRPr="00BC13A0">
        <w:t xml:space="preserve"> Any consideration given to proactively increasing the number of people with disabilities an organisation recruits, for example, via work experience programmes and by implementing accessible recruitment processes</w:t>
      </w:r>
    </w:p>
    <w:p w14:paraId="000E0612" w14:textId="06321E09" w:rsidR="004A0AEC" w:rsidRPr="00BC13A0" w:rsidRDefault="00BC13A0" w:rsidP="003652F9">
      <w:pPr>
        <w:pStyle w:val="ListBullet"/>
      </w:pPr>
      <w:r w:rsidRPr="00BC13A0">
        <w:rPr>
          <w:b/>
        </w:rPr>
        <w:t>Indicator</w:t>
      </w:r>
      <w:r w:rsidR="004A0AEC" w:rsidRPr="00BC13A0">
        <w:rPr>
          <w:b/>
        </w:rPr>
        <w:t xml:space="preserve"> 5:</w:t>
      </w:r>
      <w:r w:rsidR="004A0AEC" w:rsidRPr="00BC13A0">
        <w:rPr>
          <w:sz w:val="20"/>
          <w:szCs w:val="20"/>
        </w:rPr>
        <w:t xml:space="preserve"> </w:t>
      </w:r>
      <w:r w:rsidR="004A0AEC" w:rsidRPr="00BC13A0">
        <w:t>Measures taken to create an environment that supports employees to feel comfortable and supported in sharing their disability status</w:t>
      </w:r>
    </w:p>
    <w:p w14:paraId="350B7E10" w14:textId="0A6E6874" w:rsidR="004A0AEC" w:rsidRPr="00BC13A0" w:rsidRDefault="00BC13A0" w:rsidP="003652F9">
      <w:pPr>
        <w:pStyle w:val="ListBullet"/>
      </w:pPr>
      <w:r w:rsidRPr="00BC13A0">
        <w:rPr>
          <w:b/>
        </w:rPr>
        <w:t>Indicator</w:t>
      </w:r>
      <w:r w:rsidR="004A0AEC" w:rsidRPr="00BC13A0">
        <w:rPr>
          <w:b/>
        </w:rPr>
        <w:t xml:space="preserve"> 6:</w:t>
      </w:r>
      <w:r w:rsidR="004A0AEC" w:rsidRPr="00BC13A0">
        <w:rPr>
          <w:sz w:val="20"/>
          <w:szCs w:val="20"/>
        </w:rPr>
        <w:t xml:space="preserve"> </w:t>
      </w:r>
      <w:r w:rsidR="004A0AEC" w:rsidRPr="00BC13A0">
        <w:t>Measures taken to improve data collection, including increasing response rate for any census or otherwise improving accuracy</w:t>
      </w:r>
      <w:r w:rsidR="00ED2309" w:rsidRPr="00BC13A0">
        <w:t>.</w:t>
      </w:r>
    </w:p>
    <w:p w14:paraId="5A33475D" w14:textId="66A62347" w:rsidR="0057606A" w:rsidRPr="00BC13A0" w:rsidRDefault="00EF5EA4" w:rsidP="003652F9">
      <w:r w:rsidRPr="00BC13A0">
        <w:t xml:space="preserve">The NDA </w:t>
      </w:r>
      <w:r w:rsidR="008B57D5" w:rsidRPr="00BC13A0">
        <w:t>asks</w:t>
      </w:r>
      <w:r w:rsidRPr="00BC13A0">
        <w:t xml:space="preserve"> public bodies to provide</w:t>
      </w:r>
      <w:r w:rsidR="004A0AEC" w:rsidRPr="00BC13A0">
        <w:t xml:space="preserve"> information as to whether there were valid reasons that may have prevented them from meeting the minimum 3%</w:t>
      </w:r>
      <w:r w:rsidR="0057606A" w:rsidRPr="00BC13A0">
        <w:t xml:space="preserve"> target in the relevant years.</w:t>
      </w:r>
    </w:p>
    <w:p w14:paraId="3BC417E1" w14:textId="626BE1C1" w:rsidR="00724D99" w:rsidRPr="00BC13A0" w:rsidRDefault="00EF5EA4" w:rsidP="003652F9">
      <w:r w:rsidRPr="00BC13A0">
        <w:t>The NDA</w:t>
      </w:r>
      <w:r w:rsidR="00813D20" w:rsidRPr="00BC13A0">
        <w:t xml:space="preserve"> </w:t>
      </w:r>
      <w:r w:rsidR="004A0AEC" w:rsidRPr="00BC13A0">
        <w:t>notes the process by which a public body collects data when considering determinations of non-compliance with Part 5 of the Disability Act 2005. The Exe</w:t>
      </w:r>
      <w:r w:rsidR="00E16035" w:rsidRPr="00BC13A0">
        <w:t>cutive takes into account if a</w:t>
      </w:r>
      <w:r w:rsidR="004A0AEC" w:rsidRPr="00BC13A0">
        <w:t xml:space="preserve"> public body used a staff census and if it reported a high or low response to this census. This information does impact on how the Executive considers the numbers being reported by a public body</w:t>
      </w:r>
      <w:r w:rsidRPr="00BC13A0">
        <w:t>.</w:t>
      </w:r>
      <w:r w:rsidR="00BC13A0">
        <w:t xml:space="preserve"> </w:t>
      </w:r>
    </w:p>
    <w:p w14:paraId="26B84FA6" w14:textId="0F98AF77" w:rsidR="00813D20" w:rsidRPr="00BC13A0" w:rsidRDefault="00813D20" w:rsidP="003652F9">
      <w:r w:rsidRPr="00BC13A0">
        <w:t>The NDA also takes into consideration a public body’</w:t>
      </w:r>
      <w:r w:rsidR="009E7994" w:rsidRPr="00BC13A0">
        <w:t>s</w:t>
      </w:r>
      <w:r w:rsidRPr="00BC13A0">
        <w:t xml:space="preserve"> performance after the specific two </w:t>
      </w:r>
      <w:r w:rsidR="009E7994" w:rsidRPr="00BC13A0">
        <w:t>year period</w:t>
      </w:r>
      <w:r w:rsidRPr="00BC13A0">
        <w:t xml:space="preserve"> when they did not make the minimum 3% target to determine if a public body has improved its performance.</w:t>
      </w:r>
    </w:p>
    <w:p w14:paraId="1E651C4F" w14:textId="422FBE81" w:rsidR="0051618C" w:rsidRPr="00BC13A0" w:rsidRDefault="0051618C" w:rsidP="003652F9">
      <w:r w:rsidRPr="00BC13A0">
        <w:t xml:space="preserve">The NDA rigorously reviews public bodies’ responses against the above </w:t>
      </w:r>
      <w:r w:rsidR="009C3598">
        <w:t>indicators</w:t>
      </w:r>
      <w:r w:rsidRPr="00BC13A0">
        <w:t xml:space="preserve"> </w:t>
      </w:r>
      <w:r w:rsidR="00E118F5" w:rsidRPr="00BC13A0">
        <w:t>and their Part 5 returns for the relevant two year period. These are</w:t>
      </w:r>
      <w:r w:rsidRPr="00BC13A0">
        <w:t xml:space="preserve"> key step</w:t>
      </w:r>
      <w:r w:rsidR="00E118F5" w:rsidRPr="00BC13A0">
        <w:t>s</w:t>
      </w:r>
      <w:r w:rsidRPr="00BC13A0">
        <w:t xml:space="preserve"> in the process by which public bodie</w:t>
      </w:r>
      <w:r w:rsidR="00AC0B99" w:rsidRPr="00BC13A0">
        <w:t>s are determined to be compliant</w:t>
      </w:r>
      <w:r w:rsidRPr="00BC13A0">
        <w:t xml:space="preserve"> or non-compliant under Part 5.</w:t>
      </w:r>
      <w:bookmarkEnd w:id="52"/>
      <w:bookmarkEnd w:id="53"/>
    </w:p>
    <w:p w14:paraId="7FD296AC" w14:textId="511F2F85" w:rsidR="00584908" w:rsidRPr="00923F25" w:rsidRDefault="00D77CB5" w:rsidP="004A318D">
      <w:pPr>
        <w:pStyle w:val="Heading2"/>
      </w:pPr>
      <w:bookmarkStart w:id="54" w:name="_Toc146113869"/>
      <w:r w:rsidRPr="00923F25">
        <w:t>3.2</w:t>
      </w:r>
      <w:r w:rsidR="008C4872" w:rsidRPr="00923F25">
        <w:t xml:space="preserve"> </w:t>
      </w:r>
      <w:bookmarkStart w:id="55" w:name="_Toc95301311"/>
      <w:r w:rsidR="00584908" w:rsidRPr="00923F25">
        <w:t xml:space="preserve">Compliance with the Act </w:t>
      </w:r>
      <w:r w:rsidR="00923F25" w:rsidRPr="00923F25">
        <w:t>–</w:t>
      </w:r>
      <w:r w:rsidR="00584908" w:rsidRPr="00923F25">
        <w:t xml:space="preserve"> 20</w:t>
      </w:r>
      <w:bookmarkEnd w:id="55"/>
      <w:r w:rsidR="00923F25" w:rsidRPr="00923F25">
        <w:t>20 and 2021</w:t>
      </w:r>
      <w:bookmarkEnd w:id="54"/>
    </w:p>
    <w:p w14:paraId="60C78DED" w14:textId="54CA809E" w:rsidR="00087410" w:rsidRPr="00923F25" w:rsidRDefault="008C427C" w:rsidP="003652F9">
      <w:r w:rsidRPr="00923F25">
        <w:t>In</w:t>
      </w:r>
      <w:r w:rsidR="00FE5912" w:rsidRPr="00923F25">
        <w:t xml:space="preserve"> 2020 and 2021, the following </w:t>
      </w:r>
      <w:r w:rsidR="00923F25" w:rsidRPr="00923F25">
        <w:t>t</w:t>
      </w:r>
      <w:r w:rsidR="00EF3217">
        <w:t>hree</w:t>
      </w:r>
      <w:r w:rsidR="008B57D5" w:rsidRPr="00923F25">
        <w:t xml:space="preserve"> public</w:t>
      </w:r>
      <w:r w:rsidRPr="00923F25">
        <w:t xml:space="preserve"> bodies </w:t>
      </w:r>
      <w:r w:rsidR="008B57D5" w:rsidRPr="00923F25">
        <w:t>did not</w:t>
      </w:r>
      <w:r w:rsidR="00EE0BC9" w:rsidRPr="00923F25">
        <w:t xml:space="preserve"> make </w:t>
      </w:r>
      <w:r w:rsidRPr="00923F25">
        <w:t xml:space="preserve">the </w:t>
      </w:r>
      <w:r w:rsidR="008B57D5" w:rsidRPr="00923F25">
        <w:t>minimum</w:t>
      </w:r>
      <w:r w:rsidR="00BB35CE" w:rsidRPr="00923F25">
        <w:t xml:space="preserve"> 3% target</w:t>
      </w:r>
      <w:r w:rsidR="00EE0BC9" w:rsidRPr="00923F25">
        <w:t>:</w:t>
      </w:r>
    </w:p>
    <w:p w14:paraId="4E51B287" w14:textId="42026BAB" w:rsidR="00EF3217" w:rsidRDefault="00EF3217" w:rsidP="003652F9">
      <w:pPr>
        <w:pStyle w:val="ListBullet"/>
      </w:pPr>
      <w:r>
        <w:t>HSE</w:t>
      </w:r>
    </w:p>
    <w:p w14:paraId="2EE569C2" w14:textId="621803AB" w:rsidR="004A318D" w:rsidRPr="00923F25" w:rsidRDefault="004A318D" w:rsidP="003652F9">
      <w:pPr>
        <w:pStyle w:val="ListBullet"/>
      </w:pPr>
      <w:r w:rsidRPr="00923F25">
        <w:t xml:space="preserve">National Council for Special Education </w:t>
      </w:r>
      <w:r w:rsidR="007149C8">
        <w:t>(NCSE)</w:t>
      </w:r>
    </w:p>
    <w:p w14:paraId="23D6CF0C" w14:textId="18B29B27" w:rsidR="00BB35CE" w:rsidRDefault="004A318D" w:rsidP="003652F9">
      <w:pPr>
        <w:pStyle w:val="ListBullet"/>
      </w:pPr>
      <w:r w:rsidRPr="00923F25">
        <w:t xml:space="preserve">Oberstown </w:t>
      </w:r>
      <w:r w:rsidR="00FE5912" w:rsidRPr="00923F25">
        <w:t>Children’s Detention Campus</w:t>
      </w:r>
      <w:r w:rsidR="00ED2309" w:rsidRPr="00923F25">
        <w:t>.</w:t>
      </w:r>
      <w:r w:rsidR="00FE5912" w:rsidRPr="00923F25">
        <w:t xml:space="preserve"> </w:t>
      </w:r>
    </w:p>
    <w:p w14:paraId="1F62CE6A" w14:textId="60AD26B7" w:rsidR="00EF3217" w:rsidRDefault="00923F25" w:rsidP="007149C8">
      <w:r>
        <w:t xml:space="preserve">The NDA sent S.49 requests </w:t>
      </w:r>
      <w:r w:rsidR="007149C8">
        <w:t xml:space="preserve">for 2020 and 2021 </w:t>
      </w:r>
      <w:r>
        <w:t>to these public bodies.</w:t>
      </w:r>
      <w:r w:rsidR="007149C8">
        <w:t xml:space="preserve"> </w:t>
      </w:r>
    </w:p>
    <w:p w14:paraId="5859FA2E" w14:textId="77777777" w:rsidR="004700D9" w:rsidRDefault="004700D9" w:rsidP="00BF299A">
      <w:pPr>
        <w:pStyle w:val="Heading3"/>
      </w:pPr>
    </w:p>
    <w:p w14:paraId="310CCAA8" w14:textId="77777777" w:rsidR="004700D9" w:rsidRDefault="004700D9" w:rsidP="00BF299A">
      <w:pPr>
        <w:pStyle w:val="Heading3"/>
      </w:pPr>
    </w:p>
    <w:p w14:paraId="2E356619" w14:textId="0EDF8C0F" w:rsidR="00BF299A" w:rsidRDefault="00BF299A" w:rsidP="00BF299A">
      <w:pPr>
        <w:pStyle w:val="Heading3"/>
      </w:pPr>
      <w:r>
        <w:lastRenderedPageBreak/>
        <w:t>HSE</w:t>
      </w:r>
    </w:p>
    <w:p w14:paraId="043FDDF1" w14:textId="601B4848" w:rsidR="00BF299A" w:rsidRDefault="00BF299A" w:rsidP="00BF299A">
      <w:pPr>
        <w:rPr>
          <w:lang w:val="en-US"/>
        </w:rPr>
      </w:pPr>
      <w:r>
        <w:t>The NDA is reviewing the HSE’s response to the S.49 request for 2020 and 2021</w:t>
      </w:r>
      <w:r w:rsidRPr="00BF299A">
        <w:rPr>
          <w:lang w:val="en-US"/>
        </w:rPr>
        <w:t xml:space="preserve"> </w:t>
      </w:r>
      <w:r>
        <w:rPr>
          <w:lang w:val="en-US"/>
        </w:rPr>
        <w:t>to determine if this public body is compliant under Part 5 of the Disability Act and will be making a decision in due course.</w:t>
      </w:r>
    </w:p>
    <w:p w14:paraId="11B0D0DE" w14:textId="38352396" w:rsidR="00BF299A" w:rsidRDefault="00BF299A" w:rsidP="00BF299A">
      <w:r w:rsidRPr="004C3D5B">
        <w:rPr>
          <w:lang w:val="en-US"/>
        </w:rPr>
        <w:t xml:space="preserve">The NDA recognises that the </w:t>
      </w:r>
      <w:r>
        <w:rPr>
          <w:lang w:val="en-US"/>
        </w:rPr>
        <w:t xml:space="preserve">HSE was still prioritising the management of the </w:t>
      </w:r>
      <w:r w:rsidRPr="004C3D5B">
        <w:rPr>
          <w:lang w:val="en-US"/>
        </w:rPr>
        <w:t>C</w:t>
      </w:r>
      <w:r>
        <w:rPr>
          <w:lang w:val="en-US"/>
        </w:rPr>
        <w:t>OVID</w:t>
      </w:r>
      <w:r w:rsidRPr="004C3D5B">
        <w:rPr>
          <w:lang w:val="en-US"/>
        </w:rPr>
        <w:t xml:space="preserve">-19 pandemic </w:t>
      </w:r>
      <w:r>
        <w:rPr>
          <w:lang w:val="en-US"/>
        </w:rPr>
        <w:t xml:space="preserve">on a national scale during </w:t>
      </w:r>
      <w:r w:rsidRPr="004C3D5B">
        <w:rPr>
          <w:lang w:val="en-US"/>
        </w:rPr>
        <w:t>this reporting period</w:t>
      </w:r>
      <w:r>
        <w:rPr>
          <w:lang w:val="en-US"/>
        </w:rPr>
        <w:t xml:space="preserve">. In 2021, the HSE also experienced a cyber attack that </w:t>
      </w:r>
      <w:r w:rsidRPr="00EC565B">
        <w:t>disrupt</w:t>
      </w:r>
      <w:r>
        <w:t>ed</w:t>
      </w:r>
      <w:r w:rsidRPr="00EC565B">
        <w:t xml:space="preserve"> </w:t>
      </w:r>
      <w:r>
        <w:t>its</w:t>
      </w:r>
      <w:r w:rsidRPr="00EC565B">
        <w:t xml:space="preserve"> health services and computer systems</w:t>
      </w:r>
      <w:r>
        <w:t xml:space="preserve">. Both of these events </w:t>
      </w:r>
      <w:r w:rsidRPr="00EC565B">
        <w:t>had a significant impact on th</w:t>
      </w:r>
      <w:r>
        <w:t>is public body.</w:t>
      </w:r>
      <w:r w:rsidR="00406FB9">
        <w:t xml:space="preserve">  </w:t>
      </w:r>
    </w:p>
    <w:p w14:paraId="69A3125F" w14:textId="3DB3517B" w:rsidR="00406FB9" w:rsidRPr="00BF299A" w:rsidRDefault="00406FB9" w:rsidP="00BF299A">
      <w:r>
        <w:t xml:space="preserve">As stated previously, the NDA is pleased to note that the </w:t>
      </w:r>
      <w:r w:rsidR="001F587B" w:rsidRPr="003272C7">
        <w:t>HSE stated that  2,331(2.3%) employees reported a disability. This the highest number and percentage of employees with a disability reported by the HSE to date.</w:t>
      </w:r>
    </w:p>
    <w:p w14:paraId="60450D97" w14:textId="1371FD18" w:rsidR="00BF299A" w:rsidRDefault="00BF299A" w:rsidP="00BF299A">
      <w:pPr>
        <w:pStyle w:val="Heading3"/>
        <w:rPr>
          <w:lang w:val="en-US"/>
        </w:rPr>
      </w:pPr>
      <w:r>
        <w:rPr>
          <w:lang w:val="en-US"/>
        </w:rPr>
        <w:t xml:space="preserve">National Council for Special Education </w:t>
      </w:r>
      <w:r w:rsidR="009E5741">
        <w:rPr>
          <w:lang w:val="en-US"/>
        </w:rPr>
        <w:t>(NCSE)</w:t>
      </w:r>
      <w:r w:rsidR="00430ECC">
        <w:rPr>
          <w:lang w:val="en-US"/>
        </w:rPr>
        <w:t xml:space="preserve"> and Oberstown Childrens’ Detention Campus </w:t>
      </w:r>
    </w:p>
    <w:p w14:paraId="3642B499" w14:textId="6440728B" w:rsidR="00E14F3C" w:rsidRPr="004700D9" w:rsidRDefault="00BF299A" w:rsidP="00430ECC">
      <w:pPr>
        <w:rPr>
          <w:lang w:val="en-US"/>
        </w:rPr>
      </w:pPr>
      <w:r w:rsidRPr="004700D9">
        <w:t xml:space="preserve">In </w:t>
      </w:r>
      <w:r w:rsidR="00430ECC" w:rsidRPr="004700D9">
        <w:t>their</w:t>
      </w:r>
      <w:r w:rsidRPr="004700D9">
        <w:t xml:space="preserve"> response</w:t>
      </w:r>
      <w:r w:rsidR="00430ECC" w:rsidRPr="004700D9">
        <w:t>s</w:t>
      </w:r>
      <w:r w:rsidRPr="004700D9">
        <w:t xml:space="preserve"> to the S.49 request for 2020 and 2021, the NCSE </w:t>
      </w:r>
      <w:r w:rsidR="00430ECC" w:rsidRPr="004700D9">
        <w:t xml:space="preserve">and </w:t>
      </w:r>
      <w:r w:rsidR="00430ECC" w:rsidRPr="004700D9">
        <w:rPr>
          <w:lang w:val="en-US"/>
        </w:rPr>
        <w:t xml:space="preserve">Oberstown Childrens’ Detention Campus provided evidence that they had measures in place to create EDI work cultures that focussed on increasing the recruitment of  persons with disabilities; </w:t>
      </w:r>
      <w:r w:rsidR="00E14F3C" w:rsidRPr="004700D9">
        <w:rPr>
          <w:lang w:val="en-US"/>
        </w:rPr>
        <w:t>supporting employees to share their disability status and improve their data collection process.</w:t>
      </w:r>
    </w:p>
    <w:p w14:paraId="5DDFE6BD" w14:textId="770F31C0" w:rsidR="00430ECC" w:rsidRPr="004700D9" w:rsidRDefault="00E14F3C" w:rsidP="00BF299A">
      <w:pPr>
        <w:pStyle w:val="ListBullet"/>
        <w:numPr>
          <w:ilvl w:val="0"/>
          <w:numId w:val="0"/>
        </w:numPr>
        <w:tabs>
          <w:tab w:val="left" w:pos="720"/>
        </w:tabs>
      </w:pPr>
      <w:r w:rsidRPr="004700D9">
        <w:t xml:space="preserve">The NCSE and </w:t>
      </w:r>
      <w:r w:rsidRPr="004700D9">
        <w:rPr>
          <w:lang w:val="en-US"/>
        </w:rPr>
        <w:t xml:space="preserve">Oberstown Childrens’ Detention Campus </w:t>
      </w:r>
      <w:r w:rsidRPr="004700D9">
        <w:t>reported that that they had experienced significant organisational restructuring and they were also impacted by the COVID-19 pandemic during this two year period. These were the mitigating factors that prevented both public bodies from meeting the minimum 3% targ</w:t>
      </w:r>
      <w:r w:rsidR="007F6C95">
        <w:t>e</w:t>
      </w:r>
      <w:r w:rsidRPr="004700D9">
        <w:t>t during this two year period.</w:t>
      </w:r>
    </w:p>
    <w:p w14:paraId="1EE36F68" w14:textId="7D377553" w:rsidR="005A4ACE" w:rsidRPr="004700D9" w:rsidRDefault="009E5741" w:rsidP="005A4ACE">
      <w:r w:rsidRPr="004700D9">
        <w:rPr>
          <w:szCs w:val="26"/>
        </w:rPr>
        <w:t xml:space="preserve">The </w:t>
      </w:r>
      <w:r w:rsidRPr="004700D9">
        <w:t xml:space="preserve">Authority decided that </w:t>
      </w:r>
      <w:r w:rsidR="00E14F3C" w:rsidRPr="004700D9">
        <w:t xml:space="preserve">the NCSE and </w:t>
      </w:r>
      <w:r w:rsidR="00E14F3C" w:rsidRPr="004700D9">
        <w:rPr>
          <w:lang w:val="en-US"/>
        </w:rPr>
        <w:t xml:space="preserve">Oberstown Childrens’ Detention Campus </w:t>
      </w:r>
      <w:r w:rsidRPr="004700D9">
        <w:t>did not warrant a draft determination of non-compliance for 2020 and 202</w:t>
      </w:r>
      <w:r w:rsidR="005A4ACE" w:rsidRPr="004700D9">
        <w:t>. However</w:t>
      </w:r>
      <w:r w:rsidR="00E14F3C" w:rsidRPr="004700D9">
        <w:t xml:space="preserve">, the NDA </w:t>
      </w:r>
      <w:r w:rsidR="005A4ACE" w:rsidRPr="004700D9">
        <w:t>advise</w:t>
      </w:r>
      <w:r w:rsidR="00A32A5F">
        <w:t>d</w:t>
      </w:r>
      <w:r w:rsidR="005A4ACE" w:rsidRPr="004700D9">
        <w:t xml:space="preserve"> th</w:t>
      </w:r>
      <w:r w:rsidR="00E14F3C" w:rsidRPr="004700D9">
        <w:t>ese</w:t>
      </w:r>
      <w:r w:rsidR="005A4ACE" w:rsidRPr="004700D9">
        <w:t xml:space="preserve"> public bod</w:t>
      </w:r>
      <w:r w:rsidR="00E14F3C" w:rsidRPr="004700D9">
        <w:t>ies</w:t>
      </w:r>
      <w:r w:rsidR="005A4ACE" w:rsidRPr="004700D9">
        <w:t xml:space="preserve"> that we would continue to monitor </w:t>
      </w:r>
      <w:r w:rsidR="00E14F3C" w:rsidRPr="004700D9">
        <w:t>their</w:t>
      </w:r>
      <w:r w:rsidR="005A4ACE" w:rsidRPr="004700D9">
        <w:t xml:space="preserve"> progress and that we expected an improvement in </w:t>
      </w:r>
      <w:r w:rsidR="001D6ED5">
        <w:t xml:space="preserve">their </w:t>
      </w:r>
      <w:r w:rsidR="005A4ACE" w:rsidRPr="004700D9">
        <w:t>performance</w:t>
      </w:r>
      <w:r w:rsidR="001D6ED5">
        <w:t>s</w:t>
      </w:r>
      <w:r w:rsidR="005A4ACE" w:rsidRPr="004700D9">
        <w:t>.</w:t>
      </w:r>
    </w:p>
    <w:p w14:paraId="596D65DF" w14:textId="54EA0CDA" w:rsidR="00E14F3C" w:rsidRPr="004700D9" w:rsidRDefault="005A4ACE" w:rsidP="005A4ACE">
      <w:r w:rsidRPr="004700D9">
        <w:t>The NDA is pleased to note that in 2022</w:t>
      </w:r>
      <w:r w:rsidR="00E14F3C" w:rsidRPr="004700D9">
        <w:t>:</w:t>
      </w:r>
    </w:p>
    <w:p w14:paraId="1934AD56" w14:textId="1603871C" w:rsidR="005A4ACE" w:rsidRPr="004700D9" w:rsidRDefault="00E14F3C" w:rsidP="00E14F3C">
      <w:pPr>
        <w:pStyle w:val="ListParagraph"/>
        <w:numPr>
          <w:ilvl w:val="0"/>
          <w:numId w:val="27"/>
        </w:numPr>
        <w:spacing w:after="120"/>
        <w:ind w:left="357" w:hanging="357"/>
        <w:contextualSpacing w:val="0"/>
        <w:rPr>
          <w:rFonts w:ascii="Gill Sans MT" w:hAnsi="Gill Sans MT"/>
        </w:rPr>
      </w:pPr>
      <w:r w:rsidRPr="004700D9">
        <w:rPr>
          <w:rFonts w:ascii="Gill Sans MT" w:hAnsi="Gill Sans MT"/>
        </w:rPr>
        <w:t>T</w:t>
      </w:r>
      <w:r w:rsidR="005A4ACE" w:rsidRPr="004700D9">
        <w:rPr>
          <w:rFonts w:ascii="Gill Sans MT" w:hAnsi="Gill Sans MT"/>
        </w:rPr>
        <w:t>he NCSE reported that 21 (8.6%) out of 243 employees reported a disability</w:t>
      </w:r>
    </w:p>
    <w:p w14:paraId="6DB31956" w14:textId="03E13F2E" w:rsidR="00273F17" w:rsidRPr="004700D9" w:rsidRDefault="00E14F3C" w:rsidP="00E14F3C">
      <w:pPr>
        <w:pStyle w:val="ListParagraph"/>
        <w:numPr>
          <w:ilvl w:val="0"/>
          <w:numId w:val="27"/>
        </w:numPr>
        <w:spacing w:after="120"/>
        <w:ind w:left="357" w:hanging="357"/>
        <w:contextualSpacing w:val="0"/>
        <w:rPr>
          <w:rFonts w:ascii="Gill Sans MT" w:hAnsi="Gill Sans MT"/>
        </w:rPr>
      </w:pPr>
      <w:r w:rsidRPr="004700D9">
        <w:rPr>
          <w:rFonts w:ascii="Gill Sans MT" w:hAnsi="Gill Sans MT"/>
        </w:rPr>
        <w:t>Oberstown Children’s Detention Campus reported that 13 (5.2%) out of 251 employees reported a disability</w:t>
      </w:r>
    </w:p>
    <w:p w14:paraId="36AD05F1" w14:textId="5024DA82" w:rsidR="007149C8" w:rsidRDefault="007149C8" w:rsidP="007149C8"/>
    <w:p w14:paraId="30DF9A79" w14:textId="77777777" w:rsidR="004700D9" w:rsidRPr="004C3D5B" w:rsidRDefault="004700D9" w:rsidP="007149C8"/>
    <w:p w14:paraId="57277899" w14:textId="7F44D0C8" w:rsidR="00986896" w:rsidRPr="00986896" w:rsidRDefault="00EC565B" w:rsidP="00BC12B7">
      <w:pPr>
        <w:pStyle w:val="Heading2"/>
      </w:pPr>
      <w:bookmarkStart w:id="56" w:name="_Toc146113870"/>
      <w:r>
        <w:lastRenderedPageBreak/>
        <w:t xml:space="preserve">3.3 Compliance </w:t>
      </w:r>
      <w:r w:rsidR="00BC12B7">
        <w:t xml:space="preserve">with the Act </w:t>
      </w:r>
      <w:r>
        <w:t>202</w:t>
      </w:r>
      <w:r w:rsidR="00BC12B7">
        <w:t>1 and 2022</w:t>
      </w:r>
      <w:bookmarkEnd w:id="56"/>
    </w:p>
    <w:p w14:paraId="37A2EA8A" w14:textId="5F480820" w:rsidR="00BC12B7" w:rsidRPr="004C3D5B" w:rsidRDefault="00BC12B7" w:rsidP="00BC12B7">
      <w:bookmarkStart w:id="57" w:name="_Toc498585841"/>
      <w:bookmarkStart w:id="58" w:name="_Toc526435823"/>
      <w:bookmarkStart w:id="59" w:name="_Toc18680257"/>
      <w:r w:rsidRPr="004C3D5B">
        <w:t>In 202</w:t>
      </w:r>
      <w:r>
        <w:t>1</w:t>
      </w:r>
      <w:r w:rsidRPr="004C3D5B">
        <w:t xml:space="preserve"> and 202</w:t>
      </w:r>
      <w:r>
        <w:t>2</w:t>
      </w:r>
      <w:r w:rsidRPr="004C3D5B">
        <w:t xml:space="preserve">, the following </w:t>
      </w:r>
      <w:r w:rsidR="00122D2F">
        <w:t>five</w:t>
      </w:r>
      <w:r w:rsidRPr="004C3D5B">
        <w:t xml:space="preserve"> public bodies did not make the minimum 3% target:</w:t>
      </w:r>
    </w:p>
    <w:p w14:paraId="1DE63482" w14:textId="23D5C23A" w:rsidR="00BC12B7" w:rsidRPr="004C3D5B" w:rsidRDefault="00BC12B7" w:rsidP="00BC12B7">
      <w:pPr>
        <w:pStyle w:val="ListBullet"/>
      </w:pPr>
      <w:r>
        <w:t>Arts Council</w:t>
      </w:r>
    </w:p>
    <w:p w14:paraId="7945892F" w14:textId="0B8E480B" w:rsidR="00BC12B7" w:rsidRDefault="00BC12B7" w:rsidP="00BC12B7">
      <w:pPr>
        <w:pStyle w:val="ListBullet"/>
      </w:pPr>
      <w:r w:rsidRPr="00BC12B7">
        <w:t>Atlantic Technological University Galway-Mayo (ATU)</w:t>
      </w:r>
      <w:r>
        <w:t>- formally known as IT Galway-Mayo</w:t>
      </w:r>
      <w:r w:rsidR="00BD46FA">
        <w:t xml:space="preserve"> in 2021</w:t>
      </w:r>
    </w:p>
    <w:p w14:paraId="7D49794A" w14:textId="46148BF8" w:rsidR="00BC12B7" w:rsidRDefault="00BC12B7" w:rsidP="00BC12B7">
      <w:pPr>
        <w:pStyle w:val="ListBullet"/>
      </w:pPr>
      <w:r>
        <w:t>Bord Bia</w:t>
      </w:r>
    </w:p>
    <w:p w14:paraId="1D4A8F00" w14:textId="50E7F2EA" w:rsidR="00BC12B7" w:rsidRDefault="00BC12B7" w:rsidP="00BC12B7">
      <w:pPr>
        <w:pStyle w:val="ListBullet"/>
      </w:pPr>
      <w:r>
        <w:t>HSE</w:t>
      </w:r>
    </w:p>
    <w:p w14:paraId="43C2519C" w14:textId="611074A4" w:rsidR="00087410" w:rsidRDefault="00BC12B7" w:rsidP="00087410">
      <w:pPr>
        <w:pStyle w:val="ListBullet"/>
      </w:pPr>
      <w:r>
        <w:t>Land Development Agency</w:t>
      </w:r>
    </w:p>
    <w:p w14:paraId="76B52230" w14:textId="627C96AC" w:rsidR="00087410" w:rsidRPr="00087410" w:rsidRDefault="00087410" w:rsidP="00087410">
      <w:pPr>
        <w:rPr>
          <w:lang w:val="en-US"/>
        </w:rPr>
      </w:pPr>
      <w:r w:rsidRPr="004C3D5B">
        <w:rPr>
          <w:lang w:val="en-US"/>
        </w:rPr>
        <w:t>The NDA</w:t>
      </w:r>
      <w:r>
        <w:rPr>
          <w:lang w:val="en-US"/>
        </w:rPr>
        <w:t xml:space="preserve"> will be sending S.49 requests to these public bodies for 2021 and 2022 </w:t>
      </w:r>
      <w:r>
        <w:t>to determine if they were compliant under Part 5 for this two year period.</w:t>
      </w:r>
    </w:p>
    <w:p w14:paraId="4F567F41" w14:textId="122E71E6" w:rsidR="00BD46FA" w:rsidRPr="004C3D5B" w:rsidRDefault="00BD46FA" w:rsidP="00BD46FA">
      <w:r w:rsidRPr="004C3D5B">
        <w:t>The performance of these publi</w:t>
      </w:r>
      <w:r>
        <w:t>c bodies is detailed in Table</w:t>
      </w:r>
      <w:r w:rsidR="00087410">
        <w:t xml:space="preserve"> </w:t>
      </w:r>
      <w:r w:rsidR="00E14F3C">
        <w:t>5</w:t>
      </w:r>
      <w:r w:rsidRPr="004C3D5B">
        <w:t xml:space="preserve"> below.</w:t>
      </w:r>
    </w:p>
    <w:p w14:paraId="445CB0A3" w14:textId="51136991" w:rsidR="00BD46FA" w:rsidRPr="00CD5456" w:rsidRDefault="00BD46FA" w:rsidP="00BD46FA">
      <w:pPr>
        <w:pStyle w:val="TableTitle"/>
        <w:rPr>
          <w:szCs w:val="26"/>
        </w:rPr>
      </w:pPr>
      <w:r w:rsidRPr="00CD5456">
        <w:rPr>
          <w:szCs w:val="26"/>
        </w:rPr>
        <w:t xml:space="preserve">Table </w:t>
      </w:r>
      <w:r w:rsidR="002157E5" w:rsidRPr="00CD5456">
        <w:rPr>
          <w:szCs w:val="26"/>
        </w:rPr>
        <w:t>5</w:t>
      </w:r>
      <w:r w:rsidRPr="00CD5456">
        <w:rPr>
          <w:szCs w:val="26"/>
        </w:rPr>
        <w:t>. Public bodies that didn’t reach the minimum 3% target in 202</w:t>
      </w:r>
      <w:r w:rsidR="001D18A2" w:rsidRPr="00CD5456">
        <w:rPr>
          <w:szCs w:val="26"/>
        </w:rPr>
        <w:t>1</w:t>
      </w:r>
      <w:r w:rsidRPr="00CD5456">
        <w:rPr>
          <w:szCs w:val="26"/>
        </w:rPr>
        <w:t xml:space="preserve"> and 202</w:t>
      </w:r>
      <w:r w:rsidR="001D18A2" w:rsidRPr="00CD5456">
        <w:rPr>
          <w:szCs w:val="26"/>
        </w:rPr>
        <w:t>2</w:t>
      </w:r>
    </w:p>
    <w:tbl>
      <w:tblPr>
        <w:tblStyle w:val="TableGrid"/>
        <w:tblpPr w:leftFromText="180" w:rightFromText="180" w:vertAnchor="text" w:horzAnchor="page" w:tblpX="1126" w:tblpY="265"/>
        <w:tblW w:w="10065" w:type="dxa"/>
        <w:tblLayout w:type="fixed"/>
        <w:tblLook w:val="0020" w:firstRow="1" w:lastRow="0" w:firstColumn="0" w:lastColumn="0" w:noHBand="0" w:noVBand="0"/>
      </w:tblPr>
      <w:tblGrid>
        <w:gridCol w:w="2574"/>
        <w:gridCol w:w="1440"/>
        <w:gridCol w:w="2223"/>
        <w:gridCol w:w="1560"/>
        <w:gridCol w:w="2268"/>
      </w:tblGrid>
      <w:tr w:rsidR="00BD46FA" w:rsidRPr="004700D9" w14:paraId="17192762" w14:textId="77777777" w:rsidTr="004029C8">
        <w:tc>
          <w:tcPr>
            <w:tcW w:w="2574" w:type="dxa"/>
          </w:tcPr>
          <w:p w14:paraId="32F136C1" w14:textId="77777777" w:rsidR="00BD46FA" w:rsidRPr="004700D9" w:rsidRDefault="00BD46FA" w:rsidP="00722135">
            <w:pPr>
              <w:pStyle w:val="TableHead"/>
              <w:rPr>
                <w:sz w:val="22"/>
                <w:szCs w:val="22"/>
              </w:rPr>
            </w:pPr>
            <w:r w:rsidRPr="004700D9">
              <w:rPr>
                <w:sz w:val="22"/>
                <w:szCs w:val="22"/>
              </w:rPr>
              <w:t>Public Body</w:t>
            </w:r>
          </w:p>
        </w:tc>
        <w:tc>
          <w:tcPr>
            <w:tcW w:w="1440" w:type="dxa"/>
          </w:tcPr>
          <w:p w14:paraId="6ACE6646" w14:textId="608379ED" w:rsidR="00BD46FA" w:rsidRPr="004700D9" w:rsidRDefault="00BD46FA" w:rsidP="00722135">
            <w:pPr>
              <w:pStyle w:val="TableHead"/>
              <w:rPr>
                <w:sz w:val="22"/>
                <w:szCs w:val="22"/>
              </w:rPr>
            </w:pPr>
            <w:r w:rsidRPr="004700D9">
              <w:rPr>
                <w:sz w:val="22"/>
                <w:szCs w:val="22"/>
              </w:rPr>
              <w:t>Total number of employees 2021</w:t>
            </w:r>
          </w:p>
        </w:tc>
        <w:tc>
          <w:tcPr>
            <w:tcW w:w="2223" w:type="dxa"/>
          </w:tcPr>
          <w:p w14:paraId="0B36754F" w14:textId="4B5E4D7C" w:rsidR="00BD46FA" w:rsidRPr="004700D9" w:rsidRDefault="00BD46FA" w:rsidP="00722135">
            <w:pPr>
              <w:pStyle w:val="TableHead"/>
              <w:rPr>
                <w:sz w:val="22"/>
                <w:szCs w:val="22"/>
              </w:rPr>
            </w:pPr>
            <w:r w:rsidRPr="004700D9">
              <w:rPr>
                <w:sz w:val="22"/>
                <w:szCs w:val="22"/>
              </w:rPr>
              <w:t>Number and % of employees reporting a  disability 2021</w:t>
            </w:r>
          </w:p>
        </w:tc>
        <w:tc>
          <w:tcPr>
            <w:tcW w:w="1560" w:type="dxa"/>
          </w:tcPr>
          <w:p w14:paraId="433EFE23" w14:textId="77777777" w:rsidR="00BD46FA" w:rsidRPr="004700D9" w:rsidRDefault="00BD46FA" w:rsidP="00722135">
            <w:pPr>
              <w:pStyle w:val="TableHead"/>
              <w:rPr>
                <w:sz w:val="22"/>
                <w:szCs w:val="22"/>
              </w:rPr>
            </w:pPr>
            <w:r w:rsidRPr="004700D9">
              <w:rPr>
                <w:sz w:val="22"/>
                <w:szCs w:val="22"/>
              </w:rPr>
              <w:t>Total number of employees</w:t>
            </w:r>
          </w:p>
          <w:p w14:paraId="62A86585" w14:textId="5E7DE4E3" w:rsidR="00BD46FA" w:rsidRPr="004700D9" w:rsidRDefault="00BD46FA" w:rsidP="00722135">
            <w:pPr>
              <w:pStyle w:val="TableHead"/>
              <w:rPr>
                <w:sz w:val="22"/>
                <w:szCs w:val="22"/>
              </w:rPr>
            </w:pPr>
            <w:r w:rsidRPr="004700D9">
              <w:rPr>
                <w:sz w:val="22"/>
                <w:szCs w:val="22"/>
              </w:rPr>
              <w:t>2022</w:t>
            </w:r>
          </w:p>
        </w:tc>
        <w:tc>
          <w:tcPr>
            <w:tcW w:w="2268" w:type="dxa"/>
          </w:tcPr>
          <w:p w14:paraId="714B933A" w14:textId="77777777" w:rsidR="00BD46FA" w:rsidRPr="004700D9" w:rsidRDefault="00BD46FA" w:rsidP="00722135">
            <w:pPr>
              <w:pStyle w:val="TableHead"/>
              <w:rPr>
                <w:sz w:val="22"/>
                <w:szCs w:val="22"/>
              </w:rPr>
            </w:pPr>
            <w:r w:rsidRPr="004700D9">
              <w:rPr>
                <w:sz w:val="22"/>
                <w:szCs w:val="22"/>
              </w:rPr>
              <w:t>Number and % of employees reporting a disability</w:t>
            </w:r>
          </w:p>
          <w:p w14:paraId="7B5C1832" w14:textId="2EDA6507" w:rsidR="00BD46FA" w:rsidRPr="004700D9" w:rsidRDefault="00BD46FA" w:rsidP="00722135">
            <w:pPr>
              <w:pStyle w:val="TableHead"/>
              <w:rPr>
                <w:sz w:val="22"/>
                <w:szCs w:val="22"/>
              </w:rPr>
            </w:pPr>
            <w:r w:rsidRPr="004700D9">
              <w:rPr>
                <w:sz w:val="22"/>
                <w:szCs w:val="22"/>
              </w:rPr>
              <w:t>2022</w:t>
            </w:r>
          </w:p>
        </w:tc>
      </w:tr>
      <w:tr w:rsidR="00BD46FA" w:rsidRPr="004700D9" w14:paraId="04A9DF96" w14:textId="77777777" w:rsidTr="004029C8">
        <w:tc>
          <w:tcPr>
            <w:tcW w:w="2574" w:type="dxa"/>
          </w:tcPr>
          <w:p w14:paraId="42EAB5C9" w14:textId="422AFE53" w:rsidR="00BD46FA" w:rsidRPr="004700D9" w:rsidRDefault="00BD46FA" w:rsidP="00BD46FA">
            <w:pPr>
              <w:pStyle w:val="ListBullet"/>
              <w:numPr>
                <w:ilvl w:val="0"/>
                <w:numId w:val="0"/>
              </w:numPr>
              <w:ind w:left="22"/>
              <w:rPr>
                <w:b/>
                <w:bCs/>
                <w:sz w:val="22"/>
                <w:szCs w:val="22"/>
              </w:rPr>
            </w:pPr>
            <w:r w:rsidRPr="004700D9">
              <w:rPr>
                <w:b/>
                <w:bCs/>
                <w:sz w:val="22"/>
                <w:szCs w:val="22"/>
              </w:rPr>
              <w:t>Arts Council</w:t>
            </w:r>
          </w:p>
        </w:tc>
        <w:tc>
          <w:tcPr>
            <w:tcW w:w="1440" w:type="dxa"/>
          </w:tcPr>
          <w:p w14:paraId="414CA6D4" w14:textId="085EA2B9" w:rsidR="00BD46FA" w:rsidRPr="004700D9" w:rsidRDefault="00BD46FA" w:rsidP="00BD46FA">
            <w:pPr>
              <w:spacing w:after="0"/>
              <w:jc w:val="right"/>
              <w:rPr>
                <w:rFonts w:cs="Calibri"/>
                <w:color w:val="000000"/>
                <w:sz w:val="22"/>
                <w:szCs w:val="22"/>
              </w:rPr>
            </w:pPr>
            <w:r w:rsidRPr="004700D9">
              <w:rPr>
                <w:rFonts w:cs="Calibri"/>
                <w:color w:val="000000"/>
                <w:sz w:val="22"/>
                <w:szCs w:val="22"/>
              </w:rPr>
              <w:t>75</w:t>
            </w:r>
          </w:p>
        </w:tc>
        <w:tc>
          <w:tcPr>
            <w:tcW w:w="2223" w:type="dxa"/>
          </w:tcPr>
          <w:p w14:paraId="34A8DF72" w14:textId="3DDD0110" w:rsidR="00BD46FA" w:rsidRPr="004700D9" w:rsidRDefault="00BD46FA" w:rsidP="00BD46FA">
            <w:pPr>
              <w:spacing w:after="0"/>
              <w:jc w:val="right"/>
              <w:rPr>
                <w:rFonts w:cs="Calibri"/>
                <w:color w:val="000000"/>
                <w:sz w:val="22"/>
                <w:szCs w:val="22"/>
              </w:rPr>
            </w:pPr>
            <w:r w:rsidRPr="004700D9">
              <w:rPr>
                <w:rFonts w:cs="Calibri"/>
                <w:color w:val="000000"/>
                <w:sz w:val="22"/>
                <w:szCs w:val="22"/>
              </w:rPr>
              <w:t>2(2.7%)</w:t>
            </w:r>
          </w:p>
        </w:tc>
        <w:tc>
          <w:tcPr>
            <w:tcW w:w="1560" w:type="dxa"/>
          </w:tcPr>
          <w:p w14:paraId="4D90D661" w14:textId="2D49CFFB" w:rsidR="00BD46FA" w:rsidRPr="004700D9" w:rsidRDefault="00BD46FA" w:rsidP="00BD46FA">
            <w:pPr>
              <w:spacing w:after="0"/>
              <w:jc w:val="right"/>
              <w:rPr>
                <w:rFonts w:cs="Calibri"/>
                <w:color w:val="000000"/>
                <w:sz w:val="22"/>
                <w:szCs w:val="22"/>
              </w:rPr>
            </w:pPr>
            <w:r w:rsidRPr="004700D9">
              <w:rPr>
                <w:rFonts w:cs="Calibri"/>
                <w:color w:val="000000"/>
                <w:sz w:val="22"/>
                <w:szCs w:val="22"/>
              </w:rPr>
              <w:t>81</w:t>
            </w:r>
          </w:p>
        </w:tc>
        <w:tc>
          <w:tcPr>
            <w:tcW w:w="2268" w:type="dxa"/>
          </w:tcPr>
          <w:p w14:paraId="487D2965" w14:textId="45BBEECD" w:rsidR="00BD46FA" w:rsidRPr="004700D9" w:rsidRDefault="00BD46FA" w:rsidP="00BD46FA">
            <w:pPr>
              <w:spacing w:after="0"/>
              <w:jc w:val="right"/>
              <w:rPr>
                <w:rFonts w:cs="Calibri"/>
                <w:color w:val="000000"/>
                <w:sz w:val="22"/>
                <w:szCs w:val="22"/>
              </w:rPr>
            </w:pPr>
            <w:r w:rsidRPr="004700D9">
              <w:rPr>
                <w:rFonts w:cs="Calibri"/>
                <w:color w:val="000000"/>
                <w:sz w:val="22"/>
                <w:szCs w:val="22"/>
              </w:rPr>
              <w:t>1 (1.2%)</w:t>
            </w:r>
          </w:p>
        </w:tc>
      </w:tr>
      <w:tr w:rsidR="00BD46FA" w:rsidRPr="004700D9" w14:paraId="5DD115AE" w14:textId="77777777" w:rsidTr="004029C8">
        <w:tc>
          <w:tcPr>
            <w:tcW w:w="2574" w:type="dxa"/>
          </w:tcPr>
          <w:p w14:paraId="6F3D59A6" w14:textId="6A816554" w:rsidR="00BD46FA" w:rsidRPr="004700D9" w:rsidRDefault="00BD46FA" w:rsidP="00BD46FA">
            <w:pPr>
              <w:pStyle w:val="ListBullet"/>
              <w:numPr>
                <w:ilvl w:val="0"/>
                <w:numId w:val="0"/>
              </w:numPr>
              <w:ind w:left="22"/>
              <w:rPr>
                <w:sz w:val="22"/>
                <w:szCs w:val="22"/>
              </w:rPr>
            </w:pPr>
            <w:bookmarkStart w:id="60" w:name="_Hlk145347985"/>
            <w:bookmarkStart w:id="61" w:name="_Hlk145342481"/>
            <w:r w:rsidRPr="004700D9">
              <w:rPr>
                <w:b/>
                <w:bCs/>
                <w:sz w:val="22"/>
                <w:szCs w:val="22"/>
              </w:rPr>
              <w:t xml:space="preserve">Atlantic Technological University </w:t>
            </w:r>
            <w:bookmarkEnd w:id="60"/>
            <w:r w:rsidRPr="004700D9">
              <w:rPr>
                <w:b/>
                <w:bCs/>
                <w:sz w:val="22"/>
                <w:szCs w:val="22"/>
              </w:rPr>
              <w:t>Galway-Mayo (ATU)- formally known as IT Galway-Mayo in 2021</w:t>
            </w:r>
            <w:bookmarkEnd w:id="61"/>
          </w:p>
        </w:tc>
        <w:tc>
          <w:tcPr>
            <w:tcW w:w="1440" w:type="dxa"/>
          </w:tcPr>
          <w:p w14:paraId="592B21EC" w14:textId="77777777" w:rsidR="00BD46FA" w:rsidRPr="004700D9" w:rsidRDefault="00BD46FA" w:rsidP="00BD46FA">
            <w:pPr>
              <w:spacing w:after="0"/>
              <w:jc w:val="right"/>
              <w:rPr>
                <w:rFonts w:cs="Calibri"/>
                <w:color w:val="000000"/>
                <w:sz w:val="22"/>
                <w:szCs w:val="22"/>
                <w:lang w:eastAsia="en-IE"/>
              </w:rPr>
            </w:pPr>
            <w:r w:rsidRPr="004700D9">
              <w:rPr>
                <w:rFonts w:cs="Calibri"/>
                <w:color w:val="000000"/>
                <w:sz w:val="22"/>
                <w:szCs w:val="22"/>
              </w:rPr>
              <w:t>1,057</w:t>
            </w:r>
          </w:p>
          <w:p w14:paraId="1FA53090" w14:textId="77777777" w:rsidR="00BD46FA" w:rsidRPr="004700D9" w:rsidRDefault="00BD46FA" w:rsidP="00BD46FA">
            <w:pPr>
              <w:spacing w:after="0"/>
              <w:jc w:val="right"/>
              <w:rPr>
                <w:rFonts w:cs="Calibri"/>
                <w:color w:val="000000"/>
                <w:sz w:val="22"/>
                <w:szCs w:val="22"/>
              </w:rPr>
            </w:pPr>
          </w:p>
        </w:tc>
        <w:tc>
          <w:tcPr>
            <w:tcW w:w="2223" w:type="dxa"/>
          </w:tcPr>
          <w:p w14:paraId="66C15158" w14:textId="77777777" w:rsidR="00BD46FA" w:rsidRPr="004700D9" w:rsidRDefault="00BD46FA" w:rsidP="00BD46FA">
            <w:pPr>
              <w:spacing w:after="0"/>
              <w:jc w:val="right"/>
              <w:rPr>
                <w:rFonts w:cs="Calibri"/>
                <w:color w:val="000000"/>
                <w:sz w:val="22"/>
                <w:szCs w:val="22"/>
                <w:lang w:eastAsia="en-IE"/>
              </w:rPr>
            </w:pPr>
            <w:r w:rsidRPr="004700D9">
              <w:rPr>
                <w:rFonts w:cs="Calibri"/>
                <w:color w:val="000000"/>
                <w:sz w:val="22"/>
                <w:szCs w:val="22"/>
              </w:rPr>
              <w:t>30 (2.8%)</w:t>
            </w:r>
          </w:p>
          <w:p w14:paraId="1F44D683" w14:textId="77777777" w:rsidR="00BD46FA" w:rsidRPr="004700D9" w:rsidRDefault="00BD46FA" w:rsidP="00BD46FA">
            <w:pPr>
              <w:spacing w:after="0"/>
              <w:jc w:val="right"/>
              <w:rPr>
                <w:rFonts w:cs="Calibri"/>
                <w:color w:val="000000"/>
                <w:sz w:val="22"/>
                <w:szCs w:val="22"/>
              </w:rPr>
            </w:pPr>
          </w:p>
        </w:tc>
        <w:tc>
          <w:tcPr>
            <w:tcW w:w="1560" w:type="dxa"/>
          </w:tcPr>
          <w:p w14:paraId="2EE61D08" w14:textId="2481B213" w:rsidR="00BD46FA" w:rsidRPr="004700D9" w:rsidRDefault="00BD46FA" w:rsidP="00BD46FA">
            <w:pPr>
              <w:spacing w:after="0"/>
              <w:jc w:val="right"/>
              <w:rPr>
                <w:rFonts w:cs="Calibri"/>
                <w:color w:val="000000"/>
                <w:sz w:val="22"/>
                <w:szCs w:val="22"/>
              </w:rPr>
            </w:pPr>
            <w:r w:rsidRPr="004700D9">
              <w:rPr>
                <w:rFonts w:cs="Calibri"/>
                <w:color w:val="000000"/>
                <w:sz w:val="22"/>
                <w:szCs w:val="22"/>
              </w:rPr>
              <w:t>1</w:t>
            </w:r>
            <w:r w:rsidR="00122D2F" w:rsidRPr="004700D9">
              <w:rPr>
                <w:rFonts w:cs="Calibri"/>
                <w:color w:val="000000"/>
                <w:sz w:val="22"/>
                <w:szCs w:val="22"/>
              </w:rPr>
              <w:t>,</w:t>
            </w:r>
            <w:r w:rsidRPr="004700D9">
              <w:rPr>
                <w:rFonts w:cs="Calibri"/>
                <w:color w:val="000000"/>
                <w:sz w:val="22"/>
                <w:szCs w:val="22"/>
              </w:rPr>
              <w:t>172</w:t>
            </w:r>
          </w:p>
        </w:tc>
        <w:tc>
          <w:tcPr>
            <w:tcW w:w="2268" w:type="dxa"/>
          </w:tcPr>
          <w:p w14:paraId="4CF493A6" w14:textId="139FF06D" w:rsidR="00BD46FA" w:rsidRPr="004700D9" w:rsidRDefault="00BD46FA" w:rsidP="00BD46FA">
            <w:pPr>
              <w:spacing w:after="0"/>
              <w:jc w:val="right"/>
              <w:rPr>
                <w:rFonts w:cs="Calibri"/>
                <w:color w:val="000000"/>
                <w:sz w:val="22"/>
                <w:szCs w:val="22"/>
              </w:rPr>
            </w:pPr>
            <w:r w:rsidRPr="004700D9">
              <w:rPr>
                <w:rFonts w:cs="Calibri"/>
                <w:color w:val="000000"/>
                <w:sz w:val="22"/>
                <w:szCs w:val="22"/>
              </w:rPr>
              <w:t>25 (2.1%)</w:t>
            </w:r>
          </w:p>
        </w:tc>
      </w:tr>
      <w:tr w:rsidR="00BD46FA" w:rsidRPr="004700D9" w14:paraId="27EFA1B9" w14:textId="77777777" w:rsidTr="004029C8">
        <w:tc>
          <w:tcPr>
            <w:tcW w:w="2574" w:type="dxa"/>
          </w:tcPr>
          <w:p w14:paraId="24A50A0B" w14:textId="115F1F63" w:rsidR="00BD46FA" w:rsidRPr="004700D9" w:rsidRDefault="00BD46FA" w:rsidP="00BD46FA">
            <w:pPr>
              <w:pStyle w:val="TableRowHead"/>
              <w:spacing w:before="120" w:after="120"/>
              <w:rPr>
                <w:rFonts w:ascii="Gill Sans MT" w:hAnsi="Gill Sans MT"/>
                <w:sz w:val="22"/>
                <w:szCs w:val="22"/>
              </w:rPr>
            </w:pPr>
            <w:r w:rsidRPr="004700D9">
              <w:rPr>
                <w:rFonts w:ascii="Gill Sans MT" w:hAnsi="Gill Sans MT"/>
                <w:sz w:val="22"/>
                <w:szCs w:val="22"/>
              </w:rPr>
              <w:t>Bord Bia</w:t>
            </w:r>
          </w:p>
        </w:tc>
        <w:tc>
          <w:tcPr>
            <w:tcW w:w="1440" w:type="dxa"/>
          </w:tcPr>
          <w:p w14:paraId="6A7F0CC7" w14:textId="33881972" w:rsidR="00BD46FA" w:rsidRPr="004700D9" w:rsidRDefault="00BD46FA" w:rsidP="00BD46FA">
            <w:pPr>
              <w:spacing w:after="0"/>
              <w:jc w:val="right"/>
              <w:rPr>
                <w:rFonts w:cs="Calibri"/>
                <w:color w:val="000000"/>
                <w:sz w:val="22"/>
                <w:szCs w:val="22"/>
              </w:rPr>
            </w:pPr>
            <w:r w:rsidRPr="004700D9">
              <w:rPr>
                <w:rFonts w:cs="Calibri"/>
                <w:color w:val="000000"/>
                <w:sz w:val="22"/>
                <w:szCs w:val="22"/>
              </w:rPr>
              <w:t>150</w:t>
            </w:r>
          </w:p>
        </w:tc>
        <w:tc>
          <w:tcPr>
            <w:tcW w:w="2223" w:type="dxa"/>
          </w:tcPr>
          <w:p w14:paraId="271A24C2" w14:textId="7F2ADA9A" w:rsidR="00BD46FA" w:rsidRPr="004700D9" w:rsidRDefault="00BD46FA" w:rsidP="00BD46FA">
            <w:pPr>
              <w:spacing w:after="0"/>
              <w:jc w:val="right"/>
              <w:rPr>
                <w:rFonts w:cs="Calibri"/>
                <w:color w:val="000000"/>
                <w:sz w:val="22"/>
                <w:szCs w:val="22"/>
              </w:rPr>
            </w:pPr>
            <w:r w:rsidRPr="004700D9">
              <w:rPr>
                <w:rFonts w:cs="Calibri"/>
                <w:color w:val="000000"/>
                <w:sz w:val="22"/>
                <w:szCs w:val="22"/>
              </w:rPr>
              <w:t>3(2.0%)</w:t>
            </w:r>
          </w:p>
        </w:tc>
        <w:tc>
          <w:tcPr>
            <w:tcW w:w="1560" w:type="dxa"/>
          </w:tcPr>
          <w:p w14:paraId="3100E09F" w14:textId="638D3175" w:rsidR="00BD46FA" w:rsidRPr="004700D9" w:rsidRDefault="00BD46FA" w:rsidP="00BD46FA">
            <w:pPr>
              <w:pStyle w:val="TableCell"/>
              <w:jc w:val="right"/>
              <w:rPr>
                <w:sz w:val="22"/>
                <w:szCs w:val="22"/>
              </w:rPr>
            </w:pPr>
            <w:r w:rsidRPr="004700D9">
              <w:rPr>
                <w:sz w:val="22"/>
                <w:szCs w:val="22"/>
              </w:rPr>
              <w:t>144</w:t>
            </w:r>
          </w:p>
        </w:tc>
        <w:tc>
          <w:tcPr>
            <w:tcW w:w="2268" w:type="dxa"/>
          </w:tcPr>
          <w:p w14:paraId="09B60BCE" w14:textId="748CEFDA" w:rsidR="00BD46FA" w:rsidRPr="004700D9" w:rsidRDefault="00BD46FA" w:rsidP="00BD46FA">
            <w:pPr>
              <w:pStyle w:val="TableCell"/>
              <w:jc w:val="right"/>
              <w:rPr>
                <w:sz w:val="22"/>
                <w:szCs w:val="22"/>
              </w:rPr>
            </w:pPr>
            <w:r w:rsidRPr="004700D9">
              <w:rPr>
                <w:sz w:val="22"/>
                <w:szCs w:val="22"/>
              </w:rPr>
              <w:t>2 (1.4%)</w:t>
            </w:r>
          </w:p>
        </w:tc>
      </w:tr>
      <w:tr w:rsidR="00BD46FA" w:rsidRPr="004700D9" w14:paraId="7F8B8F1D" w14:textId="77777777" w:rsidTr="004029C8">
        <w:trPr>
          <w:trHeight w:val="462"/>
        </w:trPr>
        <w:tc>
          <w:tcPr>
            <w:tcW w:w="2574" w:type="dxa"/>
          </w:tcPr>
          <w:p w14:paraId="3B089FC3" w14:textId="77777777" w:rsidR="00BD46FA" w:rsidRPr="004700D9" w:rsidRDefault="00BD46FA" w:rsidP="00BD46FA">
            <w:pPr>
              <w:pStyle w:val="TableRowHead"/>
              <w:spacing w:before="120" w:after="120"/>
              <w:rPr>
                <w:rFonts w:ascii="Gill Sans MT" w:hAnsi="Gill Sans MT"/>
                <w:sz w:val="22"/>
                <w:szCs w:val="22"/>
              </w:rPr>
            </w:pPr>
            <w:r w:rsidRPr="004700D9">
              <w:rPr>
                <w:rFonts w:ascii="Gill Sans MT" w:hAnsi="Gill Sans MT"/>
                <w:sz w:val="22"/>
                <w:szCs w:val="22"/>
              </w:rPr>
              <w:t xml:space="preserve">HSE </w:t>
            </w:r>
          </w:p>
        </w:tc>
        <w:tc>
          <w:tcPr>
            <w:tcW w:w="1440" w:type="dxa"/>
          </w:tcPr>
          <w:p w14:paraId="0D3AAA3D" w14:textId="77777777" w:rsidR="00BD46FA" w:rsidRPr="004700D9" w:rsidRDefault="00BD46FA" w:rsidP="00BD46FA">
            <w:pPr>
              <w:spacing w:after="0"/>
              <w:jc w:val="right"/>
              <w:rPr>
                <w:rFonts w:cs="Calibri"/>
                <w:color w:val="000000"/>
                <w:sz w:val="22"/>
                <w:szCs w:val="22"/>
                <w:lang w:eastAsia="en-IE"/>
              </w:rPr>
            </w:pPr>
            <w:r w:rsidRPr="004700D9">
              <w:rPr>
                <w:rFonts w:cs="Calibri"/>
                <w:color w:val="000000"/>
                <w:sz w:val="22"/>
                <w:szCs w:val="22"/>
              </w:rPr>
              <w:t>96,675</w:t>
            </w:r>
          </w:p>
          <w:p w14:paraId="0E467CC7" w14:textId="77777777" w:rsidR="00BD46FA" w:rsidRPr="004700D9" w:rsidRDefault="00BD46FA" w:rsidP="00BD46FA">
            <w:pPr>
              <w:pStyle w:val="TableCell"/>
              <w:jc w:val="right"/>
              <w:rPr>
                <w:sz w:val="22"/>
                <w:szCs w:val="22"/>
              </w:rPr>
            </w:pPr>
          </w:p>
        </w:tc>
        <w:tc>
          <w:tcPr>
            <w:tcW w:w="2223" w:type="dxa"/>
          </w:tcPr>
          <w:p w14:paraId="37620177" w14:textId="5C1243F2" w:rsidR="00BD46FA" w:rsidRPr="004700D9" w:rsidRDefault="00BD46FA" w:rsidP="00BD46FA">
            <w:pPr>
              <w:spacing w:after="0"/>
              <w:jc w:val="right"/>
              <w:rPr>
                <w:rFonts w:cs="Calibri"/>
                <w:color w:val="000000"/>
                <w:sz w:val="22"/>
                <w:szCs w:val="22"/>
                <w:lang w:eastAsia="en-IE"/>
              </w:rPr>
            </w:pPr>
            <w:r w:rsidRPr="004700D9">
              <w:rPr>
                <w:rFonts w:cs="Calibri"/>
                <w:color w:val="000000"/>
                <w:sz w:val="22"/>
                <w:szCs w:val="22"/>
              </w:rPr>
              <w:t>1508 (1.6%)</w:t>
            </w:r>
          </w:p>
          <w:p w14:paraId="307BDB71" w14:textId="77777777" w:rsidR="00BD46FA" w:rsidRPr="004700D9" w:rsidRDefault="00BD46FA" w:rsidP="00BD46FA">
            <w:pPr>
              <w:pStyle w:val="TableCell"/>
              <w:jc w:val="right"/>
              <w:rPr>
                <w:sz w:val="22"/>
                <w:szCs w:val="22"/>
              </w:rPr>
            </w:pPr>
          </w:p>
        </w:tc>
        <w:tc>
          <w:tcPr>
            <w:tcW w:w="1560" w:type="dxa"/>
          </w:tcPr>
          <w:p w14:paraId="45EF6AE6" w14:textId="65D15859" w:rsidR="00BD46FA" w:rsidRPr="004700D9" w:rsidRDefault="00122D2F" w:rsidP="00BD46FA">
            <w:pPr>
              <w:pStyle w:val="TableCell"/>
              <w:jc w:val="right"/>
              <w:rPr>
                <w:sz w:val="22"/>
                <w:szCs w:val="22"/>
              </w:rPr>
            </w:pPr>
            <w:r w:rsidRPr="004700D9">
              <w:rPr>
                <w:sz w:val="22"/>
                <w:szCs w:val="22"/>
              </w:rPr>
              <w:t>101,020</w:t>
            </w:r>
          </w:p>
        </w:tc>
        <w:tc>
          <w:tcPr>
            <w:tcW w:w="2268" w:type="dxa"/>
          </w:tcPr>
          <w:p w14:paraId="7D389A7C" w14:textId="626FB6BC" w:rsidR="00BD46FA" w:rsidRPr="004700D9" w:rsidRDefault="00122D2F" w:rsidP="00BD46FA">
            <w:pPr>
              <w:pStyle w:val="TableCell"/>
              <w:jc w:val="right"/>
              <w:rPr>
                <w:sz w:val="22"/>
                <w:szCs w:val="22"/>
              </w:rPr>
            </w:pPr>
            <w:r w:rsidRPr="004700D9">
              <w:rPr>
                <w:sz w:val="22"/>
                <w:szCs w:val="22"/>
              </w:rPr>
              <w:t>2,331 (2.3%)</w:t>
            </w:r>
          </w:p>
        </w:tc>
      </w:tr>
      <w:tr w:rsidR="00BD46FA" w:rsidRPr="004700D9" w14:paraId="56778663" w14:textId="77777777" w:rsidTr="004029C8">
        <w:tc>
          <w:tcPr>
            <w:tcW w:w="2574" w:type="dxa"/>
          </w:tcPr>
          <w:p w14:paraId="27FE4658" w14:textId="4037237B" w:rsidR="00BD46FA" w:rsidRPr="004700D9" w:rsidRDefault="00BD46FA" w:rsidP="00BD46FA">
            <w:pPr>
              <w:pStyle w:val="TableRowHead"/>
              <w:spacing w:before="120" w:after="120"/>
              <w:rPr>
                <w:rFonts w:ascii="Gill Sans MT" w:hAnsi="Gill Sans MT"/>
                <w:sz w:val="22"/>
                <w:szCs w:val="22"/>
              </w:rPr>
            </w:pPr>
            <w:r w:rsidRPr="004700D9">
              <w:rPr>
                <w:rFonts w:ascii="Gill Sans MT" w:hAnsi="Gill Sans MT"/>
                <w:sz w:val="22"/>
                <w:szCs w:val="22"/>
              </w:rPr>
              <w:t>Land Development Agency</w:t>
            </w:r>
          </w:p>
        </w:tc>
        <w:tc>
          <w:tcPr>
            <w:tcW w:w="1440" w:type="dxa"/>
          </w:tcPr>
          <w:p w14:paraId="29A0A503" w14:textId="150A4EAA" w:rsidR="00BD46FA" w:rsidRPr="004700D9" w:rsidRDefault="00122D2F" w:rsidP="00722135">
            <w:pPr>
              <w:pStyle w:val="TableCell"/>
              <w:jc w:val="right"/>
              <w:rPr>
                <w:sz w:val="22"/>
                <w:szCs w:val="22"/>
              </w:rPr>
            </w:pPr>
            <w:r w:rsidRPr="004700D9">
              <w:rPr>
                <w:sz w:val="22"/>
                <w:szCs w:val="22"/>
              </w:rPr>
              <w:t>50</w:t>
            </w:r>
          </w:p>
        </w:tc>
        <w:tc>
          <w:tcPr>
            <w:tcW w:w="2223" w:type="dxa"/>
          </w:tcPr>
          <w:p w14:paraId="44BAE515" w14:textId="0D205056" w:rsidR="00BD46FA" w:rsidRPr="004700D9" w:rsidRDefault="00122D2F" w:rsidP="00722135">
            <w:pPr>
              <w:pStyle w:val="TableCell"/>
              <w:jc w:val="right"/>
              <w:rPr>
                <w:sz w:val="22"/>
                <w:szCs w:val="22"/>
              </w:rPr>
            </w:pPr>
            <w:r w:rsidRPr="004700D9">
              <w:rPr>
                <w:sz w:val="22"/>
                <w:szCs w:val="22"/>
              </w:rPr>
              <w:t>1(2.0%)</w:t>
            </w:r>
          </w:p>
        </w:tc>
        <w:tc>
          <w:tcPr>
            <w:tcW w:w="1560" w:type="dxa"/>
          </w:tcPr>
          <w:p w14:paraId="1D57D49A" w14:textId="4AE81F7C" w:rsidR="00BD46FA" w:rsidRPr="004700D9" w:rsidRDefault="00122D2F" w:rsidP="00722135">
            <w:pPr>
              <w:pStyle w:val="TableCell"/>
              <w:jc w:val="right"/>
              <w:rPr>
                <w:sz w:val="22"/>
                <w:szCs w:val="22"/>
              </w:rPr>
            </w:pPr>
            <w:r w:rsidRPr="004700D9">
              <w:rPr>
                <w:sz w:val="22"/>
                <w:szCs w:val="22"/>
              </w:rPr>
              <w:t>70</w:t>
            </w:r>
          </w:p>
        </w:tc>
        <w:tc>
          <w:tcPr>
            <w:tcW w:w="2268" w:type="dxa"/>
          </w:tcPr>
          <w:p w14:paraId="58ABEB87" w14:textId="7E88662D" w:rsidR="00BD46FA" w:rsidRPr="004700D9" w:rsidRDefault="00122D2F" w:rsidP="00722135">
            <w:pPr>
              <w:pStyle w:val="TableCell"/>
              <w:jc w:val="right"/>
              <w:rPr>
                <w:sz w:val="22"/>
                <w:szCs w:val="22"/>
              </w:rPr>
            </w:pPr>
            <w:r w:rsidRPr="004700D9">
              <w:rPr>
                <w:sz w:val="22"/>
                <w:szCs w:val="22"/>
              </w:rPr>
              <w:t>1 (1.4%)</w:t>
            </w:r>
          </w:p>
        </w:tc>
      </w:tr>
    </w:tbl>
    <w:p w14:paraId="0E56F693" w14:textId="15129C9F" w:rsidR="00986896" w:rsidRPr="004700D9" w:rsidRDefault="00986896" w:rsidP="00973B13">
      <w:pPr>
        <w:pStyle w:val="Heading2"/>
        <w:rPr>
          <w:sz w:val="22"/>
          <w:szCs w:val="22"/>
          <w:highlight w:val="green"/>
        </w:rPr>
      </w:pPr>
    </w:p>
    <w:p w14:paraId="084D123F" w14:textId="77777777" w:rsidR="004700D9" w:rsidRDefault="004700D9" w:rsidP="00973B13">
      <w:pPr>
        <w:pStyle w:val="Heading2"/>
      </w:pPr>
    </w:p>
    <w:p w14:paraId="629E07BE" w14:textId="7B26A079" w:rsidR="00056CC3" w:rsidRDefault="00056CC3" w:rsidP="00973B13">
      <w:pPr>
        <w:pStyle w:val="Heading2"/>
      </w:pPr>
      <w:r>
        <w:br w:type="page"/>
      </w:r>
    </w:p>
    <w:p w14:paraId="13E74562" w14:textId="77777777" w:rsidR="00CD5456" w:rsidRDefault="00CD5456" w:rsidP="00973B13">
      <w:pPr>
        <w:pStyle w:val="Heading2"/>
      </w:pPr>
    </w:p>
    <w:p w14:paraId="7027BB99" w14:textId="77777777" w:rsidR="00CD5456" w:rsidRDefault="00CD5456" w:rsidP="00973B13">
      <w:pPr>
        <w:pStyle w:val="Heading2"/>
      </w:pPr>
    </w:p>
    <w:p w14:paraId="19A056E4" w14:textId="639BEEDF" w:rsidR="00973B13" w:rsidRPr="00986896" w:rsidRDefault="0013362E" w:rsidP="00973B13">
      <w:pPr>
        <w:pStyle w:val="Heading2"/>
      </w:pPr>
      <w:bookmarkStart w:id="62" w:name="_Toc146113871"/>
      <w:r w:rsidRPr="00986896">
        <w:t>3.4</w:t>
      </w:r>
      <w:r w:rsidR="00973B13" w:rsidRPr="00986896">
        <w:t xml:space="preserve"> Monitoring Committee</w:t>
      </w:r>
      <w:bookmarkEnd w:id="57"/>
      <w:r w:rsidR="00973B13" w:rsidRPr="00986896">
        <w:t>s</w:t>
      </w:r>
      <w:bookmarkEnd w:id="58"/>
      <w:bookmarkEnd w:id="59"/>
      <w:bookmarkEnd w:id="62"/>
    </w:p>
    <w:p w14:paraId="28D80567" w14:textId="20E7D4E3" w:rsidR="00FC0298" w:rsidRPr="00986896" w:rsidRDefault="00973B13" w:rsidP="003652F9">
      <w:r w:rsidRPr="00986896">
        <w:t>The Monitoring Committees continue to work with the NDA to ensure that our guidance on creating an inclusive working environment is disseminated to public bodies and to support public bodies to incrementally increase their recruitment of persons with disabilities.</w:t>
      </w:r>
    </w:p>
    <w:p w14:paraId="08A23104" w14:textId="066C8CC4" w:rsidR="00973B13" w:rsidRPr="00986896" w:rsidRDefault="000B2489" w:rsidP="00973B13">
      <w:pPr>
        <w:pStyle w:val="Heading2"/>
      </w:pPr>
      <w:bookmarkStart w:id="63" w:name="_Toc146113872"/>
      <w:r w:rsidRPr="00986896">
        <w:t>3.</w:t>
      </w:r>
      <w:r w:rsidR="0013362E" w:rsidRPr="00986896">
        <w:t>5</w:t>
      </w:r>
      <w:r w:rsidR="00973B13" w:rsidRPr="00986896">
        <w:t xml:space="preserve"> </w:t>
      </w:r>
      <w:bookmarkStart w:id="64" w:name="_Toc498585843"/>
      <w:bookmarkStart w:id="65" w:name="_Toc526435825"/>
      <w:bookmarkStart w:id="66" w:name="_Toc18680259"/>
      <w:bookmarkStart w:id="67" w:name="_Toc56497156"/>
      <w:r w:rsidR="00973B13" w:rsidRPr="00986896">
        <w:t xml:space="preserve">Errata </w:t>
      </w:r>
      <w:bookmarkEnd w:id="64"/>
      <w:bookmarkEnd w:id="65"/>
      <w:bookmarkEnd w:id="66"/>
      <w:bookmarkEnd w:id="67"/>
      <w:r w:rsidR="00973B13" w:rsidRPr="00986896">
        <w:t>– changes in data</w:t>
      </w:r>
      <w:bookmarkEnd w:id="63"/>
    </w:p>
    <w:p w14:paraId="67FF25AF" w14:textId="1716E9DD" w:rsidR="00973B13" w:rsidRPr="004C3D5B" w:rsidRDefault="00AE050D" w:rsidP="003652F9">
      <w:pPr>
        <w:rPr>
          <w:rFonts w:ascii="Rockwell" w:hAnsi="Rockwell"/>
        </w:rPr>
      </w:pPr>
      <w:r w:rsidRPr="00986896">
        <w:t xml:space="preserve">There </w:t>
      </w:r>
      <w:r w:rsidR="00EE1AF8">
        <w:t>are</w:t>
      </w:r>
      <w:r w:rsidRPr="00986896">
        <w:t xml:space="preserve"> no errata in the published data to date.</w:t>
      </w:r>
      <w:bookmarkEnd w:id="21"/>
      <w:r w:rsidR="00973B13" w:rsidRPr="004C3D5B">
        <w:rPr>
          <w:rFonts w:ascii="Gill Sans" w:hAnsi="Gill Sans"/>
        </w:rPr>
        <w:br w:type="page"/>
      </w:r>
    </w:p>
    <w:p w14:paraId="318D8A00" w14:textId="1704A508" w:rsidR="00E9499C" w:rsidRPr="00C36EE8" w:rsidRDefault="00973B13" w:rsidP="00D77C26">
      <w:pPr>
        <w:pStyle w:val="Heading1"/>
      </w:pPr>
      <w:bookmarkStart w:id="68" w:name="_Toc146113873"/>
      <w:r w:rsidRPr="00C36EE8">
        <w:lastRenderedPageBreak/>
        <w:t>Appendix A – Government Departments</w:t>
      </w:r>
      <w:bookmarkEnd w:id="68"/>
    </w:p>
    <w:p w14:paraId="43118BBC" w14:textId="7636F8DB" w:rsidR="00100447" w:rsidRPr="00C36EE8" w:rsidRDefault="00100447" w:rsidP="00100447">
      <w:pPr>
        <w:pStyle w:val="TableTitle"/>
        <w:jc w:val="left"/>
      </w:pPr>
    </w:p>
    <w:tbl>
      <w:tblPr>
        <w:tblStyle w:val="TableGrid1"/>
        <w:tblW w:w="10349" w:type="dxa"/>
        <w:tblInd w:w="-856" w:type="dxa"/>
        <w:tblLook w:val="0020" w:firstRow="1" w:lastRow="0" w:firstColumn="0" w:lastColumn="0" w:noHBand="0" w:noVBand="0"/>
      </w:tblPr>
      <w:tblGrid>
        <w:gridCol w:w="2154"/>
        <w:gridCol w:w="1316"/>
        <w:gridCol w:w="1316"/>
        <w:gridCol w:w="1316"/>
        <w:gridCol w:w="1316"/>
        <w:gridCol w:w="1316"/>
        <w:gridCol w:w="1615"/>
      </w:tblGrid>
      <w:tr w:rsidR="00EA37D8" w:rsidRPr="00C36EE8" w14:paraId="03F26430" w14:textId="77777777" w:rsidTr="00FC2472">
        <w:trPr>
          <w:tblHeader/>
        </w:trPr>
        <w:tc>
          <w:tcPr>
            <w:tcW w:w="2154" w:type="dxa"/>
          </w:tcPr>
          <w:p w14:paraId="7A464B1C" w14:textId="77777777" w:rsidR="00EA37D8" w:rsidRPr="00C36EE8" w:rsidRDefault="00EA37D8" w:rsidP="006712C7">
            <w:pPr>
              <w:pStyle w:val="TableHead"/>
              <w:rPr>
                <w:sz w:val="22"/>
                <w:szCs w:val="22"/>
              </w:rPr>
            </w:pPr>
            <w:r w:rsidRPr="00C36EE8">
              <w:rPr>
                <w:sz w:val="22"/>
                <w:szCs w:val="22"/>
              </w:rPr>
              <w:t xml:space="preserve">Department </w:t>
            </w:r>
          </w:p>
        </w:tc>
        <w:tc>
          <w:tcPr>
            <w:tcW w:w="0" w:type="auto"/>
          </w:tcPr>
          <w:p w14:paraId="75BC5F17" w14:textId="77777777" w:rsidR="00EA37D8" w:rsidRPr="00C36EE8" w:rsidRDefault="00EA37D8" w:rsidP="006712C7">
            <w:pPr>
              <w:pStyle w:val="TableHead"/>
              <w:rPr>
                <w:sz w:val="22"/>
                <w:szCs w:val="22"/>
              </w:rPr>
            </w:pPr>
            <w:r w:rsidRPr="00C36EE8">
              <w:rPr>
                <w:sz w:val="22"/>
                <w:szCs w:val="22"/>
              </w:rPr>
              <w:t xml:space="preserve">Total </w:t>
            </w:r>
          </w:p>
          <w:p w14:paraId="5698E12D" w14:textId="77777777" w:rsidR="00EA37D8" w:rsidRPr="00C36EE8" w:rsidRDefault="00EA37D8" w:rsidP="006712C7">
            <w:pPr>
              <w:pStyle w:val="TableHead"/>
              <w:rPr>
                <w:sz w:val="22"/>
                <w:szCs w:val="22"/>
              </w:rPr>
            </w:pPr>
            <w:r w:rsidRPr="00C36EE8">
              <w:rPr>
                <w:sz w:val="22"/>
                <w:szCs w:val="22"/>
              </w:rPr>
              <w:t>number of employees  202</w:t>
            </w:r>
            <w:r>
              <w:rPr>
                <w:sz w:val="22"/>
                <w:szCs w:val="22"/>
              </w:rPr>
              <w:t>1</w:t>
            </w:r>
          </w:p>
        </w:tc>
        <w:tc>
          <w:tcPr>
            <w:tcW w:w="1316" w:type="dxa"/>
          </w:tcPr>
          <w:p w14:paraId="420363DF" w14:textId="77777777" w:rsidR="00EA37D8" w:rsidRPr="00C36EE8" w:rsidRDefault="00EA37D8" w:rsidP="006712C7">
            <w:pPr>
              <w:pStyle w:val="TableHead"/>
              <w:rPr>
                <w:sz w:val="22"/>
                <w:szCs w:val="22"/>
              </w:rPr>
            </w:pPr>
            <w:r w:rsidRPr="00C36EE8">
              <w:rPr>
                <w:sz w:val="22"/>
                <w:szCs w:val="22"/>
              </w:rPr>
              <w:t xml:space="preserve">Number of employees reporting a disability </w:t>
            </w:r>
          </w:p>
          <w:p w14:paraId="171B4AC4" w14:textId="77777777" w:rsidR="00EA37D8" w:rsidRPr="00C36EE8" w:rsidRDefault="00EA37D8" w:rsidP="006712C7">
            <w:pPr>
              <w:pStyle w:val="TableHead"/>
              <w:rPr>
                <w:sz w:val="22"/>
                <w:szCs w:val="22"/>
              </w:rPr>
            </w:pPr>
            <w:r w:rsidRPr="00C36EE8">
              <w:rPr>
                <w:sz w:val="22"/>
                <w:szCs w:val="22"/>
              </w:rPr>
              <w:t>202</w:t>
            </w:r>
            <w:r>
              <w:rPr>
                <w:sz w:val="22"/>
                <w:szCs w:val="22"/>
              </w:rPr>
              <w:t>1</w:t>
            </w:r>
          </w:p>
        </w:tc>
        <w:tc>
          <w:tcPr>
            <w:tcW w:w="1316" w:type="dxa"/>
          </w:tcPr>
          <w:p w14:paraId="0D0FF222" w14:textId="77777777" w:rsidR="00EA37D8" w:rsidRPr="00C36EE8" w:rsidRDefault="00EA37D8" w:rsidP="006712C7">
            <w:pPr>
              <w:pStyle w:val="TableHead"/>
              <w:rPr>
                <w:sz w:val="22"/>
                <w:szCs w:val="22"/>
              </w:rPr>
            </w:pPr>
            <w:r w:rsidRPr="00C36EE8">
              <w:rPr>
                <w:sz w:val="22"/>
                <w:szCs w:val="22"/>
              </w:rPr>
              <w:t>% of employees reporting a</w:t>
            </w:r>
          </w:p>
          <w:p w14:paraId="37C8CD48" w14:textId="77777777" w:rsidR="00EA37D8" w:rsidRPr="00C36EE8" w:rsidRDefault="00EA37D8" w:rsidP="006712C7">
            <w:pPr>
              <w:pStyle w:val="TableHead"/>
              <w:rPr>
                <w:sz w:val="22"/>
                <w:szCs w:val="22"/>
              </w:rPr>
            </w:pPr>
            <w:r w:rsidRPr="00C36EE8">
              <w:rPr>
                <w:sz w:val="22"/>
                <w:szCs w:val="22"/>
              </w:rPr>
              <w:t>disability 202</w:t>
            </w:r>
            <w:r>
              <w:rPr>
                <w:sz w:val="22"/>
                <w:szCs w:val="22"/>
              </w:rPr>
              <w:t>1</w:t>
            </w:r>
          </w:p>
        </w:tc>
        <w:tc>
          <w:tcPr>
            <w:tcW w:w="0" w:type="auto"/>
          </w:tcPr>
          <w:p w14:paraId="2D780F36" w14:textId="77777777" w:rsidR="00EA37D8" w:rsidRPr="00C36EE8" w:rsidRDefault="00EA37D8" w:rsidP="006712C7">
            <w:pPr>
              <w:pStyle w:val="TableHead"/>
              <w:rPr>
                <w:sz w:val="22"/>
                <w:szCs w:val="22"/>
              </w:rPr>
            </w:pPr>
            <w:r w:rsidRPr="00C36EE8">
              <w:rPr>
                <w:sz w:val="22"/>
                <w:szCs w:val="22"/>
              </w:rPr>
              <w:t>Total number of employees  202</w:t>
            </w:r>
            <w:r>
              <w:rPr>
                <w:sz w:val="22"/>
                <w:szCs w:val="22"/>
              </w:rPr>
              <w:t>2</w:t>
            </w:r>
          </w:p>
        </w:tc>
        <w:tc>
          <w:tcPr>
            <w:tcW w:w="0" w:type="auto"/>
          </w:tcPr>
          <w:p w14:paraId="71EC4C1A" w14:textId="77777777" w:rsidR="00EA37D8" w:rsidRPr="00C36EE8" w:rsidRDefault="00EA37D8" w:rsidP="006712C7">
            <w:pPr>
              <w:pStyle w:val="TableHead"/>
              <w:rPr>
                <w:sz w:val="22"/>
                <w:szCs w:val="22"/>
              </w:rPr>
            </w:pPr>
            <w:r w:rsidRPr="00C36EE8">
              <w:rPr>
                <w:sz w:val="22"/>
                <w:szCs w:val="22"/>
              </w:rPr>
              <w:t xml:space="preserve">Number of employees reporting a disability </w:t>
            </w:r>
          </w:p>
          <w:p w14:paraId="11307836" w14:textId="77777777" w:rsidR="00EA37D8" w:rsidRPr="00C36EE8" w:rsidRDefault="00EA37D8" w:rsidP="006712C7">
            <w:pPr>
              <w:pStyle w:val="TableHead"/>
              <w:rPr>
                <w:sz w:val="22"/>
                <w:szCs w:val="22"/>
              </w:rPr>
            </w:pPr>
            <w:r w:rsidRPr="00C36EE8">
              <w:rPr>
                <w:sz w:val="22"/>
                <w:szCs w:val="22"/>
              </w:rPr>
              <w:t>202</w:t>
            </w:r>
            <w:r>
              <w:rPr>
                <w:sz w:val="22"/>
                <w:szCs w:val="22"/>
              </w:rPr>
              <w:t>2</w:t>
            </w:r>
          </w:p>
        </w:tc>
        <w:tc>
          <w:tcPr>
            <w:tcW w:w="1615" w:type="dxa"/>
          </w:tcPr>
          <w:p w14:paraId="0B805F5A" w14:textId="77777777" w:rsidR="00EA37D8" w:rsidRPr="00C36EE8" w:rsidRDefault="00EA37D8" w:rsidP="006712C7">
            <w:pPr>
              <w:pStyle w:val="TableHead"/>
              <w:rPr>
                <w:sz w:val="22"/>
                <w:szCs w:val="22"/>
              </w:rPr>
            </w:pPr>
            <w:r w:rsidRPr="00C36EE8">
              <w:rPr>
                <w:sz w:val="22"/>
                <w:szCs w:val="22"/>
              </w:rPr>
              <w:t>% of employees reporting a</w:t>
            </w:r>
          </w:p>
          <w:p w14:paraId="56D6A7DB" w14:textId="77777777" w:rsidR="00EA37D8" w:rsidRPr="00C36EE8" w:rsidRDefault="00EA37D8" w:rsidP="006712C7">
            <w:pPr>
              <w:pStyle w:val="TableHead"/>
              <w:rPr>
                <w:sz w:val="24"/>
              </w:rPr>
            </w:pPr>
            <w:r w:rsidRPr="00C36EE8">
              <w:rPr>
                <w:sz w:val="22"/>
                <w:szCs w:val="22"/>
              </w:rPr>
              <w:t>disability 202</w:t>
            </w:r>
            <w:r>
              <w:rPr>
                <w:sz w:val="22"/>
                <w:szCs w:val="22"/>
              </w:rPr>
              <w:t>2</w:t>
            </w:r>
          </w:p>
        </w:tc>
      </w:tr>
      <w:tr w:rsidR="00EA37D8" w:rsidRPr="00C36EE8" w14:paraId="4894555F" w14:textId="77777777" w:rsidTr="00FC2472">
        <w:tc>
          <w:tcPr>
            <w:tcW w:w="2154" w:type="dxa"/>
          </w:tcPr>
          <w:p w14:paraId="04FA40EF" w14:textId="77777777" w:rsidR="00EA37D8" w:rsidRPr="00C36EE8" w:rsidRDefault="00EA37D8" w:rsidP="006712C7">
            <w:pPr>
              <w:rPr>
                <w:sz w:val="22"/>
                <w:szCs w:val="22"/>
              </w:rPr>
            </w:pPr>
            <w:r w:rsidRPr="00C36EE8">
              <w:rPr>
                <w:rFonts w:cs="Calibri"/>
                <w:color w:val="000000"/>
                <w:sz w:val="22"/>
                <w:szCs w:val="22"/>
              </w:rPr>
              <w:t>Department of Agriculture, Food &amp; the Marine</w:t>
            </w:r>
          </w:p>
        </w:tc>
        <w:tc>
          <w:tcPr>
            <w:tcW w:w="0" w:type="auto"/>
          </w:tcPr>
          <w:p w14:paraId="0F99CCD8" w14:textId="77777777" w:rsidR="00EA37D8" w:rsidRPr="00C36EE8" w:rsidRDefault="00EA37D8" w:rsidP="006712C7">
            <w:pPr>
              <w:jc w:val="right"/>
              <w:rPr>
                <w:sz w:val="22"/>
                <w:szCs w:val="22"/>
              </w:rPr>
            </w:pPr>
            <w:r w:rsidRPr="00C36EE8">
              <w:rPr>
                <w:rFonts w:cs="Calibri"/>
                <w:color w:val="000000"/>
                <w:sz w:val="22"/>
                <w:szCs w:val="22"/>
              </w:rPr>
              <w:t>3,868</w:t>
            </w:r>
          </w:p>
        </w:tc>
        <w:tc>
          <w:tcPr>
            <w:tcW w:w="1316" w:type="dxa"/>
          </w:tcPr>
          <w:p w14:paraId="1A5440E7" w14:textId="77777777" w:rsidR="00EA37D8" w:rsidRPr="00C36EE8" w:rsidRDefault="00EA37D8" w:rsidP="006712C7">
            <w:pPr>
              <w:jc w:val="right"/>
              <w:rPr>
                <w:sz w:val="22"/>
                <w:szCs w:val="22"/>
              </w:rPr>
            </w:pPr>
            <w:r w:rsidRPr="00C36EE8">
              <w:rPr>
                <w:rFonts w:cs="Calibri"/>
                <w:color w:val="000000"/>
                <w:sz w:val="22"/>
                <w:szCs w:val="22"/>
              </w:rPr>
              <w:t>139</w:t>
            </w:r>
          </w:p>
        </w:tc>
        <w:tc>
          <w:tcPr>
            <w:tcW w:w="1316" w:type="dxa"/>
          </w:tcPr>
          <w:p w14:paraId="2D4AADDE" w14:textId="77777777" w:rsidR="00EA37D8" w:rsidRPr="00C36EE8" w:rsidRDefault="00EA37D8" w:rsidP="006712C7">
            <w:pPr>
              <w:jc w:val="right"/>
              <w:rPr>
                <w:sz w:val="22"/>
                <w:szCs w:val="22"/>
              </w:rPr>
            </w:pPr>
            <w:r w:rsidRPr="00C36EE8">
              <w:rPr>
                <w:rFonts w:cs="Calibri"/>
                <w:color w:val="000000"/>
                <w:sz w:val="22"/>
                <w:szCs w:val="22"/>
              </w:rPr>
              <w:t>3.6%</w:t>
            </w:r>
          </w:p>
        </w:tc>
        <w:tc>
          <w:tcPr>
            <w:tcW w:w="0" w:type="auto"/>
          </w:tcPr>
          <w:p w14:paraId="24FCF039" w14:textId="77777777" w:rsidR="00EA37D8" w:rsidRPr="00C36EE8" w:rsidRDefault="00EA37D8" w:rsidP="006712C7">
            <w:pPr>
              <w:jc w:val="right"/>
              <w:rPr>
                <w:sz w:val="22"/>
                <w:szCs w:val="22"/>
              </w:rPr>
            </w:pPr>
            <w:r>
              <w:rPr>
                <w:rFonts w:cs="Calibri"/>
                <w:color w:val="000000"/>
                <w:sz w:val="22"/>
                <w:szCs w:val="22"/>
              </w:rPr>
              <w:t>3922</w:t>
            </w:r>
          </w:p>
        </w:tc>
        <w:tc>
          <w:tcPr>
            <w:tcW w:w="0" w:type="auto"/>
          </w:tcPr>
          <w:p w14:paraId="169874A1" w14:textId="77777777" w:rsidR="00EA37D8" w:rsidRPr="00C36EE8" w:rsidRDefault="00EA37D8" w:rsidP="006712C7">
            <w:pPr>
              <w:jc w:val="right"/>
              <w:rPr>
                <w:sz w:val="22"/>
                <w:szCs w:val="22"/>
              </w:rPr>
            </w:pPr>
            <w:r>
              <w:rPr>
                <w:rFonts w:cs="Calibri"/>
                <w:color w:val="000000"/>
                <w:sz w:val="22"/>
                <w:szCs w:val="22"/>
              </w:rPr>
              <w:t>166</w:t>
            </w:r>
          </w:p>
        </w:tc>
        <w:tc>
          <w:tcPr>
            <w:tcW w:w="1615" w:type="dxa"/>
          </w:tcPr>
          <w:p w14:paraId="71BF079F" w14:textId="77777777" w:rsidR="00EA37D8" w:rsidRPr="00C36EE8" w:rsidRDefault="00EA37D8" w:rsidP="006712C7">
            <w:pPr>
              <w:jc w:val="right"/>
              <w:rPr>
                <w:sz w:val="22"/>
                <w:szCs w:val="22"/>
              </w:rPr>
            </w:pPr>
            <w:r>
              <w:rPr>
                <w:rFonts w:cs="Calibri"/>
                <w:color w:val="000000"/>
                <w:sz w:val="22"/>
                <w:szCs w:val="22"/>
              </w:rPr>
              <w:t>4.2%</w:t>
            </w:r>
          </w:p>
        </w:tc>
      </w:tr>
      <w:tr w:rsidR="00EA37D8" w:rsidRPr="00C36EE8" w14:paraId="5DC33260" w14:textId="77777777" w:rsidTr="00FC2472">
        <w:tc>
          <w:tcPr>
            <w:tcW w:w="2154" w:type="dxa"/>
          </w:tcPr>
          <w:p w14:paraId="7D9C0C07" w14:textId="77777777" w:rsidR="00EA37D8" w:rsidRPr="00C36EE8" w:rsidRDefault="00EA37D8" w:rsidP="006712C7">
            <w:pPr>
              <w:rPr>
                <w:sz w:val="22"/>
                <w:szCs w:val="22"/>
              </w:rPr>
            </w:pPr>
            <w:r w:rsidRPr="00C36EE8">
              <w:rPr>
                <w:rFonts w:cs="Calibri"/>
                <w:color w:val="000000"/>
                <w:sz w:val="22"/>
                <w:szCs w:val="22"/>
              </w:rPr>
              <w:t xml:space="preserve">Department of Children, Equality, Disability, Integration &amp; Youth </w:t>
            </w:r>
          </w:p>
        </w:tc>
        <w:tc>
          <w:tcPr>
            <w:tcW w:w="0" w:type="auto"/>
          </w:tcPr>
          <w:p w14:paraId="668665AC" w14:textId="77777777" w:rsidR="00EA37D8" w:rsidRPr="00C36EE8" w:rsidRDefault="00EA37D8" w:rsidP="006712C7">
            <w:pPr>
              <w:pStyle w:val="TableCell"/>
              <w:jc w:val="right"/>
              <w:rPr>
                <w:sz w:val="22"/>
                <w:szCs w:val="22"/>
              </w:rPr>
            </w:pPr>
            <w:r w:rsidRPr="00C36EE8">
              <w:rPr>
                <w:rFonts w:cs="Calibri"/>
                <w:color w:val="000000"/>
                <w:sz w:val="22"/>
                <w:szCs w:val="22"/>
              </w:rPr>
              <w:t>494</w:t>
            </w:r>
          </w:p>
        </w:tc>
        <w:tc>
          <w:tcPr>
            <w:tcW w:w="1316" w:type="dxa"/>
          </w:tcPr>
          <w:p w14:paraId="4CF75E83" w14:textId="77777777" w:rsidR="00EA37D8" w:rsidRPr="00C36EE8" w:rsidRDefault="00EA37D8" w:rsidP="006712C7">
            <w:pPr>
              <w:pStyle w:val="TableCell"/>
              <w:jc w:val="right"/>
              <w:rPr>
                <w:sz w:val="22"/>
                <w:szCs w:val="22"/>
              </w:rPr>
            </w:pPr>
            <w:r w:rsidRPr="00C36EE8">
              <w:rPr>
                <w:rFonts w:cs="Calibri"/>
                <w:color w:val="000000"/>
                <w:sz w:val="22"/>
                <w:szCs w:val="22"/>
              </w:rPr>
              <w:t>43</w:t>
            </w:r>
          </w:p>
        </w:tc>
        <w:tc>
          <w:tcPr>
            <w:tcW w:w="1316" w:type="dxa"/>
          </w:tcPr>
          <w:p w14:paraId="48F19810" w14:textId="77777777" w:rsidR="00EA37D8" w:rsidRPr="00C36EE8" w:rsidRDefault="00EA37D8" w:rsidP="006712C7">
            <w:pPr>
              <w:pStyle w:val="TableCell"/>
              <w:jc w:val="right"/>
              <w:rPr>
                <w:sz w:val="22"/>
                <w:szCs w:val="22"/>
              </w:rPr>
            </w:pPr>
            <w:r w:rsidRPr="00C36EE8">
              <w:rPr>
                <w:rFonts w:cs="Calibri"/>
                <w:color w:val="000000"/>
                <w:sz w:val="22"/>
                <w:szCs w:val="22"/>
              </w:rPr>
              <w:t>8.7%</w:t>
            </w:r>
          </w:p>
        </w:tc>
        <w:tc>
          <w:tcPr>
            <w:tcW w:w="0" w:type="auto"/>
          </w:tcPr>
          <w:p w14:paraId="77637ACC" w14:textId="77777777" w:rsidR="00EA37D8" w:rsidRPr="00C36EE8" w:rsidRDefault="00EA37D8" w:rsidP="006712C7">
            <w:pPr>
              <w:jc w:val="right"/>
              <w:rPr>
                <w:sz w:val="22"/>
                <w:szCs w:val="22"/>
              </w:rPr>
            </w:pPr>
            <w:r>
              <w:rPr>
                <w:rFonts w:cs="Calibri"/>
                <w:color w:val="000000"/>
                <w:sz w:val="22"/>
                <w:szCs w:val="22"/>
              </w:rPr>
              <w:t>617</w:t>
            </w:r>
          </w:p>
        </w:tc>
        <w:tc>
          <w:tcPr>
            <w:tcW w:w="0" w:type="auto"/>
          </w:tcPr>
          <w:p w14:paraId="3E6ACDE9" w14:textId="77777777" w:rsidR="00EA37D8" w:rsidRPr="00C36EE8" w:rsidRDefault="00EA37D8" w:rsidP="006712C7">
            <w:pPr>
              <w:jc w:val="right"/>
              <w:rPr>
                <w:sz w:val="22"/>
                <w:szCs w:val="22"/>
              </w:rPr>
            </w:pPr>
            <w:r>
              <w:rPr>
                <w:rFonts w:cs="Calibri"/>
                <w:color w:val="000000"/>
                <w:sz w:val="22"/>
                <w:szCs w:val="22"/>
              </w:rPr>
              <w:t>60</w:t>
            </w:r>
          </w:p>
        </w:tc>
        <w:tc>
          <w:tcPr>
            <w:tcW w:w="1615" w:type="dxa"/>
          </w:tcPr>
          <w:p w14:paraId="226A2968" w14:textId="77777777" w:rsidR="00EA37D8" w:rsidRPr="00C36EE8" w:rsidRDefault="00EA37D8" w:rsidP="006712C7">
            <w:pPr>
              <w:jc w:val="right"/>
              <w:rPr>
                <w:sz w:val="22"/>
                <w:szCs w:val="22"/>
              </w:rPr>
            </w:pPr>
            <w:r>
              <w:rPr>
                <w:rFonts w:cs="Calibri"/>
                <w:color w:val="000000"/>
                <w:sz w:val="22"/>
                <w:szCs w:val="22"/>
              </w:rPr>
              <w:t>9.7%</w:t>
            </w:r>
          </w:p>
        </w:tc>
      </w:tr>
      <w:tr w:rsidR="00EA37D8" w:rsidRPr="00C36EE8" w14:paraId="63B9EAE3" w14:textId="77777777" w:rsidTr="00FC2472">
        <w:tc>
          <w:tcPr>
            <w:tcW w:w="2154" w:type="dxa"/>
          </w:tcPr>
          <w:p w14:paraId="2470848A" w14:textId="77777777" w:rsidR="00EA37D8" w:rsidRPr="00C36EE8" w:rsidRDefault="00EA37D8" w:rsidP="006712C7">
            <w:pPr>
              <w:rPr>
                <w:sz w:val="22"/>
                <w:szCs w:val="22"/>
              </w:rPr>
            </w:pPr>
            <w:r w:rsidRPr="00C36EE8">
              <w:rPr>
                <w:rFonts w:cs="Calibri"/>
                <w:color w:val="000000"/>
                <w:sz w:val="22"/>
                <w:szCs w:val="22"/>
              </w:rPr>
              <w:t>Department of Defence</w:t>
            </w:r>
          </w:p>
        </w:tc>
        <w:tc>
          <w:tcPr>
            <w:tcW w:w="0" w:type="auto"/>
          </w:tcPr>
          <w:p w14:paraId="0B9958AF" w14:textId="77777777" w:rsidR="00EA37D8" w:rsidRPr="00C36EE8" w:rsidRDefault="00EA37D8" w:rsidP="006712C7">
            <w:pPr>
              <w:pStyle w:val="TableCell"/>
              <w:jc w:val="right"/>
              <w:rPr>
                <w:sz w:val="22"/>
                <w:szCs w:val="22"/>
              </w:rPr>
            </w:pPr>
            <w:r w:rsidRPr="00C36EE8">
              <w:rPr>
                <w:rFonts w:cs="Calibri"/>
                <w:color w:val="000000"/>
                <w:sz w:val="22"/>
                <w:szCs w:val="22"/>
              </w:rPr>
              <w:t>386</w:t>
            </w:r>
          </w:p>
        </w:tc>
        <w:tc>
          <w:tcPr>
            <w:tcW w:w="1316" w:type="dxa"/>
          </w:tcPr>
          <w:p w14:paraId="14EBEE0B" w14:textId="77777777" w:rsidR="00EA37D8" w:rsidRPr="00C36EE8" w:rsidRDefault="00EA37D8" w:rsidP="006712C7">
            <w:pPr>
              <w:pStyle w:val="TableCell"/>
              <w:jc w:val="right"/>
              <w:rPr>
                <w:sz w:val="22"/>
                <w:szCs w:val="22"/>
              </w:rPr>
            </w:pPr>
            <w:r w:rsidRPr="00C36EE8">
              <w:rPr>
                <w:rFonts w:cs="Calibri"/>
                <w:color w:val="000000"/>
                <w:sz w:val="22"/>
                <w:szCs w:val="22"/>
              </w:rPr>
              <w:t>18</w:t>
            </w:r>
          </w:p>
        </w:tc>
        <w:tc>
          <w:tcPr>
            <w:tcW w:w="1316" w:type="dxa"/>
          </w:tcPr>
          <w:p w14:paraId="3A17E5E0" w14:textId="77777777" w:rsidR="00EA37D8" w:rsidRPr="00C36EE8" w:rsidRDefault="00EA37D8" w:rsidP="006712C7">
            <w:pPr>
              <w:pStyle w:val="TableCell"/>
              <w:jc w:val="right"/>
              <w:rPr>
                <w:sz w:val="22"/>
                <w:szCs w:val="22"/>
              </w:rPr>
            </w:pPr>
            <w:r w:rsidRPr="00C36EE8">
              <w:rPr>
                <w:rFonts w:cs="Calibri"/>
                <w:color w:val="000000"/>
                <w:sz w:val="22"/>
                <w:szCs w:val="22"/>
              </w:rPr>
              <w:t>4.7%</w:t>
            </w:r>
          </w:p>
        </w:tc>
        <w:tc>
          <w:tcPr>
            <w:tcW w:w="0" w:type="auto"/>
          </w:tcPr>
          <w:p w14:paraId="41DA9FF6" w14:textId="77777777" w:rsidR="00EA37D8" w:rsidRPr="00C36EE8" w:rsidRDefault="00EA37D8" w:rsidP="006712C7">
            <w:pPr>
              <w:jc w:val="right"/>
              <w:rPr>
                <w:sz w:val="22"/>
                <w:szCs w:val="22"/>
              </w:rPr>
            </w:pPr>
            <w:r>
              <w:rPr>
                <w:rFonts w:cs="Calibri"/>
                <w:color w:val="000000"/>
                <w:sz w:val="22"/>
                <w:szCs w:val="22"/>
              </w:rPr>
              <w:t>395</w:t>
            </w:r>
          </w:p>
        </w:tc>
        <w:tc>
          <w:tcPr>
            <w:tcW w:w="0" w:type="auto"/>
          </w:tcPr>
          <w:p w14:paraId="7B37752F" w14:textId="77777777" w:rsidR="00EA37D8" w:rsidRPr="00C36EE8" w:rsidRDefault="00EA37D8" w:rsidP="006712C7">
            <w:pPr>
              <w:jc w:val="right"/>
              <w:rPr>
                <w:sz w:val="22"/>
                <w:szCs w:val="22"/>
              </w:rPr>
            </w:pPr>
            <w:r>
              <w:rPr>
                <w:rFonts w:cs="Calibri"/>
                <w:color w:val="000000"/>
                <w:sz w:val="22"/>
                <w:szCs w:val="22"/>
              </w:rPr>
              <w:t>17</w:t>
            </w:r>
          </w:p>
        </w:tc>
        <w:tc>
          <w:tcPr>
            <w:tcW w:w="1615" w:type="dxa"/>
          </w:tcPr>
          <w:p w14:paraId="19977D98" w14:textId="77777777" w:rsidR="00EA37D8" w:rsidRPr="00C36EE8" w:rsidRDefault="00EA37D8" w:rsidP="006712C7">
            <w:pPr>
              <w:jc w:val="right"/>
              <w:rPr>
                <w:sz w:val="22"/>
                <w:szCs w:val="22"/>
              </w:rPr>
            </w:pPr>
            <w:r>
              <w:rPr>
                <w:rFonts w:cs="Calibri"/>
                <w:color w:val="000000"/>
                <w:sz w:val="22"/>
                <w:szCs w:val="22"/>
              </w:rPr>
              <w:t>4.3%</w:t>
            </w:r>
          </w:p>
        </w:tc>
      </w:tr>
      <w:tr w:rsidR="00EA37D8" w:rsidRPr="00C36EE8" w14:paraId="202F96DF" w14:textId="77777777" w:rsidTr="00FC2472">
        <w:tc>
          <w:tcPr>
            <w:tcW w:w="2154" w:type="dxa"/>
          </w:tcPr>
          <w:p w14:paraId="6E74E8EB" w14:textId="77777777" w:rsidR="00EA37D8" w:rsidRPr="00C36EE8" w:rsidRDefault="00EA37D8" w:rsidP="006712C7">
            <w:pPr>
              <w:rPr>
                <w:sz w:val="22"/>
                <w:szCs w:val="22"/>
              </w:rPr>
            </w:pPr>
            <w:r w:rsidRPr="00C36EE8">
              <w:rPr>
                <w:rFonts w:cs="Calibri"/>
                <w:color w:val="000000"/>
                <w:sz w:val="22"/>
                <w:szCs w:val="22"/>
              </w:rPr>
              <w:t>Department of Defence - Civilian Employees</w:t>
            </w:r>
          </w:p>
        </w:tc>
        <w:tc>
          <w:tcPr>
            <w:tcW w:w="0" w:type="auto"/>
          </w:tcPr>
          <w:p w14:paraId="16187323" w14:textId="77777777" w:rsidR="00EA37D8" w:rsidRPr="00C36EE8" w:rsidRDefault="00EA37D8" w:rsidP="006712C7">
            <w:pPr>
              <w:pStyle w:val="TableCell"/>
              <w:jc w:val="right"/>
              <w:rPr>
                <w:sz w:val="22"/>
                <w:szCs w:val="22"/>
              </w:rPr>
            </w:pPr>
            <w:r w:rsidRPr="00C36EE8">
              <w:rPr>
                <w:rFonts w:cs="Calibri"/>
                <w:color w:val="000000"/>
                <w:sz w:val="22"/>
                <w:szCs w:val="22"/>
              </w:rPr>
              <w:t>451</w:t>
            </w:r>
          </w:p>
        </w:tc>
        <w:tc>
          <w:tcPr>
            <w:tcW w:w="1316" w:type="dxa"/>
          </w:tcPr>
          <w:p w14:paraId="4305D19E" w14:textId="77777777" w:rsidR="00EA37D8" w:rsidRPr="00C36EE8" w:rsidRDefault="00EA37D8" w:rsidP="006712C7">
            <w:pPr>
              <w:pStyle w:val="TableCell"/>
              <w:jc w:val="right"/>
              <w:rPr>
                <w:sz w:val="22"/>
                <w:szCs w:val="22"/>
              </w:rPr>
            </w:pPr>
            <w:r w:rsidRPr="00C36EE8">
              <w:rPr>
                <w:rFonts w:cs="Calibri"/>
                <w:color w:val="000000"/>
                <w:sz w:val="22"/>
                <w:szCs w:val="22"/>
              </w:rPr>
              <w:t>28</w:t>
            </w:r>
          </w:p>
        </w:tc>
        <w:tc>
          <w:tcPr>
            <w:tcW w:w="1316" w:type="dxa"/>
          </w:tcPr>
          <w:p w14:paraId="51477450" w14:textId="77777777" w:rsidR="00EA37D8" w:rsidRPr="00C36EE8" w:rsidRDefault="00EA37D8" w:rsidP="006712C7">
            <w:pPr>
              <w:pStyle w:val="TableCell"/>
              <w:jc w:val="right"/>
              <w:rPr>
                <w:sz w:val="22"/>
                <w:szCs w:val="22"/>
              </w:rPr>
            </w:pPr>
            <w:r w:rsidRPr="00C36EE8">
              <w:rPr>
                <w:rFonts w:cs="Calibri"/>
                <w:color w:val="000000"/>
                <w:sz w:val="22"/>
                <w:szCs w:val="22"/>
              </w:rPr>
              <w:t>6.2%</w:t>
            </w:r>
          </w:p>
        </w:tc>
        <w:tc>
          <w:tcPr>
            <w:tcW w:w="0" w:type="auto"/>
          </w:tcPr>
          <w:p w14:paraId="3D45F9B4" w14:textId="77777777" w:rsidR="00EA37D8" w:rsidRPr="00C36EE8" w:rsidRDefault="00EA37D8" w:rsidP="006712C7">
            <w:pPr>
              <w:jc w:val="right"/>
              <w:rPr>
                <w:sz w:val="22"/>
                <w:szCs w:val="22"/>
              </w:rPr>
            </w:pPr>
            <w:r>
              <w:rPr>
                <w:rFonts w:cs="Calibri"/>
                <w:color w:val="000000"/>
                <w:sz w:val="22"/>
                <w:szCs w:val="22"/>
              </w:rPr>
              <w:t>424</w:t>
            </w:r>
          </w:p>
        </w:tc>
        <w:tc>
          <w:tcPr>
            <w:tcW w:w="0" w:type="auto"/>
          </w:tcPr>
          <w:p w14:paraId="408943A9" w14:textId="77777777" w:rsidR="00EA37D8" w:rsidRPr="00C36EE8" w:rsidRDefault="00EA37D8" w:rsidP="006712C7">
            <w:pPr>
              <w:jc w:val="right"/>
              <w:rPr>
                <w:sz w:val="22"/>
                <w:szCs w:val="22"/>
              </w:rPr>
            </w:pPr>
            <w:r>
              <w:rPr>
                <w:rFonts w:cs="Calibri"/>
                <w:color w:val="000000"/>
                <w:sz w:val="22"/>
                <w:szCs w:val="22"/>
              </w:rPr>
              <w:t>28</w:t>
            </w:r>
          </w:p>
        </w:tc>
        <w:tc>
          <w:tcPr>
            <w:tcW w:w="1615" w:type="dxa"/>
          </w:tcPr>
          <w:p w14:paraId="6CF578FE" w14:textId="77777777" w:rsidR="00EA37D8" w:rsidRPr="00C36EE8" w:rsidRDefault="00EA37D8" w:rsidP="006712C7">
            <w:pPr>
              <w:jc w:val="right"/>
              <w:rPr>
                <w:sz w:val="22"/>
                <w:szCs w:val="22"/>
              </w:rPr>
            </w:pPr>
            <w:r>
              <w:rPr>
                <w:rFonts w:cs="Calibri"/>
                <w:color w:val="000000"/>
                <w:sz w:val="22"/>
                <w:szCs w:val="22"/>
              </w:rPr>
              <w:t>6.6%</w:t>
            </w:r>
          </w:p>
        </w:tc>
      </w:tr>
      <w:tr w:rsidR="00EA37D8" w:rsidRPr="00C36EE8" w14:paraId="5D4DB6A9" w14:textId="77777777" w:rsidTr="00FC2472">
        <w:tc>
          <w:tcPr>
            <w:tcW w:w="2154" w:type="dxa"/>
          </w:tcPr>
          <w:p w14:paraId="5CBBA062" w14:textId="77777777" w:rsidR="00EA37D8" w:rsidRPr="00C36EE8" w:rsidRDefault="00EA37D8" w:rsidP="006712C7">
            <w:pPr>
              <w:rPr>
                <w:sz w:val="22"/>
                <w:szCs w:val="22"/>
              </w:rPr>
            </w:pPr>
            <w:r w:rsidRPr="00C36EE8">
              <w:rPr>
                <w:rFonts w:cs="Calibri"/>
                <w:color w:val="000000"/>
                <w:sz w:val="22"/>
                <w:szCs w:val="22"/>
              </w:rPr>
              <w:t>Department of Education</w:t>
            </w:r>
          </w:p>
        </w:tc>
        <w:tc>
          <w:tcPr>
            <w:tcW w:w="0" w:type="auto"/>
          </w:tcPr>
          <w:p w14:paraId="2504B25C" w14:textId="77777777" w:rsidR="00EA37D8" w:rsidRPr="00C36EE8" w:rsidRDefault="00EA37D8" w:rsidP="006712C7">
            <w:pPr>
              <w:pStyle w:val="TableCell"/>
              <w:jc w:val="right"/>
              <w:rPr>
                <w:sz w:val="22"/>
                <w:szCs w:val="22"/>
              </w:rPr>
            </w:pPr>
            <w:r w:rsidRPr="00C36EE8">
              <w:rPr>
                <w:rFonts w:cs="Calibri"/>
                <w:color w:val="000000"/>
                <w:sz w:val="22"/>
                <w:szCs w:val="22"/>
              </w:rPr>
              <w:t>1,569</w:t>
            </w:r>
          </w:p>
        </w:tc>
        <w:tc>
          <w:tcPr>
            <w:tcW w:w="1316" w:type="dxa"/>
          </w:tcPr>
          <w:p w14:paraId="403B3655" w14:textId="77777777" w:rsidR="00EA37D8" w:rsidRPr="00C36EE8" w:rsidRDefault="00EA37D8" w:rsidP="006712C7">
            <w:pPr>
              <w:pStyle w:val="TableCell"/>
              <w:jc w:val="right"/>
              <w:rPr>
                <w:sz w:val="22"/>
                <w:szCs w:val="22"/>
              </w:rPr>
            </w:pPr>
            <w:r w:rsidRPr="00C36EE8">
              <w:rPr>
                <w:rFonts w:cs="Calibri"/>
                <w:color w:val="000000"/>
                <w:sz w:val="22"/>
                <w:szCs w:val="22"/>
              </w:rPr>
              <w:t>48</w:t>
            </w:r>
          </w:p>
        </w:tc>
        <w:tc>
          <w:tcPr>
            <w:tcW w:w="1316" w:type="dxa"/>
          </w:tcPr>
          <w:p w14:paraId="3AA03C96" w14:textId="77777777" w:rsidR="00EA37D8" w:rsidRPr="00C36EE8" w:rsidRDefault="00EA37D8" w:rsidP="006712C7">
            <w:pPr>
              <w:pStyle w:val="TableCell"/>
              <w:jc w:val="right"/>
              <w:rPr>
                <w:sz w:val="22"/>
                <w:szCs w:val="22"/>
              </w:rPr>
            </w:pPr>
            <w:r w:rsidRPr="00C36EE8">
              <w:rPr>
                <w:rFonts w:cs="Calibri"/>
                <w:color w:val="000000"/>
                <w:sz w:val="22"/>
                <w:szCs w:val="22"/>
              </w:rPr>
              <w:t>3.1%</w:t>
            </w:r>
          </w:p>
        </w:tc>
        <w:tc>
          <w:tcPr>
            <w:tcW w:w="0" w:type="auto"/>
          </w:tcPr>
          <w:p w14:paraId="30411AF0" w14:textId="77777777" w:rsidR="00EA37D8" w:rsidRPr="00C36EE8" w:rsidRDefault="00EA37D8" w:rsidP="006712C7">
            <w:pPr>
              <w:jc w:val="right"/>
              <w:rPr>
                <w:sz w:val="22"/>
                <w:szCs w:val="22"/>
              </w:rPr>
            </w:pPr>
            <w:r>
              <w:rPr>
                <w:rFonts w:cs="Calibri"/>
                <w:color w:val="000000"/>
                <w:sz w:val="22"/>
                <w:szCs w:val="22"/>
              </w:rPr>
              <w:t>1712</w:t>
            </w:r>
          </w:p>
        </w:tc>
        <w:tc>
          <w:tcPr>
            <w:tcW w:w="0" w:type="auto"/>
          </w:tcPr>
          <w:p w14:paraId="4CB337DD" w14:textId="77777777" w:rsidR="00EA37D8" w:rsidRPr="00C36EE8" w:rsidRDefault="00EA37D8" w:rsidP="006712C7">
            <w:pPr>
              <w:jc w:val="right"/>
              <w:rPr>
                <w:sz w:val="22"/>
                <w:szCs w:val="22"/>
              </w:rPr>
            </w:pPr>
            <w:r>
              <w:rPr>
                <w:rFonts w:cs="Calibri"/>
                <w:color w:val="000000"/>
                <w:sz w:val="22"/>
                <w:szCs w:val="22"/>
              </w:rPr>
              <w:t>80</w:t>
            </w:r>
          </w:p>
        </w:tc>
        <w:tc>
          <w:tcPr>
            <w:tcW w:w="1615" w:type="dxa"/>
          </w:tcPr>
          <w:p w14:paraId="1272E87D" w14:textId="77777777" w:rsidR="00EA37D8" w:rsidRPr="00C36EE8" w:rsidRDefault="00EA37D8" w:rsidP="006712C7">
            <w:pPr>
              <w:jc w:val="right"/>
              <w:rPr>
                <w:sz w:val="22"/>
                <w:szCs w:val="22"/>
              </w:rPr>
            </w:pPr>
            <w:r>
              <w:rPr>
                <w:rFonts w:cs="Calibri"/>
                <w:color w:val="000000"/>
                <w:sz w:val="22"/>
                <w:szCs w:val="22"/>
              </w:rPr>
              <w:t>4.7%</w:t>
            </w:r>
          </w:p>
        </w:tc>
      </w:tr>
      <w:tr w:rsidR="00EA37D8" w:rsidRPr="00C36EE8" w14:paraId="770E9FCA" w14:textId="77777777" w:rsidTr="00FC2472">
        <w:tc>
          <w:tcPr>
            <w:tcW w:w="2154" w:type="dxa"/>
          </w:tcPr>
          <w:p w14:paraId="09655487" w14:textId="77777777" w:rsidR="00EA37D8" w:rsidRPr="00C36EE8" w:rsidRDefault="00EA37D8" w:rsidP="006712C7">
            <w:pPr>
              <w:rPr>
                <w:sz w:val="22"/>
                <w:szCs w:val="22"/>
                <w:lang w:eastAsia="en-IE"/>
              </w:rPr>
            </w:pPr>
            <w:r w:rsidRPr="00C36EE8">
              <w:rPr>
                <w:rFonts w:cs="Calibri"/>
                <w:color w:val="000000"/>
                <w:sz w:val="22"/>
                <w:szCs w:val="22"/>
              </w:rPr>
              <w:t xml:space="preserve">Department of Enterprise Trade &amp; Employment </w:t>
            </w:r>
          </w:p>
        </w:tc>
        <w:tc>
          <w:tcPr>
            <w:tcW w:w="0" w:type="auto"/>
          </w:tcPr>
          <w:p w14:paraId="0F687E70" w14:textId="77777777" w:rsidR="00EA37D8" w:rsidRPr="00C36EE8" w:rsidRDefault="00EA37D8" w:rsidP="006712C7">
            <w:pPr>
              <w:pStyle w:val="TableCell"/>
              <w:jc w:val="right"/>
              <w:rPr>
                <w:rFonts w:cs="Arial"/>
                <w:sz w:val="22"/>
                <w:szCs w:val="22"/>
              </w:rPr>
            </w:pPr>
            <w:r w:rsidRPr="00C36EE8">
              <w:rPr>
                <w:rFonts w:cs="Calibri"/>
                <w:color w:val="000000"/>
                <w:sz w:val="22"/>
                <w:szCs w:val="22"/>
              </w:rPr>
              <w:t>960</w:t>
            </w:r>
          </w:p>
        </w:tc>
        <w:tc>
          <w:tcPr>
            <w:tcW w:w="1316" w:type="dxa"/>
          </w:tcPr>
          <w:p w14:paraId="36C7356D" w14:textId="77777777" w:rsidR="00EA37D8" w:rsidRPr="00C36EE8" w:rsidRDefault="00EA37D8" w:rsidP="006712C7">
            <w:pPr>
              <w:pStyle w:val="TableCell"/>
              <w:jc w:val="right"/>
              <w:rPr>
                <w:rFonts w:cs="Arial"/>
                <w:sz w:val="22"/>
                <w:szCs w:val="22"/>
              </w:rPr>
            </w:pPr>
            <w:r w:rsidRPr="00C36EE8">
              <w:rPr>
                <w:rFonts w:cs="Calibri"/>
                <w:color w:val="000000"/>
                <w:sz w:val="22"/>
                <w:szCs w:val="22"/>
              </w:rPr>
              <w:t>78</w:t>
            </w:r>
          </w:p>
        </w:tc>
        <w:tc>
          <w:tcPr>
            <w:tcW w:w="1316" w:type="dxa"/>
          </w:tcPr>
          <w:p w14:paraId="13596CEB" w14:textId="77777777" w:rsidR="00EA37D8" w:rsidRPr="00C36EE8" w:rsidRDefault="00EA37D8" w:rsidP="006712C7">
            <w:pPr>
              <w:pStyle w:val="TableCell"/>
              <w:jc w:val="right"/>
              <w:rPr>
                <w:rFonts w:cs="Arial"/>
                <w:sz w:val="22"/>
                <w:szCs w:val="22"/>
              </w:rPr>
            </w:pPr>
            <w:r w:rsidRPr="00C36EE8">
              <w:rPr>
                <w:rFonts w:cs="Calibri"/>
                <w:color w:val="000000"/>
                <w:sz w:val="22"/>
                <w:szCs w:val="22"/>
              </w:rPr>
              <w:t>8.1%</w:t>
            </w:r>
          </w:p>
        </w:tc>
        <w:tc>
          <w:tcPr>
            <w:tcW w:w="0" w:type="auto"/>
          </w:tcPr>
          <w:p w14:paraId="68B4306F" w14:textId="77777777" w:rsidR="00EA37D8" w:rsidRPr="00C36EE8" w:rsidRDefault="00EA37D8" w:rsidP="006712C7">
            <w:pPr>
              <w:jc w:val="right"/>
              <w:rPr>
                <w:sz w:val="22"/>
                <w:szCs w:val="22"/>
              </w:rPr>
            </w:pPr>
            <w:r>
              <w:rPr>
                <w:rFonts w:cs="Calibri"/>
                <w:color w:val="000000"/>
                <w:sz w:val="22"/>
                <w:szCs w:val="22"/>
              </w:rPr>
              <w:t>970</w:t>
            </w:r>
          </w:p>
        </w:tc>
        <w:tc>
          <w:tcPr>
            <w:tcW w:w="0" w:type="auto"/>
          </w:tcPr>
          <w:p w14:paraId="63B313F3" w14:textId="77777777" w:rsidR="00EA37D8" w:rsidRPr="00C36EE8" w:rsidRDefault="00EA37D8" w:rsidP="006712C7">
            <w:pPr>
              <w:jc w:val="right"/>
              <w:rPr>
                <w:sz w:val="22"/>
                <w:szCs w:val="22"/>
              </w:rPr>
            </w:pPr>
            <w:r>
              <w:rPr>
                <w:rFonts w:cs="Calibri"/>
                <w:color w:val="000000"/>
                <w:sz w:val="22"/>
                <w:szCs w:val="22"/>
              </w:rPr>
              <w:t>68</w:t>
            </w:r>
          </w:p>
        </w:tc>
        <w:tc>
          <w:tcPr>
            <w:tcW w:w="1615" w:type="dxa"/>
          </w:tcPr>
          <w:p w14:paraId="68113441" w14:textId="77777777" w:rsidR="00EA37D8" w:rsidRPr="00C36EE8" w:rsidRDefault="00EA37D8" w:rsidP="006712C7">
            <w:pPr>
              <w:jc w:val="right"/>
              <w:rPr>
                <w:sz w:val="22"/>
                <w:szCs w:val="22"/>
              </w:rPr>
            </w:pPr>
            <w:r>
              <w:rPr>
                <w:rFonts w:cs="Calibri"/>
                <w:color w:val="000000"/>
                <w:sz w:val="22"/>
                <w:szCs w:val="22"/>
              </w:rPr>
              <w:t>7.0%</w:t>
            </w:r>
          </w:p>
        </w:tc>
      </w:tr>
      <w:tr w:rsidR="00EA37D8" w:rsidRPr="00C36EE8" w14:paraId="20B8647B" w14:textId="77777777" w:rsidTr="00FC2472">
        <w:tc>
          <w:tcPr>
            <w:tcW w:w="2154" w:type="dxa"/>
          </w:tcPr>
          <w:p w14:paraId="07150418" w14:textId="77777777" w:rsidR="00EA37D8" w:rsidRPr="00C36EE8" w:rsidRDefault="00EA37D8" w:rsidP="006712C7">
            <w:pPr>
              <w:rPr>
                <w:sz w:val="22"/>
                <w:szCs w:val="22"/>
                <w:lang w:eastAsia="en-IE"/>
              </w:rPr>
            </w:pPr>
            <w:r w:rsidRPr="00C36EE8">
              <w:rPr>
                <w:rFonts w:cs="Calibri"/>
                <w:color w:val="000000"/>
                <w:sz w:val="22"/>
                <w:szCs w:val="22"/>
              </w:rPr>
              <w:t>Department of Finance</w:t>
            </w:r>
          </w:p>
        </w:tc>
        <w:tc>
          <w:tcPr>
            <w:tcW w:w="0" w:type="auto"/>
          </w:tcPr>
          <w:p w14:paraId="4C4ABC00" w14:textId="77777777" w:rsidR="00EA37D8" w:rsidRPr="00C36EE8" w:rsidRDefault="00EA37D8" w:rsidP="006712C7">
            <w:pPr>
              <w:pStyle w:val="TableCell"/>
              <w:jc w:val="right"/>
              <w:rPr>
                <w:rFonts w:cs="Arial"/>
                <w:sz w:val="22"/>
                <w:szCs w:val="22"/>
              </w:rPr>
            </w:pPr>
            <w:r w:rsidRPr="00C36EE8">
              <w:rPr>
                <w:rFonts w:cs="Calibri"/>
                <w:color w:val="000000"/>
                <w:sz w:val="22"/>
                <w:szCs w:val="22"/>
              </w:rPr>
              <w:t>331</w:t>
            </w:r>
          </w:p>
        </w:tc>
        <w:tc>
          <w:tcPr>
            <w:tcW w:w="1316" w:type="dxa"/>
          </w:tcPr>
          <w:p w14:paraId="6A1B1713" w14:textId="77777777" w:rsidR="00EA37D8" w:rsidRPr="00C36EE8" w:rsidRDefault="00EA37D8" w:rsidP="006712C7">
            <w:pPr>
              <w:pStyle w:val="TableCell"/>
              <w:jc w:val="right"/>
              <w:rPr>
                <w:rFonts w:cs="Arial"/>
                <w:sz w:val="22"/>
                <w:szCs w:val="22"/>
              </w:rPr>
            </w:pPr>
            <w:r w:rsidRPr="00C36EE8">
              <w:rPr>
                <w:rFonts w:cs="Calibri"/>
                <w:color w:val="000000"/>
                <w:sz w:val="22"/>
                <w:szCs w:val="22"/>
              </w:rPr>
              <w:t>16</w:t>
            </w:r>
          </w:p>
        </w:tc>
        <w:tc>
          <w:tcPr>
            <w:tcW w:w="1316" w:type="dxa"/>
          </w:tcPr>
          <w:p w14:paraId="2C513442" w14:textId="77777777" w:rsidR="00EA37D8" w:rsidRPr="00C36EE8" w:rsidRDefault="00EA37D8" w:rsidP="006712C7">
            <w:pPr>
              <w:pStyle w:val="TableCell"/>
              <w:jc w:val="right"/>
              <w:rPr>
                <w:rFonts w:cs="Arial"/>
                <w:sz w:val="22"/>
                <w:szCs w:val="22"/>
              </w:rPr>
            </w:pPr>
            <w:r w:rsidRPr="00C36EE8">
              <w:rPr>
                <w:rFonts w:cs="Calibri"/>
                <w:color w:val="000000"/>
                <w:sz w:val="22"/>
                <w:szCs w:val="22"/>
              </w:rPr>
              <w:t>4.8%</w:t>
            </w:r>
          </w:p>
        </w:tc>
        <w:tc>
          <w:tcPr>
            <w:tcW w:w="0" w:type="auto"/>
          </w:tcPr>
          <w:p w14:paraId="424E8139" w14:textId="77777777" w:rsidR="00EA37D8" w:rsidRPr="00C36EE8" w:rsidRDefault="00EA37D8" w:rsidP="006712C7">
            <w:pPr>
              <w:jc w:val="right"/>
              <w:rPr>
                <w:sz w:val="22"/>
                <w:szCs w:val="22"/>
              </w:rPr>
            </w:pPr>
            <w:r>
              <w:rPr>
                <w:rFonts w:cs="Calibri"/>
                <w:color w:val="000000"/>
                <w:sz w:val="22"/>
                <w:szCs w:val="22"/>
              </w:rPr>
              <w:t>313</w:t>
            </w:r>
          </w:p>
        </w:tc>
        <w:tc>
          <w:tcPr>
            <w:tcW w:w="0" w:type="auto"/>
          </w:tcPr>
          <w:p w14:paraId="58C038DA" w14:textId="77777777" w:rsidR="00EA37D8" w:rsidRPr="00C36EE8" w:rsidRDefault="00EA37D8" w:rsidP="006712C7">
            <w:pPr>
              <w:jc w:val="right"/>
              <w:rPr>
                <w:sz w:val="22"/>
                <w:szCs w:val="22"/>
              </w:rPr>
            </w:pPr>
            <w:r>
              <w:rPr>
                <w:rFonts w:cs="Calibri"/>
                <w:color w:val="000000"/>
                <w:sz w:val="22"/>
                <w:szCs w:val="22"/>
              </w:rPr>
              <w:t>18</w:t>
            </w:r>
          </w:p>
        </w:tc>
        <w:tc>
          <w:tcPr>
            <w:tcW w:w="1615" w:type="dxa"/>
          </w:tcPr>
          <w:p w14:paraId="6151F888" w14:textId="77777777" w:rsidR="00EA37D8" w:rsidRPr="00C36EE8" w:rsidRDefault="00EA37D8" w:rsidP="006712C7">
            <w:pPr>
              <w:jc w:val="right"/>
              <w:rPr>
                <w:sz w:val="22"/>
                <w:szCs w:val="22"/>
              </w:rPr>
            </w:pPr>
            <w:r>
              <w:rPr>
                <w:rFonts w:cs="Calibri"/>
                <w:color w:val="000000"/>
                <w:sz w:val="22"/>
                <w:szCs w:val="22"/>
              </w:rPr>
              <w:t>5.8%</w:t>
            </w:r>
          </w:p>
        </w:tc>
      </w:tr>
      <w:tr w:rsidR="00EA37D8" w:rsidRPr="00C36EE8" w14:paraId="3C02B8FB" w14:textId="77777777" w:rsidTr="00FC2472">
        <w:tc>
          <w:tcPr>
            <w:tcW w:w="2154" w:type="dxa"/>
          </w:tcPr>
          <w:p w14:paraId="5CF38BD0" w14:textId="77777777" w:rsidR="00EA37D8" w:rsidRPr="00C36EE8" w:rsidRDefault="00EA37D8" w:rsidP="006712C7">
            <w:pPr>
              <w:rPr>
                <w:sz w:val="22"/>
                <w:szCs w:val="22"/>
                <w:lang w:eastAsia="en-IE"/>
              </w:rPr>
            </w:pPr>
            <w:r w:rsidRPr="00C36EE8">
              <w:rPr>
                <w:rFonts w:cs="Calibri"/>
                <w:color w:val="000000"/>
                <w:sz w:val="22"/>
                <w:szCs w:val="22"/>
              </w:rPr>
              <w:t>Department of Foreign Affairs</w:t>
            </w:r>
          </w:p>
        </w:tc>
        <w:tc>
          <w:tcPr>
            <w:tcW w:w="0" w:type="auto"/>
          </w:tcPr>
          <w:p w14:paraId="06478F32" w14:textId="77777777" w:rsidR="00EA37D8" w:rsidRPr="00C36EE8" w:rsidRDefault="00EA37D8" w:rsidP="006712C7">
            <w:pPr>
              <w:pStyle w:val="TableCell"/>
              <w:jc w:val="right"/>
              <w:rPr>
                <w:rFonts w:cs="Arial"/>
                <w:sz w:val="22"/>
                <w:szCs w:val="22"/>
              </w:rPr>
            </w:pPr>
            <w:r w:rsidRPr="00C36EE8">
              <w:rPr>
                <w:rFonts w:cs="Calibri"/>
                <w:color w:val="000000"/>
                <w:sz w:val="22"/>
                <w:szCs w:val="22"/>
              </w:rPr>
              <w:t>1,849</w:t>
            </w:r>
          </w:p>
        </w:tc>
        <w:tc>
          <w:tcPr>
            <w:tcW w:w="1316" w:type="dxa"/>
          </w:tcPr>
          <w:p w14:paraId="024D2279" w14:textId="77777777" w:rsidR="00EA37D8" w:rsidRPr="00C36EE8" w:rsidRDefault="00EA37D8" w:rsidP="006712C7">
            <w:pPr>
              <w:pStyle w:val="TableCell"/>
              <w:jc w:val="right"/>
              <w:rPr>
                <w:rFonts w:cs="Arial"/>
                <w:sz w:val="22"/>
                <w:szCs w:val="22"/>
              </w:rPr>
            </w:pPr>
            <w:r w:rsidRPr="00C36EE8">
              <w:rPr>
                <w:rFonts w:cs="Calibri"/>
                <w:color w:val="000000"/>
                <w:sz w:val="22"/>
                <w:szCs w:val="22"/>
              </w:rPr>
              <w:t>123</w:t>
            </w:r>
          </w:p>
        </w:tc>
        <w:tc>
          <w:tcPr>
            <w:tcW w:w="1316" w:type="dxa"/>
          </w:tcPr>
          <w:p w14:paraId="64301D00" w14:textId="77777777" w:rsidR="00EA37D8" w:rsidRPr="00C36EE8" w:rsidRDefault="00EA37D8" w:rsidP="006712C7">
            <w:pPr>
              <w:pStyle w:val="TableCell"/>
              <w:jc w:val="right"/>
              <w:rPr>
                <w:rFonts w:cs="Arial"/>
                <w:sz w:val="22"/>
                <w:szCs w:val="22"/>
              </w:rPr>
            </w:pPr>
            <w:r w:rsidRPr="00C36EE8">
              <w:rPr>
                <w:rFonts w:cs="Calibri"/>
                <w:color w:val="000000"/>
                <w:sz w:val="22"/>
                <w:szCs w:val="22"/>
              </w:rPr>
              <w:t>6.7%</w:t>
            </w:r>
          </w:p>
        </w:tc>
        <w:tc>
          <w:tcPr>
            <w:tcW w:w="0" w:type="auto"/>
          </w:tcPr>
          <w:p w14:paraId="24D566D1" w14:textId="77777777" w:rsidR="00EA37D8" w:rsidRPr="00C36EE8" w:rsidRDefault="00EA37D8" w:rsidP="006712C7">
            <w:pPr>
              <w:jc w:val="right"/>
              <w:rPr>
                <w:sz w:val="22"/>
                <w:szCs w:val="22"/>
              </w:rPr>
            </w:pPr>
            <w:r>
              <w:rPr>
                <w:rFonts w:cs="Calibri"/>
                <w:color w:val="000000"/>
                <w:sz w:val="22"/>
                <w:szCs w:val="22"/>
              </w:rPr>
              <w:t>2010</w:t>
            </w:r>
          </w:p>
        </w:tc>
        <w:tc>
          <w:tcPr>
            <w:tcW w:w="0" w:type="auto"/>
          </w:tcPr>
          <w:p w14:paraId="29D613ED" w14:textId="77777777" w:rsidR="00EA37D8" w:rsidRPr="00C36EE8" w:rsidRDefault="00EA37D8" w:rsidP="006712C7">
            <w:pPr>
              <w:jc w:val="right"/>
              <w:rPr>
                <w:sz w:val="22"/>
                <w:szCs w:val="22"/>
              </w:rPr>
            </w:pPr>
            <w:r>
              <w:rPr>
                <w:rFonts w:cs="Calibri"/>
                <w:color w:val="000000"/>
                <w:sz w:val="22"/>
                <w:szCs w:val="22"/>
              </w:rPr>
              <w:t>159</w:t>
            </w:r>
          </w:p>
        </w:tc>
        <w:tc>
          <w:tcPr>
            <w:tcW w:w="1615" w:type="dxa"/>
          </w:tcPr>
          <w:p w14:paraId="14C74730" w14:textId="77777777" w:rsidR="00EA37D8" w:rsidRPr="00C36EE8" w:rsidRDefault="00EA37D8" w:rsidP="006712C7">
            <w:pPr>
              <w:jc w:val="right"/>
              <w:rPr>
                <w:sz w:val="22"/>
                <w:szCs w:val="22"/>
              </w:rPr>
            </w:pPr>
            <w:r>
              <w:rPr>
                <w:rFonts w:cs="Calibri"/>
                <w:color w:val="000000"/>
                <w:sz w:val="22"/>
                <w:szCs w:val="22"/>
              </w:rPr>
              <w:t>7.9%</w:t>
            </w:r>
          </w:p>
        </w:tc>
      </w:tr>
      <w:tr w:rsidR="007E3697" w:rsidRPr="00C36EE8" w14:paraId="49E55C1D" w14:textId="77777777" w:rsidTr="00FC2472">
        <w:tc>
          <w:tcPr>
            <w:tcW w:w="2154" w:type="dxa"/>
          </w:tcPr>
          <w:p w14:paraId="2ADEAF04" w14:textId="2E47BCEE" w:rsidR="007E3697" w:rsidRPr="00C36EE8" w:rsidRDefault="007E3697" w:rsidP="007E3697">
            <w:pPr>
              <w:rPr>
                <w:rFonts w:cs="Calibri"/>
                <w:color w:val="000000"/>
                <w:sz w:val="22"/>
                <w:szCs w:val="22"/>
              </w:rPr>
            </w:pPr>
            <w:r w:rsidRPr="00C36EE8">
              <w:rPr>
                <w:rFonts w:cs="Calibri"/>
                <w:color w:val="000000"/>
                <w:sz w:val="22"/>
                <w:szCs w:val="22"/>
              </w:rPr>
              <w:t>Department of Further &amp; Higher Education, Research, Innovation &amp; Science</w:t>
            </w:r>
          </w:p>
        </w:tc>
        <w:tc>
          <w:tcPr>
            <w:tcW w:w="0" w:type="auto"/>
          </w:tcPr>
          <w:p w14:paraId="3BECEA6B" w14:textId="1127BFF8"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200</w:t>
            </w:r>
          </w:p>
        </w:tc>
        <w:tc>
          <w:tcPr>
            <w:tcW w:w="1316" w:type="dxa"/>
          </w:tcPr>
          <w:p w14:paraId="0AE9ED08" w14:textId="3CFC47D7"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6</w:t>
            </w:r>
          </w:p>
        </w:tc>
        <w:tc>
          <w:tcPr>
            <w:tcW w:w="1316" w:type="dxa"/>
          </w:tcPr>
          <w:p w14:paraId="4B36FD6F" w14:textId="355CC62B"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3.0%</w:t>
            </w:r>
          </w:p>
        </w:tc>
        <w:tc>
          <w:tcPr>
            <w:tcW w:w="0" w:type="auto"/>
          </w:tcPr>
          <w:p w14:paraId="17A567A3" w14:textId="432B28E7" w:rsidR="007E3697" w:rsidRDefault="007E3697" w:rsidP="007E3697">
            <w:pPr>
              <w:jc w:val="right"/>
              <w:rPr>
                <w:rFonts w:cs="Calibri"/>
                <w:color w:val="000000"/>
                <w:sz w:val="22"/>
                <w:szCs w:val="22"/>
              </w:rPr>
            </w:pPr>
            <w:r>
              <w:rPr>
                <w:rFonts w:cs="Calibri"/>
                <w:color w:val="000000"/>
                <w:sz w:val="22"/>
                <w:szCs w:val="22"/>
              </w:rPr>
              <w:t>242</w:t>
            </w:r>
          </w:p>
        </w:tc>
        <w:tc>
          <w:tcPr>
            <w:tcW w:w="0" w:type="auto"/>
          </w:tcPr>
          <w:p w14:paraId="3F85A9AA" w14:textId="69CCF21E" w:rsidR="007E3697" w:rsidRDefault="007E3697" w:rsidP="007E3697">
            <w:pPr>
              <w:jc w:val="right"/>
              <w:rPr>
                <w:rFonts w:cs="Calibri"/>
                <w:color w:val="000000"/>
                <w:sz w:val="22"/>
                <w:szCs w:val="22"/>
              </w:rPr>
            </w:pPr>
            <w:r>
              <w:rPr>
                <w:rFonts w:cs="Calibri"/>
                <w:color w:val="000000"/>
                <w:sz w:val="22"/>
                <w:szCs w:val="22"/>
              </w:rPr>
              <w:t>24</w:t>
            </w:r>
          </w:p>
        </w:tc>
        <w:tc>
          <w:tcPr>
            <w:tcW w:w="1615" w:type="dxa"/>
          </w:tcPr>
          <w:p w14:paraId="05CAA33F" w14:textId="76715EAF" w:rsidR="007E3697" w:rsidRDefault="007E3697" w:rsidP="007E3697">
            <w:pPr>
              <w:jc w:val="right"/>
              <w:rPr>
                <w:rFonts w:cs="Calibri"/>
                <w:color w:val="000000"/>
                <w:sz w:val="22"/>
                <w:szCs w:val="22"/>
              </w:rPr>
            </w:pPr>
            <w:r>
              <w:rPr>
                <w:rFonts w:cs="Calibri"/>
                <w:color w:val="000000"/>
                <w:sz w:val="22"/>
                <w:szCs w:val="22"/>
              </w:rPr>
              <w:t>9.9%</w:t>
            </w:r>
          </w:p>
        </w:tc>
      </w:tr>
      <w:tr w:rsidR="007E3697" w:rsidRPr="00C36EE8" w14:paraId="216DDF45" w14:textId="77777777" w:rsidTr="00FC2472">
        <w:tc>
          <w:tcPr>
            <w:tcW w:w="2154" w:type="dxa"/>
          </w:tcPr>
          <w:p w14:paraId="7B8A6B18" w14:textId="764A4E17" w:rsidR="007E3697" w:rsidRPr="00C36EE8" w:rsidRDefault="007E3697" w:rsidP="007E3697">
            <w:pPr>
              <w:rPr>
                <w:rFonts w:cs="Calibri"/>
                <w:color w:val="000000"/>
                <w:sz w:val="22"/>
                <w:szCs w:val="22"/>
              </w:rPr>
            </w:pPr>
            <w:r w:rsidRPr="00C36EE8">
              <w:rPr>
                <w:rFonts w:cs="Calibri"/>
                <w:color w:val="000000"/>
                <w:sz w:val="22"/>
                <w:szCs w:val="22"/>
              </w:rPr>
              <w:t>Department of Health</w:t>
            </w:r>
          </w:p>
        </w:tc>
        <w:tc>
          <w:tcPr>
            <w:tcW w:w="0" w:type="auto"/>
          </w:tcPr>
          <w:p w14:paraId="083B6797" w14:textId="1BA2C590"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691</w:t>
            </w:r>
          </w:p>
        </w:tc>
        <w:tc>
          <w:tcPr>
            <w:tcW w:w="1316" w:type="dxa"/>
          </w:tcPr>
          <w:p w14:paraId="6A01C6AC" w14:textId="4E81ECDE"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52</w:t>
            </w:r>
          </w:p>
        </w:tc>
        <w:tc>
          <w:tcPr>
            <w:tcW w:w="1316" w:type="dxa"/>
          </w:tcPr>
          <w:p w14:paraId="612FA4E0" w14:textId="6968EC65"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7.5%</w:t>
            </w:r>
          </w:p>
        </w:tc>
        <w:tc>
          <w:tcPr>
            <w:tcW w:w="0" w:type="auto"/>
          </w:tcPr>
          <w:p w14:paraId="7BD510E5" w14:textId="7941C02C" w:rsidR="007E3697" w:rsidRDefault="007E3697" w:rsidP="007E3697">
            <w:pPr>
              <w:jc w:val="right"/>
              <w:rPr>
                <w:rFonts w:cs="Calibri"/>
                <w:color w:val="000000"/>
                <w:sz w:val="22"/>
                <w:szCs w:val="22"/>
              </w:rPr>
            </w:pPr>
            <w:r>
              <w:rPr>
                <w:rFonts w:cs="Calibri"/>
                <w:color w:val="000000"/>
                <w:sz w:val="22"/>
                <w:szCs w:val="22"/>
              </w:rPr>
              <w:t>640</w:t>
            </w:r>
          </w:p>
        </w:tc>
        <w:tc>
          <w:tcPr>
            <w:tcW w:w="0" w:type="auto"/>
          </w:tcPr>
          <w:p w14:paraId="37F61422" w14:textId="6A763DE2" w:rsidR="007E3697" w:rsidRDefault="007E3697" w:rsidP="007E3697">
            <w:pPr>
              <w:jc w:val="right"/>
              <w:rPr>
                <w:rFonts w:cs="Calibri"/>
                <w:color w:val="000000"/>
                <w:sz w:val="22"/>
                <w:szCs w:val="22"/>
              </w:rPr>
            </w:pPr>
            <w:r>
              <w:rPr>
                <w:rFonts w:cs="Calibri"/>
                <w:color w:val="000000"/>
                <w:sz w:val="22"/>
                <w:szCs w:val="22"/>
              </w:rPr>
              <w:t>40</w:t>
            </w:r>
          </w:p>
        </w:tc>
        <w:tc>
          <w:tcPr>
            <w:tcW w:w="1615" w:type="dxa"/>
          </w:tcPr>
          <w:p w14:paraId="766F2867" w14:textId="55310880" w:rsidR="007E3697" w:rsidRDefault="007E3697" w:rsidP="007E3697">
            <w:pPr>
              <w:jc w:val="right"/>
              <w:rPr>
                <w:rFonts w:cs="Calibri"/>
                <w:color w:val="000000"/>
                <w:sz w:val="22"/>
                <w:szCs w:val="22"/>
              </w:rPr>
            </w:pPr>
            <w:r>
              <w:rPr>
                <w:rFonts w:cs="Calibri"/>
                <w:color w:val="000000"/>
                <w:sz w:val="22"/>
                <w:szCs w:val="22"/>
              </w:rPr>
              <w:t>6.3%</w:t>
            </w:r>
          </w:p>
        </w:tc>
      </w:tr>
      <w:tr w:rsidR="007E3697" w:rsidRPr="00C36EE8" w14:paraId="59A0B3D7" w14:textId="77777777" w:rsidTr="00FC2472">
        <w:tc>
          <w:tcPr>
            <w:tcW w:w="2154" w:type="dxa"/>
          </w:tcPr>
          <w:p w14:paraId="19564893" w14:textId="55200AF0" w:rsidR="007E3697" w:rsidRPr="00C36EE8" w:rsidRDefault="007E3697" w:rsidP="007E3697">
            <w:pPr>
              <w:rPr>
                <w:rFonts w:cs="Calibri"/>
                <w:color w:val="000000"/>
                <w:sz w:val="22"/>
                <w:szCs w:val="22"/>
              </w:rPr>
            </w:pPr>
            <w:r w:rsidRPr="00C36EE8">
              <w:rPr>
                <w:rFonts w:cs="Calibri"/>
                <w:color w:val="000000"/>
                <w:sz w:val="22"/>
                <w:szCs w:val="22"/>
              </w:rPr>
              <w:lastRenderedPageBreak/>
              <w:t>Department of Housing, Local Government &amp; Heritage</w:t>
            </w:r>
          </w:p>
        </w:tc>
        <w:tc>
          <w:tcPr>
            <w:tcW w:w="0" w:type="auto"/>
          </w:tcPr>
          <w:p w14:paraId="1E2AE79A" w14:textId="49507D5E"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1,409</w:t>
            </w:r>
          </w:p>
        </w:tc>
        <w:tc>
          <w:tcPr>
            <w:tcW w:w="1316" w:type="dxa"/>
          </w:tcPr>
          <w:p w14:paraId="6F03BB43" w14:textId="2FE6535F"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108</w:t>
            </w:r>
          </w:p>
        </w:tc>
        <w:tc>
          <w:tcPr>
            <w:tcW w:w="1316" w:type="dxa"/>
          </w:tcPr>
          <w:p w14:paraId="7D33DBA4" w14:textId="32191D48"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7.7%</w:t>
            </w:r>
          </w:p>
        </w:tc>
        <w:tc>
          <w:tcPr>
            <w:tcW w:w="0" w:type="auto"/>
          </w:tcPr>
          <w:p w14:paraId="497E2EC5" w14:textId="08852EB9" w:rsidR="007E3697" w:rsidRDefault="007E3697" w:rsidP="007E3697">
            <w:pPr>
              <w:jc w:val="right"/>
              <w:rPr>
                <w:rFonts w:cs="Calibri"/>
                <w:color w:val="000000"/>
                <w:sz w:val="22"/>
                <w:szCs w:val="22"/>
              </w:rPr>
            </w:pPr>
            <w:r>
              <w:rPr>
                <w:rFonts w:cs="Calibri"/>
                <w:color w:val="000000"/>
                <w:sz w:val="22"/>
                <w:szCs w:val="22"/>
              </w:rPr>
              <w:t>1604</w:t>
            </w:r>
          </w:p>
        </w:tc>
        <w:tc>
          <w:tcPr>
            <w:tcW w:w="0" w:type="auto"/>
          </w:tcPr>
          <w:p w14:paraId="08D50FB7" w14:textId="785E2155" w:rsidR="007E3697" w:rsidRDefault="007E3697" w:rsidP="007E3697">
            <w:pPr>
              <w:jc w:val="right"/>
              <w:rPr>
                <w:rFonts w:cs="Calibri"/>
                <w:color w:val="000000"/>
                <w:sz w:val="22"/>
                <w:szCs w:val="22"/>
              </w:rPr>
            </w:pPr>
            <w:r>
              <w:rPr>
                <w:rFonts w:cs="Calibri"/>
                <w:color w:val="000000"/>
                <w:sz w:val="22"/>
                <w:szCs w:val="22"/>
              </w:rPr>
              <w:t>101</w:t>
            </w:r>
          </w:p>
        </w:tc>
        <w:tc>
          <w:tcPr>
            <w:tcW w:w="1615" w:type="dxa"/>
          </w:tcPr>
          <w:p w14:paraId="70C89247" w14:textId="4E31A793" w:rsidR="007E3697" w:rsidRDefault="007E3697" w:rsidP="007E3697">
            <w:pPr>
              <w:jc w:val="right"/>
              <w:rPr>
                <w:rFonts w:cs="Calibri"/>
                <w:color w:val="000000"/>
                <w:sz w:val="22"/>
                <w:szCs w:val="22"/>
              </w:rPr>
            </w:pPr>
            <w:r>
              <w:rPr>
                <w:rFonts w:cs="Calibri"/>
                <w:color w:val="000000"/>
                <w:sz w:val="22"/>
                <w:szCs w:val="22"/>
              </w:rPr>
              <w:t>6.3%</w:t>
            </w:r>
          </w:p>
        </w:tc>
      </w:tr>
      <w:tr w:rsidR="007E3697" w:rsidRPr="00C36EE8" w14:paraId="39C17ACC" w14:textId="77777777" w:rsidTr="00FC2472">
        <w:tc>
          <w:tcPr>
            <w:tcW w:w="2154" w:type="dxa"/>
          </w:tcPr>
          <w:p w14:paraId="59FA62D6" w14:textId="61F6893E" w:rsidR="007E3697" w:rsidRPr="00C36EE8" w:rsidRDefault="007E3697" w:rsidP="007E3697">
            <w:pPr>
              <w:rPr>
                <w:rFonts w:cs="Calibri"/>
                <w:color w:val="000000"/>
                <w:sz w:val="22"/>
                <w:szCs w:val="22"/>
              </w:rPr>
            </w:pPr>
            <w:r w:rsidRPr="00C36EE8">
              <w:rPr>
                <w:rFonts w:cs="Calibri"/>
                <w:color w:val="000000"/>
                <w:sz w:val="22"/>
                <w:szCs w:val="22"/>
              </w:rPr>
              <w:t>Department of Justice</w:t>
            </w:r>
          </w:p>
        </w:tc>
        <w:tc>
          <w:tcPr>
            <w:tcW w:w="0" w:type="auto"/>
          </w:tcPr>
          <w:p w14:paraId="75AEA460" w14:textId="49FBFD5E"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2,425</w:t>
            </w:r>
          </w:p>
        </w:tc>
        <w:tc>
          <w:tcPr>
            <w:tcW w:w="1316" w:type="dxa"/>
          </w:tcPr>
          <w:p w14:paraId="47E4E1A6" w14:textId="6333E3ED"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216</w:t>
            </w:r>
          </w:p>
        </w:tc>
        <w:tc>
          <w:tcPr>
            <w:tcW w:w="1316" w:type="dxa"/>
          </w:tcPr>
          <w:p w14:paraId="32B17100" w14:textId="58BBE0B3"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8.9%</w:t>
            </w:r>
          </w:p>
        </w:tc>
        <w:tc>
          <w:tcPr>
            <w:tcW w:w="0" w:type="auto"/>
          </w:tcPr>
          <w:p w14:paraId="5C48E2B7" w14:textId="3AA8188E" w:rsidR="007E3697" w:rsidRDefault="007E3697" w:rsidP="007E3697">
            <w:pPr>
              <w:jc w:val="right"/>
              <w:rPr>
                <w:rFonts w:cs="Calibri"/>
                <w:color w:val="000000"/>
                <w:sz w:val="22"/>
                <w:szCs w:val="22"/>
              </w:rPr>
            </w:pPr>
            <w:r>
              <w:rPr>
                <w:rFonts w:cs="Calibri"/>
                <w:color w:val="000000"/>
                <w:sz w:val="22"/>
                <w:szCs w:val="22"/>
              </w:rPr>
              <w:t>2522</w:t>
            </w:r>
          </w:p>
        </w:tc>
        <w:tc>
          <w:tcPr>
            <w:tcW w:w="0" w:type="auto"/>
          </w:tcPr>
          <w:p w14:paraId="732E7EE3" w14:textId="5DC2DE25" w:rsidR="007E3697" w:rsidRDefault="007E3697" w:rsidP="007E3697">
            <w:pPr>
              <w:jc w:val="right"/>
              <w:rPr>
                <w:rFonts w:cs="Calibri"/>
                <w:color w:val="000000"/>
                <w:sz w:val="22"/>
                <w:szCs w:val="22"/>
              </w:rPr>
            </w:pPr>
            <w:r>
              <w:rPr>
                <w:rFonts w:cs="Calibri"/>
                <w:color w:val="000000"/>
                <w:sz w:val="22"/>
                <w:szCs w:val="22"/>
              </w:rPr>
              <w:t>220</w:t>
            </w:r>
          </w:p>
        </w:tc>
        <w:tc>
          <w:tcPr>
            <w:tcW w:w="1615" w:type="dxa"/>
          </w:tcPr>
          <w:p w14:paraId="59C6C6B2" w14:textId="17D11420" w:rsidR="007E3697" w:rsidRDefault="007E3697" w:rsidP="007E3697">
            <w:pPr>
              <w:jc w:val="right"/>
              <w:rPr>
                <w:rFonts w:cs="Calibri"/>
                <w:color w:val="000000"/>
                <w:sz w:val="22"/>
                <w:szCs w:val="22"/>
              </w:rPr>
            </w:pPr>
            <w:r>
              <w:rPr>
                <w:rFonts w:cs="Calibri"/>
                <w:color w:val="000000"/>
                <w:sz w:val="22"/>
                <w:szCs w:val="22"/>
              </w:rPr>
              <w:t>8.7%</w:t>
            </w:r>
          </w:p>
        </w:tc>
      </w:tr>
      <w:tr w:rsidR="007E3697" w:rsidRPr="00C36EE8" w14:paraId="464D73C4" w14:textId="77777777" w:rsidTr="00FC2472">
        <w:tc>
          <w:tcPr>
            <w:tcW w:w="2154" w:type="dxa"/>
          </w:tcPr>
          <w:p w14:paraId="26D9DFE7" w14:textId="4AFDCB91" w:rsidR="007E3697" w:rsidRPr="00C36EE8" w:rsidRDefault="007E3697" w:rsidP="007E3697">
            <w:pPr>
              <w:rPr>
                <w:rFonts w:cs="Calibri"/>
                <w:color w:val="000000"/>
                <w:sz w:val="22"/>
                <w:szCs w:val="22"/>
              </w:rPr>
            </w:pPr>
            <w:r w:rsidRPr="00C36EE8">
              <w:rPr>
                <w:rFonts w:cs="Calibri"/>
                <w:color w:val="000000"/>
                <w:sz w:val="22"/>
                <w:szCs w:val="22"/>
              </w:rPr>
              <w:t>Department of Public Expenditure &amp; Reform</w:t>
            </w:r>
          </w:p>
        </w:tc>
        <w:tc>
          <w:tcPr>
            <w:tcW w:w="0" w:type="auto"/>
          </w:tcPr>
          <w:p w14:paraId="0F6F62C9" w14:textId="05775F82"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452</w:t>
            </w:r>
          </w:p>
        </w:tc>
        <w:tc>
          <w:tcPr>
            <w:tcW w:w="1316" w:type="dxa"/>
          </w:tcPr>
          <w:p w14:paraId="3F2D5F88" w14:textId="4F97ABEF"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17</w:t>
            </w:r>
          </w:p>
        </w:tc>
        <w:tc>
          <w:tcPr>
            <w:tcW w:w="1316" w:type="dxa"/>
          </w:tcPr>
          <w:p w14:paraId="4AB6CC2E" w14:textId="08ABC206"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3.8%</w:t>
            </w:r>
          </w:p>
        </w:tc>
        <w:tc>
          <w:tcPr>
            <w:tcW w:w="0" w:type="auto"/>
          </w:tcPr>
          <w:p w14:paraId="61C3F081" w14:textId="403F1D9F" w:rsidR="007E3697" w:rsidRDefault="007E3697" w:rsidP="007E3697">
            <w:pPr>
              <w:jc w:val="right"/>
              <w:rPr>
                <w:rFonts w:cs="Calibri"/>
                <w:color w:val="000000"/>
                <w:sz w:val="22"/>
                <w:szCs w:val="22"/>
              </w:rPr>
            </w:pPr>
            <w:r>
              <w:rPr>
                <w:rFonts w:cs="Calibri"/>
                <w:color w:val="000000"/>
                <w:sz w:val="22"/>
                <w:szCs w:val="22"/>
              </w:rPr>
              <w:t>454</w:t>
            </w:r>
          </w:p>
        </w:tc>
        <w:tc>
          <w:tcPr>
            <w:tcW w:w="0" w:type="auto"/>
          </w:tcPr>
          <w:p w14:paraId="34EE5F01" w14:textId="50603481" w:rsidR="007E3697" w:rsidRDefault="007E3697" w:rsidP="007E3697">
            <w:pPr>
              <w:jc w:val="right"/>
              <w:rPr>
                <w:rFonts w:cs="Calibri"/>
                <w:color w:val="000000"/>
                <w:sz w:val="22"/>
                <w:szCs w:val="22"/>
              </w:rPr>
            </w:pPr>
            <w:r>
              <w:rPr>
                <w:rFonts w:cs="Calibri"/>
                <w:color w:val="000000"/>
                <w:sz w:val="22"/>
                <w:szCs w:val="22"/>
              </w:rPr>
              <w:t>21</w:t>
            </w:r>
          </w:p>
        </w:tc>
        <w:tc>
          <w:tcPr>
            <w:tcW w:w="1615" w:type="dxa"/>
          </w:tcPr>
          <w:p w14:paraId="37BF708C" w14:textId="15CB073E" w:rsidR="007E3697" w:rsidRDefault="007E3697" w:rsidP="007E3697">
            <w:pPr>
              <w:jc w:val="right"/>
              <w:rPr>
                <w:rFonts w:cs="Calibri"/>
                <w:color w:val="000000"/>
                <w:sz w:val="22"/>
                <w:szCs w:val="22"/>
              </w:rPr>
            </w:pPr>
            <w:r>
              <w:rPr>
                <w:rFonts w:cs="Calibri"/>
                <w:color w:val="000000"/>
                <w:sz w:val="22"/>
                <w:szCs w:val="22"/>
              </w:rPr>
              <w:t>4.6%</w:t>
            </w:r>
          </w:p>
        </w:tc>
      </w:tr>
      <w:tr w:rsidR="007E3697" w:rsidRPr="00C36EE8" w14:paraId="5601637E" w14:textId="77777777" w:rsidTr="00FC2472">
        <w:tc>
          <w:tcPr>
            <w:tcW w:w="2154" w:type="dxa"/>
          </w:tcPr>
          <w:p w14:paraId="4461AF21" w14:textId="28E188DA" w:rsidR="007E3697" w:rsidRPr="00C36EE8" w:rsidRDefault="007E3697" w:rsidP="007E3697">
            <w:pPr>
              <w:rPr>
                <w:rFonts w:cs="Calibri"/>
                <w:color w:val="000000"/>
                <w:sz w:val="22"/>
                <w:szCs w:val="22"/>
              </w:rPr>
            </w:pPr>
            <w:r w:rsidRPr="00C36EE8">
              <w:rPr>
                <w:rFonts w:cs="Calibri"/>
                <w:color w:val="000000"/>
                <w:sz w:val="22"/>
                <w:szCs w:val="22"/>
              </w:rPr>
              <w:t>Department of Rural &amp; Community Development</w:t>
            </w:r>
          </w:p>
        </w:tc>
        <w:tc>
          <w:tcPr>
            <w:tcW w:w="0" w:type="auto"/>
          </w:tcPr>
          <w:p w14:paraId="728862DF" w14:textId="6F4BD6EE"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163</w:t>
            </w:r>
          </w:p>
        </w:tc>
        <w:tc>
          <w:tcPr>
            <w:tcW w:w="1316" w:type="dxa"/>
          </w:tcPr>
          <w:p w14:paraId="7545F5B3" w14:textId="4B814A18"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13</w:t>
            </w:r>
          </w:p>
        </w:tc>
        <w:tc>
          <w:tcPr>
            <w:tcW w:w="1316" w:type="dxa"/>
          </w:tcPr>
          <w:p w14:paraId="17EFDB6D" w14:textId="3A044845"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8.0%</w:t>
            </w:r>
          </w:p>
        </w:tc>
        <w:tc>
          <w:tcPr>
            <w:tcW w:w="0" w:type="auto"/>
          </w:tcPr>
          <w:p w14:paraId="515558D4" w14:textId="77777777" w:rsidR="007E3697" w:rsidRDefault="007E3697" w:rsidP="007E3697">
            <w:pPr>
              <w:spacing w:after="0"/>
              <w:jc w:val="right"/>
              <w:rPr>
                <w:rFonts w:cs="Calibri"/>
                <w:color w:val="000000"/>
                <w:sz w:val="22"/>
                <w:szCs w:val="22"/>
                <w:lang w:eastAsia="en-IE"/>
              </w:rPr>
            </w:pPr>
            <w:r>
              <w:rPr>
                <w:rFonts w:cs="Calibri"/>
                <w:color w:val="000000"/>
                <w:sz w:val="22"/>
                <w:szCs w:val="22"/>
              </w:rPr>
              <w:t>170</w:t>
            </w:r>
          </w:p>
          <w:p w14:paraId="67C1A0C3" w14:textId="77777777" w:rsidR="007E3697" w:rsidRDefault="007E3697" w:rsidP="007E3697">
            <w:pPr>
              <w:jc w:val="right"/>
              <w:rPr>
                <w:rFonts w:cs="Calibri"/>
                <w:color w:val="000000"/>
                <w:sz w:val="22"/>
                <w:szCs w:val="22"/>
              </w:rPr>
            </w:pPr>
          </w:p>
        </w:tc>
        <w:tc>
          <w:tcPr>
            <w:tcW w:w="0" w:type="auto"/>
          </w:tcPr>
          <w:p w14:paraId="523DAE15" w14:textId="77777777" w:rsidR="007E3697" w:rsidRDefault="007E3697" w:rsidP="007E3697">
            <w:pPr>
              <w:spacing w:after="0"/>
              <w:jc w:val="right"/>
              <w:rPr>
                <w:rFonts w:cs="Calibri"/>
                <w:color w:val="000000"/>
                <w:sz w:val="22"/>
                <w:szCs w:val="22"/>
                <w:lang w:eastAsia="en-IE"/>
              </w:rPr>
            </w:pPr>
            <w:r>
              <w:rPr>
                <w:rFonts w:cs="Calibri"/>
                <w:color w:val="000000"/>
                <w:sz w:val="22"/>
                <w:szCs w:val="22"/>
              </w:rPr>
              <w:t>17</w:t>
            </w:r>
          </w:p>
          <w:p w14:paraId="0A415393" w14:textId="77777777" w:rsidR="007E3697" w:rsidRDefault="007E3697" w:rsidP="007E3697">
            <w:pPr>
              <w:jc w:val="right"/>
              <w:rPr>
                <w:rFonts w:cs="Calibri"/>
                <w:color w:val="000000"/>
                <w:sz w:val="22"/>
                <w:szCs w:val="22"/>
              </w:rPr>
            </w:pPr>
          </w:p>
        </w:tc>
        <w:tc>
          <w:tcPr>
            <w:tcW w:w="1615" w:type="dxa"/>
          </w:tcPr>
          <w:p w14:paraId="234C3924" w14:textId="77777777" w:rsidR="007E3697" w:rsidRDefault="007E3697" w:rsidP="007E3697">
            <w:pPr>
              <w:spacing w:after="0"/>
              <w:jc w:val="right"/>
              <w:rPr>
                <w:rFonts w:cs="Calibri"/>
                <w:color w:val="000000"/>
                <w:sz w:val="22"/>
                <w:szCs w:val="22"/>
                <w:lang w:eastAsia="en-IE"/>
              </w:rPr>
            </w:pPr>
            <w:r>
              <w:rPr>
                <w:rFonts w:cs="Calibri"/>
                <w:color w:val="000000"/>
                <w:sz w:val="22"/>
                <w:szCs w:val="22"/>
              </w:rPr>
              <w:t>10.0%</w:t>
            </w:r>
          </w:p>
          <w:p w14:paraId="072FF61D" w14:textId="77777777" w:rsidR="007E3697" w:rsidRDefault="007E3697" w:rsidP="007E3697">
            <w:pPr>
              <w:jc w:val="right"/>
              <w:rPr>
                <w:rFonts w:cs="Calibri"/>
                <w:color w:val="000000"/>
                <w:sz w:val="22"/>
                <w:szCs w:val="22"/>
              </w:rPr>
            </w:pPr>
          </w:p>
        </w:tc>
      </w:tr>
      <w:tr w:rsidR="007E3697" w:rsidRPr="00C36EE8" w14:paraId="137CD342" w14:textId="77777777" w:rsidTr="00FC2472">
        <w:tc>
          <w:tcPr>
            <w:tcW w:w="2154" w:type="dxa"/>
          </w:tcPr>
          <w:p w14:paraId="21E595FA" w14:textId="3E38E7EE" w:rsidR="007E3697" w:rsidRPr="00C36EE8" w:rsidRDefault="007E3697" w:rsidP="007E3697">
            <w:pPr>
              <w:rPr>
                <w:rFonts w:cs="Calibri"/>
                <w:color w:val="000000"/>
                <w:sz w:val="22"/>
                <w:szCs w:val="22"/>
              </w:rPr>
            </w:pPr>
            <w:r w:rsidRPr="00C36EE8">
              <w:rPr>
                <w:rFonts w:cs="Calibri"/>
                <w:color w:val="000000"/>
                <w:sz w:val="22"/>
                <w:szCs w:val="22"/>
              </w:rPr>
              <w:t>Department of Social Protection</w:t>
            </w:r>
          </w:p>
        </w:tc>
        <w:tc>
          <w:tcPr>
            <w:tcW w:w="0" w:type="auto"/>
          </w:tcPr>
          <w:p w14:paraId="7FB75BC7" w14:textId="282664BD"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6,719</w:t>
            </w:r>
          </w:p>
        </w:tc>
        <w:tc>
          <w:tcPr>
            <w:tcW w:w="1316" w:type="dxa"/>
          </w:tcPr>
          <w:p w14:paraId="3848D7D5" w14:textId="63F360E1"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440</w:t>
            </w:r>
          </w:p>
        </w:tc>
        <w:tc>
          <w:tcPr>
            <w:tcW w:w="1316" w:type="dxa"/>
          </w:tcPr>
          <w:p w14:paraId="5D8CC7A4" w14:textId="0AD876C0"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6.5%</w:t>
            </w:r>
          </w:p>
        </w:tc>
        <w:tc>
          <w:tcPr>
            <w:tcW w:w="0" w:type="auto"/>
          </w:tcPr>
          <w:p w14:paraId="7CD3C06E" w14:textId="2D506384" w:rsidR="007E3697" w:rsidRDefault="007E3697" w:rsidP="007E3697">
            <w:pPr>
              <w:jc w:val="right"/>
              <w:rPr>
                <w:rFonts w:cs="Calibri"/>
                <w:color w:val="000000"/>
                <w:sz w:val="22"/>
                <w:szCs w:val="22"/>
              </w:rPr>
            </w:pPr>
            <w:r>
              <w:rPr>
                <w:rFonts w:cs="Calibri"/>
                <w:color w:val="000000"/>
                <w:sz w:val="22"/>
                <w:szCs w:val="22"/>
              </w:rPr>
              <w:t>6860</w:t>
            </w:r>
          </w:p>
        </w:tc>
        <w:tc>
          <w:tcPr>
            <w:tcW w:w="0" w:type="auto"/>
          </w:tcPr>
          <w:p w14:paraId="628A44B4" w14:textId="00068889" w:rsidR="007E3697" w:rsidRDefault="007E3697" w:rsidP="007E3697">
            <w:pPr>
              <w:jc w:val="right"/>
              <w:rPr>
                <w:rFonts w:cs="Calibri"/>
                <w:color w:val="000000"/>
                <w:sz w:val="22"/>
                <w:szCs w:val="22"/>
              </w:rPr>
            </w:pPr>
            <w:r>
              <w:rPr>
                <w:rFonts w:cs="Calibri"/>
                <w:color w:val="000000"/>
                <w:sz w:val="22"/>
                <w:szCs w:val="22"/>
              </w:rPr>
              <w:t>367</w:t>
            </w:r>
          </w:p>
        </w:tc>
        <w:tc>
          <w:tcPr>
            <w:tcW w:w="1615" w:type="dxa"/>
          </w:tcPr>
          <w:p w14:paraId="6D7A9A42" w14:textId="15B0B17C" w:rsidR="007E3697" w:rsidRDefault="007E3697" w:rsidP="007E3697">
            <w:pPr>
              <w:jc w:val="right"/>
              <w:rPr>
                <w:rFonts w:cs="Calibri"/>
                <w:color w:val="000000"/>
                <w:sz w:val="22"/>
                <w:szCs w:val="22"/>
              </w:rPr>
            </w:pPr>
            <w:r>
              <w:rPr>
                <w:rFonts w:cs="Calibri"/>
                <w:color w:val="000000"/>
                <w:sz w:val="22"/>
                <w:szCs w:val="22"/>
              </w:rPr>
              <w:t>5.3%</w:t>
            </w:r>
          </w:p>
        </w:tc>
      </w:tr>
      <w:tr w:rsidR="007E3697" w:rsidRPr="00C36EE8" w14:paraId="48BEC650" w14:textId="77777777" w:rsidTr="00FC2472">
        <w:tc>
          <w:tcPr>
            <w:tcW w:w="2154" w:type="dxa"/>
          </w:tcPr>
          <w:p w14:paraId="2454C488" w14:textId="3695A0FD" w:rsidR="007E3697" w:rsidRPr="00C36EE8" w:rsidRDefault="007E3697" w:rsidP="007E3697">
            <w:pPr>
              <w:rPr>
                <w:rFonts w:cs="Calibri"/>
                <w:color w:val="000000"/>
                <w:sz w:val="22"/>
                <w:szCs w:val="22"/>
              </w:rPr>
            </w:pPr>
            <w:r w:rsidRPr="00C36EE8">
              <w:rPr>
                <w:rFonts w:cs="Calibri"/>
                <w:color w:val="000000"/>
                <w:sz w:val="22"/>
                <w:szCs w:val="22"/>
              </w:rPr>
              <w:t>Department of the Environment, Climate &amp; Communications</w:t>
            </w:r>
          </w:p>
        </w:tc>
        <w:tc>
          <w:tcPr>
            <w:tcW w:w="0" w:type="auto"/>
          </w:tcPr>
          <w:p w14:paraId="63045877" w14:textId="254DE139"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447</w:t>
            </w:r>
          </w:p>
        </w:tc>
        <w:tc>
          <w:tcPr>
            <w:tcW w:w="1316" w:type="dxa"/>
          </w:tcPr>
          <w:p w14:paraId="38C2BCE0" w14:textId="37C60AC5"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17</w:t>
            </w:r>
          </w:p>
        </w:tc>
        <w:tc>
          <w:tcPr>
            <w:tcW w:w="1316" w:type="dxa"/>
          </w:tcPr>
          <w:p w14:paraId="21D4A994" w14:textId="4397F0D9"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3.8%</w:t>
            </w:r>
          </w:p>
        </w:tc>
        <w:tc>
          <w:tcPr>
            <w:tcW w:w="0" w:type="auto"/>
          </w:tcPr>
          <w:p w14:paraId="767A6230" w14:textId="36FF8109" w:rsidR="007E3697" w:rsidRDefault="007E3697" w:rsidP="007E3697">
            <w:pPr>
              <w:jc w:val="right"/>
              <w:rPr>
                <w:rFonts w:cs="Calibri"/>
                <w:color w:val="000000"/>
                <w:sz w:val="22"/>
                <w:szCs w:val="22"/>
              </w:rPr>
            </w:pPr>
            <w:r>
              <w:rPr>
                <w:rFonts w:cs="Calibri"/>
                <w:color w:val="000000"/>
                <w:sz w:val="22"/>
                <w:szCs w:val="22"/>
              </w:rPr>
              <w:t>546</w:t>
            </w:r>
          </w:p>
        </w:tc>
        <w:tc>
          <w:tcPr>
            <w:tcW w:w="0" w:type="auto"/>
          </w:tcPr>
          <w:p w14:paraId="5015B9F5" w14:textId="030605B3" w:rsidR="007E3697" w:rsidRDefault="007E3697" w:rsidP="007E3697">
            <w:pPr>
              <w:jc w:val="right"/>
              <w:rPr>
                <w:rFonts w:cs="Calibri"/>
                <w:color w:val="000000"/>
                <w:sz w:val="22"/>
                <w:szCs w:val="22"/>
              </w:rPr>
            </w:pPr>
            <w:r>
              <w:rPr>
                <w:rFonts w:cs="Calibri"/>
                <w:color w:val="000000"/>
                <w:sz w:val="22"/>
                <w:szCs w:val="22"/>
              </w:rPr>
              <w:t>31</w:t>
            </w:r>
          </w:p>
        </w:tc>
        <w:tc>
          <w:tcPr>
            <w:tcW w:w="1615" w:type="dxa"/>
          </w:tcPr>
          <w:p w14:paraId="6C8BC2D8" w14:textId="191545D3" w:rsidR="007E3697" w:rsidRDefault="007E3697" w:rsidP="007E3697">
            <w:pPr>
              <w:jc w:val="right"/>
              <w:rPr>
                <w:rFonts w:cs="Calibri"/>
                <w:color w:val="000000"/>
                <w:sz w:val="22"/>
                <w:szCs w:val="22"/>
              </w:rPr>
            </w:pPr>
            <w:r>
              <w:rPr>
                <w:rFonts w:cs="Calibri"/>
                <w:color w:val="000000"/>
                <w:sz w:val="22"/>
                <w:szCs w:val="22"/>
              </w:rPr>
              <w:t>5.7%</w:t>
            </w:r>
          </w:p>
        </w:tc>
      </w:tr>
      <w:tr w:rsidR="007E3697" w:rsidRPr="00C36EE8" w14:paraId="5467F158" w14:textId="77777777" w:rsidTr="00FC2472">
        <w:tc>
          <w:tcPr>
            <w:tcW w:w="2154" w:type="dxa"/>
          </w:tcPr>
          <w:p w14:paraId="32134014" w14:textId="6024600F" w:rsidR="007E3697" w:rsidRPr="00C36EE8" w:rsidRDefault="007E3697" w:rsidP="007E3697">
            <w:pPr>
              <w:rPr>
                <w:rFonts w:cs="Calibri"/>
                <w:color w:val="000000"/>
                <w:sz w:val="22"/>
                <w:szCs w:val="22"/>
              </w:rPr>
            </w:pPr>
            <w:r w:rsidRPr="00C36EE8">
              <w:rPr>
                <w:rFonts w:cs="Calibri"/>
                <w:color w:val="000000"/>
                <w:sz w:val="22"/>
                <w:szCs w:val="22"/>
              </w:rPr>
              <w:t>Department of the Taoiseach</w:t>
            </w:r>
          </w:p>
        </w:tc>
        <w:tc>
          <w:tcPr>
            <w:tcW w:w="0" w:type="auto"/>
          </w:tcPr>
          <w:p w14:paraId="278DFCB5" w14:textId="6E85F6F7"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240</w:t>
            </w:r>
            <w:r>
              <w:rPr>
                <w:rFonts w:cs="Calibri"/>
                <w:color w:val="000000"/>
                <w:sz w:val="22"/>
                <w:szCs w:val="22"/>
              </w:rPr>
              <w:t xml:space="preserve"> </w:t>
            </w:r>
          </w:p>
        </w:tc>
        <w:tc>
          <w:tcPr>
            <w:tcW w:w="1316" w:type="dxa"/>
          </w:tcPr>
          <w:p w14:paraId="0D248380" w14:textId="24604191"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8</w:t>
            </w:r>
          </w:p>
        </w:tc>
        <w:tc>
          <w:tcPr>
            <w:tcW w:w="1316" w:type="dxa"/>
          </w:tcPr>
          <w:p w14:paraId="4CD56D83" w14:textId="1BC01771"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3.3%</w:t>
            </w:r>
          </w:p>
        </w:tc>
        <w:tc>
          <w:tcPr>
            <w:tcW w:w="0" w:type="auto"/>
          </w:tcPr>
          <w:p w14:paraId="32D71448" w14:textId="335013A2" w:rsidR="007E3697" w:rsidRDefault="007E3697" w:rsidP="007E3697">
            <w:pPr>
              <w:jc w:val="right"/>
              <w:rPr>
                <w:rFonts w:cs="Calibri"/>
                <w:color w:val="000000"/>
                <w:sz w:val="22"/>
                <w:szCs w:val="22"/>
              </w:rPr>
            </w:pPr>
            <w:r>
              <w:rPr>
                <w:rFonts w:cs="Calibri"/>
                <w:color w:val="000000"/>
                <w:sz w:val="22"/>
                <w:szCs w:val="22"/>
              </w:rPr>
              <w:t>238</w:t>
            </w:r>
          </w:p>
        </w:tc>
        <w:tc>
          <w:tcPr>
            <w:tcW w:w="0" w:type="auto"/>
          </w:tcPr>
          <w:p w14:paraId="0031D1E5" w14:textId="220DEF91" w:rsidR="007E3697" w:rsidRDefault="007E3697" w:rsidP="007E3697">
            <w:pPr>
              <w:jc w:val="right"/>
              <w:rPr>
                <w:rFonts w:cs="Calibri"/>
                <w:color w:val="000000"/>
                <w:sz w:val="22"/>
                <w:szCs w:val="22"/>
              </w:rPr>
            </w:pPr>
            <w:r>
              <w:rPr>
                <w:rFonts w:cs="Calibri"/>
                <w:color w:val="000000"/>
                <w:sz w:val="22"/>
                <w:szCs w:val="22"/>
              </w:rPr>
              <w:t>20</w:t>
            </w:r>
          </w:p>
        </w:tc>
        <w:tc>
          <w:tcPr>
            <w:tcW w:w="1615" w:type="dxa"/>
          </w:tcPr>
          <w:p w14:paraId="124DF976" w14:textId="0BAC4C9E" w:rsidR="007E3697" w:rsidRDefault="007E3697" w:rsidP="007E3697">
            <w:pPr>
              <w:jc w:val="right"/>
              <w:rPr>
                <w:rFonts w:cs="Calibri"/>
                <w:color w:val="000000"/>
                <w:sz w:val="22"/>
                <w:szCs w:val="22"/>
              </w:rPr>
            </w:pPr>
            <w:r>
              <w:rPr>
                <w:rFonts w:cs="Calibri"/>
                <w:color w:val="000000"/>
                <w:sz w:val="22"/>
                <w:szCs w:val="22"/>
              </w:rPr>
              <w:t>8.4%</w:t>
            </w:r>
          </w:p>
        </w:tc>
      </w:tr>
      <w:tr w:rsidR="007E3697" w:rsidRPr="00C36EE8" w14:paraId="7F3F504B" w14:textId="77777777" w:rsidTr="00FC2472">
        <w:tc>
          <w:tcPr>
            <w:tcW w:w="2154" w:type="dxa"/>
          </w:tcPr>
          <w:p w14:paraId="23E893E6" w14:textId="6C04130D" w:rsidR="007E3697" w:rsidRPr="00C36EE8" w:rsidRDefault="007E3697" w:rsidP="007E3697">
            <w:pPr>
              <w:rPr>
                <w:rFonts w:cs="Calibri"/>
                <w:color w:val="000000"/>
                <w:sz w:val="22"/>
                <w:szCs w:val="22"/>
              </w:rPr>
            </w:pPr>
            <w:r w:rsidRPr="00C36EE8">
              <w:rPr>
                <w:rFonts w:cs="Calibri"/>
                <w:color w:val="000000"/>
                <w:sz w:val="22"/>
                <w:szCs w:val="22"/>
              </w:rPr>
              <w:t xml:space="preserve">Department of Tourism Culture, Arts, Gaeltacht, Sports &amp; Media </w:t>
            </w:r>
          </w:p>
        </w:tc>
        <w:tc>
          <w:tcPr>
            <w:tcW w:w="0" w:type="auto"/>
          </w:tcPr>
          <w:p w14:paraId="2C7E9853" w14:textId="735BC8C3"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370</w:t>
            </w:r>
          </w:p>
        </w:tc>
        <w:tc>
          <w:tcPr>
            <w:tcW w:w="1316" w:type="dxa"/>
          </w:tcPr>
          <w:p w14:paraId="0FA683B8" w14:textId="2331E889"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40</w:t>
            </w:r>
          </w:p>
        </w:tc>
        <w:tc>
          <w:tcPr>
            <w:tcW w:w="1316" w:type="dxa"/>
          </w:tcPr>
          <w:p w14:paraId="0217DBFA" w14:textId="4CB2A7CF"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10.8%</w:t>
            </w:r>
          </w:p>
        </w:tc>
        <w:tc>
          <w:tcPr>
            <w:tcW w:w="0" w:type="auto"/>
          </w:tcPr>
          <w:p w14:paraId="685EA6C9" w14:textId="7CDC9A72" w:rsidR="007E3697" w:rsidRDefault="007E3697" w:rsidP="007E3697">
            <w:pPr>
              <w:jc w:val="right"/>
              <w:rPr>
                <w:rFonts w:cs="Calibri"/>
                <w:color w:val="000000"/>
                <w:sz w:val="22"/>
                <w:szCs w:val="22"/>
              </w:rPr>
            </w:pPr>
            <w:r>
              <w:rPr>
                <w:rFonts w:cs="Calibri"/>
                <w:color w:val="000000"/>
                <w:sz w:val="22"/>
                <w:szCs w:val="22"/>
              </w:rPr>
              <w:t>404</w:t>
            </w:r>
          </w:p>
        </w:tc>
        <w:tc>
          <w:tcPr>
            <w:tcW w:w="0" w:type="auto"/>
          </w:tcPr>
          <w:p w14:paraId="12316A3B" w14:textId="361DF6FC" w:rsidR="007E3697" w:rsidRDefault="007E3697" w:rsidP="007E3697">
            <w:pPr>
              <w:jc w:val="right"/>
              <w:rPr>
                <w:rFonts w:cs="Calibri"/>
                <w:color w:val="000000"/>
                <w:sz w:val="22"/>
                <w:szCs w:val="22"/>
              </w:rPr>
            </w:pPr>
            <w:r>
              <w:rPr>
                <w:rFonts w:cs="Calibri"/>
                <w:color w:val="000000"/>
                <w:sz w:val="22"/>
                <w:szCs w:val="22"/>
              </w:rPr>
              <w:t>33</w:t>
            </w:r>
          </w:p>
        </w:tc>
        <w:tc>
          <w:tcPr>
            <w:tcW w:w="1615" w:type="dxa"/>
          </w:tcPr>
          <w:p w14:paraId="0CC5118F" w14:textId="3698E6DB" w:rsidR="007E3697" w:rsidRDefault="007E3697" w:rsidP="007E3697">
            <w:pPr>
              <w:jc w:val="right"/>
              <w:rPr>
                <w:rFonts w:cs="Calibri"/>
                <w:color w:val="000000"/>
                <w:sz w:val="22"/>
                <w:szCs w:val="22"/>
              </w:rPr>
            </w:pPr>
            <w:r>
              <w:rPr>
                <w:rFonts w:cs="Calibri"/>
                <w:color w:val="000000"/>
                <w:sz w:val="22"/>
                <w:szCs w:val="22"/>
              </w:rPr>
              <w:t>8.2%</w:t>
            </w:r>
          </w:p>
        </w:tc>
      </w:tr>
      <w:tr w:rsidR="007E3697" w:rsidRPr="00C36EE8" w14:paraId="78C69234" w14:textId="77777777" w:rsidTr="00FC2472">
        <w:tc>
          <w:tcPr>
            <w:tcW w:w="2154" w:type="dxa"/>
          </w:tcPr>
          <w:p w14:paraId="6153983D" w14:textId="22DD3A13" w:rsidR="007E3697" w:rsidRPr="00C36EE8" w:rsidRDefault="007E3697" w:rsidP="007E3697">
            <w:pPr>
              <w:rPr>
                <w:rFonts w:cs="Calibri"/>
                <w:color w:val="000000"/>
                <w:sz w:val="22"/>
                <w:szCs w:val="22"/>
              </w:rPr>
            </w:pPr>
            <w:r w:rsidRPr="00C36EE8">
              <w:rPr>
                <w:rFonts w:cs="Calibri"/>
                <w:color w:val="000000"/>
                <w:sz w:val="22"/>
                <w:szCs w:val="22"/>
              </w:rPr>
              <w:t>Department of Transport</w:t>
            </w:r>
          </w:p>
        </w:tc>
        <w:tc>
          <w:tcPr>
            <w:tcW w:w="0" w:type="auto"/>
          </w:tcPr>
          <w:p w14:paraId="5F0456F7" w14:textId="1C09AE91"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566</w:t>
            </w:r>
          </w:p>
        </w:tc>
        <w:tc>
          <w:tcPr>
            <w:tcW w:w="1316" w:type="dxa"/>
          </w:tcPr>
          <w:p w14:paraId="448936C5" w14:textId="3A7AA4FA"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17</w:t>
            </w:r>
          </w:p>
        </w:tc>
        <w:tc>
          <w:tcPr>
            <w:tcW w:w="1316" w:type="dxa"/>
          </w:tcPr>
          <w:p w14:paraId="5F06F2C4" w14:textId="0E17DC6C" w:rsidR="007E3697" w:rsidRPr="00C36EE8" w:rsidRDefault="007E3697" w:rsidP="007E3697">
            <w:pPr>
              <w:pStyle w:val="TableCell"/>
              <w:jc w:val="right"/>
              <w:rPr>
                <w:rFonts w:cs="Calibri"/>
                <w:color w:val="000000"/>
                <w:sz w:val="22"/>
                <w:szCs w:val="22"/>
              </w:rPr>
            </w:pPr>
            <w:r w:rsidRPr="00C36EE8">
              <w:rPr>
                <w:rFonts w:cs="Calibri"/>
                <w:color w:val="000000"/>
                <w:sz w:val="22"/>
                <w:szCs w:val="22"/>
              </w:rPr>
              <w:t>3.0%</w:t>
            </w:r>
          </w:p>
        </w:tc>
        <w:tc>
          <w:tcPr>
            <w:tcW w:w="0" w:type="auto"/>
          </w:tcPr>
          <w:p w14:paraId="289C22D2" w14:textId="446FC74B" w:rsidR="007E3697" w:rsidRDefault="007E3697" w:rsidP="007E3697">
            <w:pPr>
              <w:jc w:val="right"/>
              <w:rPr>
                <w:rFonts w:cs="Calibri"/>
                <w:color w:val="000000"/>
                <w:sz w:val="22"/>
                <w:szCs w:val="22"/>
              </w:rPr>
            </w:pPr>
            <w:r>
              <w:rPr>
                <w:rFonts w:cs="Calibri"/>
                <w:color w:val="000000"/>
                <w:sz w:val="22"/>
                <w:szCs w:val="22"/>
              </w:rPr>
              <w:t>596</w:t>
            </w:r>
          </w:p>
        </w:tc>
        <w:tc>
          <w:tcPr>
            <w:tcW w:w="0" w:type="auto"/>
          </w:tcPr>
          <w:p w14:paraId="08F08F0F" w14:textId="0F3D5A98" w:rsidR="007E3697" w:rsidRDefault="007E3697" w:rsidP="007E3697">
            <w:pPr>
              <w:jc w:val="right"/>
              <w:rPr>
                <w:rFonts w:cs="Calibri"/>
                <w:color w:val="000000"/>
                <w:sz w:val="22"/>
                <w:szCs w:val="22"/>
              </w:rPr>
            </w:pPr>
            <w:r>
              <w:rPr>
                <w:rFonts w:cs="Calibri"/>
                <w:color w:val="000000"/>
                <w:sz w:val="22"/>
                <w:szCs w:val="22"/>
              </w:rPr>
              <w:t>19</w:t>
            </w:r>
          </w:p>
        </w:tc>
        <w:tc>
          <w:tcPr>
            <w:tcW w:w="1615" w:type="dxa"/>
          </w:tcPr>
          <w:p w14:paraId="0FACF1D8" w14:textId="3FC94499" w:rsidR="007E3697" w:rsidRDefault="007E3697" w:rsidP="007E3697">
            <w:pPr>
              <w:jc w:val="right"/>
              <w:rPr>
                <w:rFonts w:cs="Calibri"/>
                <w:color w:val="000000"/>
                <w:sz w:val="22"/>
                <w:szCs w:val="22"/>
              </w:rPr>
            </w:pPr>
            <w:r>
              <w:rPr>
                <w:rFonts w:cs="Calibri"/>
                <w:color w:val="000000"/>
                <w:sz w:val="22"/>
                <w:szCs w:val="22"/>
              </w:rPr>
              <w:t>3.2%</w:t>
            </w:r>
          </w:p>
        </w:tc>
      </w:tr>
      <w:tr w:rsidR="007E3697" w:rsidRPr="00C36EE8" w14:paraId="3DE7A981" w14:textId="77777777" w:rsidTr="00FC2472">
        <w:tc>
          <w:tcPr>
            <w:tcW w:w="2154" w:type="dxa"/>
          </w:tcPr>
          <w:p w14:paraId="6E6AB856" w14:textId="27597115" w:rsidR="007E3697" w:rsidRPr="00C36EE8" w:rsidRDefault="007E3697" w:rsidP="007E3697">
            <w:pPr>
              <w:rPr>
                <w:rFonts w:cs="Calibri"/>
                <w:color w:val="000000"/>
                <w:sz w:val="22"/>
                <w:szCs w:val="22"/>
              </w:rPr>
            </w:pPr>
            <w:r w:rsidRPr="00C36EE8">
              <w:rPr>
                <w:rFonts w:cs="Arial"/>
                <w:b/>
                <w:sz w:val="22"/>
                <w:szCs w:val="22"/>
                <w:lang w:eastAsia="en-IE"/>
              </w:rPr>
              <w:t>Grand Total</w:t>
            </w:r>
          </w:p>
        </w:tc>
        <w:tc>
          <w:tcPr>
            <w:tcW w:w="0" w:type="auto"/>
          </w:tcPr>
          <w:p w14:paraId="2D5401C1" w14:textId="77777777" w:rsidR="007E3697" w:rsidRPr="00C36EE8" w:rsidRDefault="007E3697" w:rsidP="007E3697">
            <w:pPr>
              <w:spacing w:after="0"/>
              <w:jc w:val="right"/>
              <w:rPr>
                <w:rFonts w:cs="Calibri"/>
                <w:b/>
                <w:bCs/>
                <w:color w:val="000000"/>
                <w:sz w:val="22"/>
                <w:szCs w:val="22"/>
                <w:lang w:eastAsia="en-IE"/>
              </w:rPr>
            </w:pPr>
            <w:r w:rsidRPr="00C36EE8">
              <w:rPr>
                <w:rFonts w:cs="Calibri"/>
                <w:b/>
                <w:bCs/>
                <w:color w:val="000000"/>
                <w:sz w:val="22"/>
                <w:szCs w:val="22"/>
              </w:rPr>
              <w:t>23,590</w:t>
            </w:r>
          </w:p>
          <w:p w14:paraId="0F2EB262" w14:textId="77777777" w:rsidR="007E3697" w:rsidRPr="00C36EE8" w:rsidRDefault="007E3697" w:rsidP="007E3697">
            <w:pPr>
              <w:pStyle w:val="TableCell"/>
              <w:jc w:val="right"/>
              <w:rPr>
                <w:rFonts w:cs="Calibri"/>
                <w:color w:val="000000"/>
                <w:sz w:val="22"/>
                <w:szCs w:val="22"/>
              </w:rPr>
            </w:pPr>
          </w:p>
        </w:tc>
        <w:tc>
          <w:tcPr>
            <w:tcW w:w="1316" w:type="dxa"/>
          </w:tcPr>
          <w:p w14:paraId="0AD41BC3" w14:textId="77777777" w:rsidR="007E3697" w:rsidRPr="00C36EE8" w:rsidRDefault="007E3697" w:rsidP="007E3697">
            <w:pPr>
              <w:spacing w:after="0"/>
              <w:jc w:val="right"/>
              <w:rPr>
                <w:rFonts w:cs="Calibri"/>
                <w:b/>
                <w:bCs/>
                <w:color w:val="000000"/>
                <w:sz w:val="22"/>
                <w:szCs w:val="22"/>
                <w:lang w:eastAsia="en-IE"/>
              </w:rPr>
            </w:pPr>
            <w:r w:rsidRPr="00C36EE8">
              <w:rPr>
                <w:rFonts w:cs="Calibri"/>
                <w:b/>
                <w:bCs/>
                <w:color w:val="000000"/>
                <w:sz w:val="22"/>
                <w:szCs w:val="22"/>
              </w:rPr>
              <w:t>1,427</w:t>
            </w:r>
          </w:p>
          <w:p w14:paraId="0D7E05E3" w14:textId="77777777" w:rsidR="007E3697" w:rsidRPr="00C36EE8" w:rsidRDefault="007E3697" w:rsidP="007E3697">
            <w:pPr>
              <w:pStyle w:val="TableCell"/>
              <w:jc w:val="right"/>
              <w:rPr>
                <w:rFonts w:cs="Calibri"/>
                <w:color w:val="000000"/>
                <w:sz w:val="22"/>
                <w:szCs w:val="22"/>
              </w:rPr>
            </w:pPr>
          </w:p>
        </w:tc>
        <w:tc>
          <w:tcPr>
            <w:tcW w:w="1316" w:type="dxa"/>
          </w:tcPr>
          <w:p w14:paraId="0639C8BB" w14:textId="77777777" w:rsidR="007E3697" w:rsidRPr="00C36EE8" w:rsidRDefault="007E3697" w:rsidP="007E3697">
            <w:pPr>
              <w:spacing w:after="0"/>
              <w:jc w:val="right"/>
              <w:rPr>
                <w:rFonts w:cs="Calibri"/>
                <w:b/>
                <w:bCs/>
                <w:color w:val="000000"/>
                <w:sz w:val="22"/>
                <w:szCs w:val="22"/>
                <w:lang w:eastAsia="en-IE"/>
              </w:rPr>
            </w:pPr>
            <w:r w:rsidRPr="00C36EE8">
              <w:rPr>
                <w:rFonts w:cs="Calibri"/>
                <w:b/>
                <w:bCs/>
                <w:color w:val="000000"/>
                <w:sz w:val="22"/>
                <w:szCs w:val="22"/>
                <w:lang w:eastAsia="en-IE"/>
              </w:rPr>
              <w:t>6.0%</w:t>
            </w:r>
          </w:p>
          <w:p w14:paraId="36B4965B" w14:textId="77777777" w:rsidR="007E3697" w:rsidRPr="00C36EE8" w:rsidRDefault="007E3697" w:rsidP="007E3697">
            <w:pPr>
              <w:pStyle w:val="TableCell"/>
              <w:jc w:val="right"/>
              <w:rPr>
                <w:rFonts w:cs="Calibri"/>
                <w:color w:val="000000"/>
                <w:sz w:val="22"/>
                <w:szCs w:val="22"/>
              </w:rPr>
            </w:pPr>
          </w:p>
        </w:tc>
        <w:tc>
          <w:tcPr>
            <w:tcW w:w="0" w:type="auto"/>
          </w:tcPr>
          <w:p w14:paraId="71D66CF2" w14:textId="77777777" w:rsidR="007E3697" w:rsidRDefault="007E3697" w:rsidP="007E3697">
            <w:pPr>
              <w:spacing w:after="0"/>
              <w:jc w:val="right"/>
              <w:rPr>
                <w:rFonts w:cs="Calibri"/>
                <w:b/>
                <w:bCs/>
                <w:color w:val="000000"/>
                <w:sz w:val="22"/>
                <w:szCs w:val="22"/>
                <w:lang w:eastAsia="en-IE"/>
              </w:rPr>
            </w:pPr>
            <w:r>
              <w:rPr>
                <w:rFonts w:cs="Calibri"/>
                <w:b/>
                <w:bCs/>
                <w:color w:val="000000"/>
                <w:sz w:val="22"/>
                <w:szCs w:val="22"/>
              </w:rPr>
              <w:t>24639</w:t>
            </w:r>
          </w:p>
          <w:p w14:paraId="48F8E013" w14:textId="77777777" w:rsidR="007E3697" w:rsidRDefault="007E3697" w:rsidP="007E3697">
            <w:pPr>
              <w:jc w:val="right"/>
              <w:rPr>
                <w:rFonts w:cs="Calibri"/>
                <w:color w:val="000000"/>
                <w:sz w:val="22"/>
                <w:szCs w:val="22"/>
              </w:rPr>
            </w:pPr>
          </w:p>
        </w:tc>
        <w:tc>
          <w:tcPr>
            <w:tcW w:w="0" w:type="auto"/>
          </w:tcPr>
          <w:p w14:paraId="0EB90987" w14:textId="4A1E76E6" w:rsidR="007E3697" w:rsidRDefault="007E3697" w:rsidP="007E3697">
            <w:pPr>
              <w:jc w:val="right"/>
              <w:rPr>
                <w:rFonts w:cs="Calibri"/>
                <w:color w:val="000000"/>
                <w:sz w:val="22"/>
                <w:szCs w:val="22"/>
              </w:rPr>
            </w:pPr>
            <w:r>
              <w:rPr>
                <w:rFonts w:cs="Calibri"/>
                <w:b/>
                <w:bCs/>
                <w:color w:val="000000"/>
                <w:sz w:val="22"/>
                <w:szCs w:val="22"/>
              </w:rPr>
              <w:t>1489</w:t>
            </w:r>
          </w:p>
        </w:tc>
        <w:tc>
          <w:tcPr>
            <w:tcW w:w="1615" w:type="dxa"/>
          </w:tcPr>
          <w:p w14:paraId="0DC4407B" w14:textId="77777777" w:rsidR="007E3697" w:rsidRDefault="007E3697" w:rsidP="007E3697">
            <w:pPr>
              <w:spacing w:after="0"/>
              <w:jc w:val="right"/>
              <w:rPr>
                <w:rFonts w:cs="Calibri"/>
                <w:b/>
                <w:bCs/>
                <w:color w:val="000000"/>
                <w:sz w:val="22"/>
                <w:szCs w:val="22"/>
                <w:lang w:eastAsia="en-IE"/>
              </w:rPr>
            </w:pPr>
            <w:r>
              <w:rPr>
                <w:rFonts w:cs="Calibri"/>
                <w:b/>
                <w:bCs/>
                <w:color w:val="000000"/>
                <w:sz w:val="22"/>
                <w:szCs w:val="22"/>
              </w:rPr>
              <w:t>6.0%</w:t>
            </w:r>
          </w:p>
          <w:p w14:paraId="6BAF449A" w14:textId="77777777" w:rsidR="007E3697" w:rsidRDefault="007E3697" w:rsidP="007E3697">
            <w:pPr>
              <w:jc w:val="right"/>
              <w:rPr>
                <w:rFonts w:cs="Calibri"/>
                <w:color w:val="000000"/>
                <w:sz w:val="22"/>
                <w:szCs w:val="22"/>
              </w:rPr>
            </w:pPr>
          </w:p>
        </w:tc>
      </w:tr>
    </w:tbl>
    <w:p w14:paraId="11C24871" w14:textId="7CB0A648" w:rsidR="000B0FE6" w:rsidRPr="00611BF3" w:rsidRDefault="000B0FE6" w:rsidP="00B72A0D">
      <w:pPr>
        <w:rPr>
          <w:highlight w:val="green"/>
        </w:rPr>
      </w:pPr>
      <w:r w:rsidRPr="00611BF3">
        <w:rPr>
          <w:highlight w:val="green"/>
        </w:rPr>
        <w:br w:type="page"/>
      </w:r>
    </w:p>
    <w:p w14:paraId="011794A5" w14:textId="07DCB031" w:rsidR="000D5C5D" w:rsidRPr="00FE243A" w:rsidRDefault="00973B13" w:rsidP="00D2484D">
      <w:pPr>
        <w:pStyle w:val="Heading1"/>
      </w:pPr>
      <w:bookmarkStart w:id="69" w:name="_Toc146113874"/>
      <w:r w:rsidRPr="00FE243A">
        <w:lastRenderedPageBreak/>
        <w:t>Appendix B – Public bodies</w:t>
      </w:r>
      <w:bookmarkEnd w:id="69"/>
    </w:p>
    <w:p w14:paraId="7AEBF6B3" w14:textId="59C3792C" w:rsidR="008A0762" w:rsidRPr="00FE243A" w:rsidRDefault="008A0762" w:rsidP="00DA2B08"/>
    <w:p w14:paraId="04AFE297" w14:textId="6777376A" w:rsidR="001624B2" w:rsidRPr="00FE243A" w:rsidRDefault="008A0762" w:rsidP="001624B2">
      <w:pPr>
        <w:pStyle w:val="Heading2"/>
        <w:jc w:val="center"/>
        <w:rPr>
          <w:color w:val="000000" w:themeColor="text1"/>
        </w:rPr>
      </w:pPr>
      <w:bookmarkStart w:id="70" w:name="_Toc146113875"/>
      <w:r w:rsidRPr="00FE243A">
        <w:rPr>
          <w:color w:val="000000" w:themeColor="text1"/>
        </w:rPr>
        <w:t>Department of Agriculture, Food &amp; the Marine</w:t>
      </w:r>
      <w:bookmarkEnd w:id="70"/>
    </w:p>
    <w:tbl>
      <w:tblPr>
        <w:tblStyle w:val="TableGrid1"/>
        <w:tblpPr w:leftFromText="180" w:rightFromText="180" w:vertAnchor="text" w:horzAnchor="page" w:tblpX="511" w:tblpY="241"/>
        <w:tblW w:w="11325" w:type="dxa"/>
        <w:tblLayout w:type="fixed"/>
        <w:tblLook w:val="0020" w:firstRow="1" w:lastRow="0" w:firstColumn="0" w:lastColumn="0" w:noHBand="0" w:noVBand="0"/>
      </w:tblPr>
      <w:tblGrid>
        <w:gridCol w:w="2253"/>
        <w:gridCol w:w="1843"/>
        <w:gridCol w:w="1559"/>
        <w:gridCol w:w="1418"/>
        <w:gridCol w:w="1417"/>
        <w:gridCol w:w="1418"/>
        <w:gridCol w:w="1417"/>
      </w:tblGrid>
      <w:tr w:rsidR="00D2484D" w:rsidRPr="00611BF3" w14:paraId="5294944E" w14:textId="77777777" w:rsidTr="00985D19">
        <w:tc>
          <w:tcPr>
            <w:tcW w:w="2253" w:type="dxa"/>
          </w:tcPr>
          <w:p w14:paraId="26C5C848" w14:textId="77777777" w:rsidR="00D2484D" w:rsidRPr="00FE243A" w:rsidRDefault="00D2484D" w:rsidP="00D2484D">
            <w:pPr>
              <w:pStyle w:val="TableHead"/>
              <w:rPr>
                <w:sz w:val="22"/>
                <w:szCs w:val="22"/>
              </w:rPr>
            </w:pPr>
            <w:r w:rsidRPr="00FE243A">
              <w:rPr>
                <w:sz w:val="22"/>
                <w:szCs w:val="22"/>
              </w:rPr>
              <w:t>Public Body</w:t>
            </w:r>
          </w:p>
        </w:tc>
        <w:tc>
          <w:tcPr>
            <w:tcW w:w="1843" w:type="dxa"/>
          </w:tcPr>
          <w:p w14:paraId="4AC5F411" w14:textId="77777777" w:rsidR="00F516FE" w:rsidRPr="00FE243A" w:rsidRDefault="00D2484D" w:rsidP="00D2484D">
            <w:pPr>
              <w:pStyle w:val="TableHead"/>
              <w:rPr>
                <w:sz w:val="22"/>
                <w:szCs w:val="22"/>
              </w:rPr>
            </w:pPr>
            <w:r w:rsidRPr="00FE243A">
              <w:rPr>
                <w:sz w:val="22"/>
                <w:szCs w:val="22"/>
              </w:rPr>
              <w:t xml:space="preserve">Total </w:t>
            </w:r>
          </w:p>
          <w:p w14:paraId="01D47D4C" w14:textId="77777777" w:rsidR="00F516FE" w:rsidRPr="00FE243A" w:rsidRDefault="00D2484D" w:rsidP="00D2484D">
            <w:pPr>
              <w:pStyle w:val="TableHead"/>
              <w:rPr>
                <w:sz w:val="22"/>
                <w:szCs w:val="22"/>
              </w:rPr>
            </w:pPr>
            <w:r w:rsidRPr="00FE243A">
              <w:rPr>
                <w:sz w:val="22"/>
                <w:szCs w:val="22"/>
              </w:rPr>
              <w:t xml:space="preserve">number </w:t>
            </w:r>
          </w:p>
          <w:p w14:paraId="5EB3A691" w14:textId="77777777" w:rsidR="00F516FE" w:rsidRPr="00FE243A" w:rsidRDefault="00D2484D" w:rsidP="00D2484D">
            <w:pPr>
              <w:pStyle w:val="TableHead"/>
              <w:rPr>
                <w:sz w:val="22"/>
                <w:szCs w:val="22"/>
              </w:rPr>
            </w:pPr>
            <w:r w:rsidRPr="00FE243A">
              <w:rPr>
                <w:sz w:val="22"/>
                <w:szCs w:val="22"/>
              </w:rPr>
              <w:t xml:space="preserve">of </w:t>
            </w:r>
          </w:p>
          <w:p w14:paraId="0CA13FA3" w14:textId="2AC84CE6" w:rsidR="00D2484D" w:rsidRPr="00FE243A" w:rsidRDefault="00D2484D" w:rsidP="00D2484D">
            <w:pPr>
              <w:pStyle w:val="TableHead"/>
              <w:rPr>
                <w:sz w:val="22"/>
                <w:szCs w:val="22"/>
              </w:rPr>
            </w:pPr>
            <w:r w:rsidRPr="00FE243A">
              <w:rPr>
                <w:sz w:val="22"/>
                <w:szCs w:val="22"/>
              </w:rPr>
              <w:t>employees  202</w:t>
            </w:r>
            <w:r w:rsidR="00FE243A" w:rsidRPr="00FE243A">
              <w:rPr>
                <w:sz w:val="22"/>
                <w:szCs w:val="22"/>
              </w:rPr>
              <w:t>1</w:t>
            </w:r>
          </w:p>
        </w:tc>
        <w:tc>
          <w:tcPr>
            <w:tcW w:w="1559" w:type="dxa"/>
          </w:tcPr>
          <w:p w14:paraId="2112FCA6" w14:textId="77777777" w:rsidR="00D2484D" w:rsidRPr="00FE243A" w:rsidRDefault="00D2484D" w:rsidP="00D2484D">
            <w:pPr>
              <w:pStyle w:val="TableHead"/>
              <w:rPr>
                <w:sz w:val="22"/>
                <w:szCs w:val="22"/>
              </w:rPr>
            </w:pPr>
            <w:r w:rsidRPr="00FE243A">
              <w:rPr>
                <w:sz w:val="22"/>
                <w:szCs w:val="22"/>
              </w:rPr>
              <w:t xml:space="preserve">Number of employees reporting a disability </w:t>
            </w:r>
          </w:p>
          <w:p w14:paraId="70733B20" w14:textId="29CF4E9A" w:rsidR="00D2484D" w:rsidRPr="00FE243A" w:rsidRDefault="00D2484D" w:rsidP="00D2484D">
            <w:pPr>
              <w:pStyle w:val="TableHead"/>
              <w:rPr>
                <w:sz w:val="22"/>
                <w:szCs w:val="22"/>
              </w:rPr>
            </w:pPr>
            <w:r w:rsidRPr="00FE243A">
              <w:rPr>
                <w:sz w:val="22"/>
                <w:szCs w:val="22"/>
              </w:rPr>
              <w:t>202</w:t>
            </w:r>
            <w:r w:rsidR="00FE243A" w:rsidRPr="00FE243A">
              <w:rPr>
                <w:sz w:val="22"/>
                <w:szCs w:val="22"/>
              </w:rPr>
              <w:t>1</w:t>
            </w:r>
          </w:p>
        </w:tc>
        <w:tc>
          <w:tcPr>
            <w:tcW w:w="1418" w:type="dxa"/>
          </w:tcPr>
          <w:p w14:paraId="0FB03E21" w14:textId="77777777" w:rsidR="00D2484D" w:rsidRPr="00FE243A" w:rsidRDefault="00D2484D" w:rsidP="00D2484D">
            <w:pPr>
              <w:pStyle w:val="TableHead"/>
              <w:rPr>
                <w:sz w:val="22"/>
                <w:szCs w:val="22"/>
              </w:rPr>
            </w:pPr>
            <w:r w:rsidRPr="00FE243A">
              <w:rPr>
                <w:sz w:val="22"/>
                <w:szCs w:val="22"/>
              </w:rPr>
              <w:t>% of employees reporting a</w:t>
            </w:r>
          </w:p>
          <w:p w14:paraId="774C2312" w14:textId="5C6D4276" w:rsidR="00D2484D" w:rsidRPr="00FE243A" w:rsidRDefault="00D2484D" w:rsidP="00D2484D">
            <w:pPr>
              <w:pStyle w:val="TableHead"/>
              <w:rPr>
                <w:sz w:val="22"/>
                <w:szCs w:val="22"/>
              </w:rPr>
            </w:pPr>
            <w:r w:rsidRPr="00FE243A">
              <w:rPr>
                <w:sz w:val="22"/>
                <w:szCs w:val="22"/>
              </w:rPr>
              <w:t>disability 202</w:t>
            </w:r>
            <w:r w:rsidR="00FE243A" w:rsidRPr="00FE243A">
              <w:rPr>
                <w:sz w:val="22"/>
                <w:szCs w:val="22"/>
              </w:rPr>
              <w:t>1</w:t>
            </w:r>
          </w:p>
        </w:tc>
        <w:tc>
          <w:tcPr>
            <w:tcW w:w="1417" w:type="dxa"/>
          </w:tcPr>
          <w:p w14:paraId="32DD95D9" w14:textId="77777777" w:rsidR="006C3820" w:rsidRPr="00FE243A" w:rsidRDefault="00D2484D" w:rsidP="00D2484D">
            <w:pPr>
              <w:pStyle w:val="TableHead"/>
              <w:rPr>
                <w:sz w:val="22"/>
                <w:szCs w:val="22"/>
              </w:rPr>
            </w:pPr>
            <w:r w:rsidRPr="00FE243A">
              <w:rPr>
                <w:sz w:val="22"/>
                <w:szCs w:val="22"/>
              </w:rPr>
              <w:t xml:space="preserve">Total number </w:t>
            </w:r>
          </w:p>
          <w:p w14:paraId="3EEA5463" w14:textId="48934496" w:rsidR="00D2484D" w:rsidRPr="00FE243A" w:rsidRDefault="00D2484D" w:rsidP="00D2484D">
            <w:pPr>
              <w:pStyle w:val="TableHead"/>
              <w:rPr>
                <w:sz w:val="22"/>
                <w:szCs w:val="22"/>
              </w:rPr>
            </w:pPr>
            <w:r w:rsidRPr="00FE243A">
              <w:rPr>
                <w:sz w:val="22"/>
                <w:szCs w:val="22"/>
              </w:rPr>
              <w:t>of employees  202</w:t>
            </w:r>
            <w:r w:rsidR="00FE243A" w:rsidRPr="00FE243A">
              <w:rPr>
                <w:sz w:val="22"/>
                <w:szCs w:val="22"/>
              </w:rPr>
              <w:t>2</w:t>
            </w:r>
          </w:p>
        </w:tc>
        <w:tc>
          <w:tcPr>
            <w:tcW w:w="1418" w:type="dxa"/>
          </w:tcPr>
          <w:p w14:paraId="3EB434B4" w14:textId="2B7BB381" w:rsidR="00D2484D" w:rsidRPr="00FE243A" w:rsidRDefault="009112F8" w:rsidP="00D2484D">
            <w:pPr>
              <w:pStyle w:val="TableHead"/>
              <w:rPr>
                <w:sz w:val="22"/>
                <w:szCs w:val="22"/>
              </w:rPr>
            </w:pPr>
            <w:r w:rsidRPr="00FE243A">
              <w:rPr>
                <w:sz w:val="22"/>
                <w:szCs w:val="22"/>
              </w:rPr>
              <w:t xml:space="preserve">Number </w:t>
            </w:r>
            <w:r w:rsidR="00D2484D" w:rsidRPr="00FE243A">
              <w:rPr>
                <w:sz w:val="22"/>
                <w:szCs w:val="22"/>
              </w:rPr>
              <w:t xml:space="preserve">of employees reporting a disability </w:t>
            </w:r>
          </w:p>
          <w:p w14:paraId="2256B5F5" w14:textId="07CB3875" w:rsidR="00D2484D" w:rsidRPr="00FE243A" w:rsidRDefault="00D2484D" w:rsidP="00D2484D">
            <w:pPr>
              <w:pStyle w:val="TableHead"/>
              <w:rPr>
                <w:sz w:val="22"/>
                <w:szCs w:val="22"/>
              </w:rPr>
            </w:pPr>
            <w:r w:rsidRPr="00FE243A">
              <w:rPr>
                <w:sz w:val="22"/>
                <w:szCs w:val="22"/>
              </w:rPr>
              <w:t>202</w:t>
            </w:r>
            <w:r w:rsidR="00FE243A" w:rsidRPr="00FE243A">
              <w:rPr>
                <w:sz w:val="22"/>
                <w:szCs w:val="22"/>
              </w:rPr>
              <w:t>2</w:t>
            </w:r>
          </w:p>
        </w:tc>
        <w:tc>
          <w:tcPr>
            <w:tcW w:w="1417" w:type="dxa"/>
          </w:tcPr>
          <w:p w14:paraId="738F464D" w14:textId="0DEFCA70" w:rsidR="00D2484D" w:rsidRPr="00FE243A" w:rsidRDefault="00D2484D" w:rsidP="005C1532">
            <w:pPr>
              <w:pStyle w:val="TableHead"/>
              <w:rPr>
                <w:sz w:val="22"/>
                <w:szCs w:val="22"/>
              </w:rPr>
            </w:pPr>
            <w:r w:rsidRPr="00FE243A">
              <w:rPr>
                <w:sz w:val="22"/>
                <w:szCs w:val="22"/>
              </w:rPr>
              <w:t>% of employees reporting a</w:t>
            </w:r>
          </w:p>
          <w:p w14:paraId="5A88F10E" w14:textId="6146F0CF" w:rsidR="00D2484D" w:rsidRPr="00FE243A" w:rsidRDefault="00D2484D" w:rsidP="00D2484D">
            <w:pPr>
              <w:pStyle w:val="TableHead"/>
              <w:rPr>
                <w:sz w:val="24"/>
              </w:rPr>
            </w:pPr>
            <w:r w:rsidRPr="00FE243A">
              <w:rPr>
                <w:sz w:val="22"/>
                <w:szCs w:val="22"/>
              </w:rPr>
              <w:t>disability 202</w:t>
            </w:r>
            <w:r w:rsidR="00FE243A" w:rsidRPr="00FE243A">
              <w:rPr>
                <w:sz w:val="22"/>
                <w:szCs w:val="22"/>
              </w:rPr>
              <w:t>2</w:t>
            </w:r>
          </w:p>
        </w:tc>
      </w:tr>
      <w:tr w:rsidR="00D2484D" w:rsidRPr="00611BF3" w14:paraId="3BEAD1DB" w14:textId="77777777" w:rsidTr="00985D19">
        <w:tc>
          <w:tcPr>
            <w:tcW w:w="2253" w:type="dxa"/>
          </w:tcPr>
          <w:p w14:paraId="290A5598" w14:textId="77777777" w:rsidR="00D2484D" w:rsidRPr="00FE243A" w:rsidRDefault="00D2484D" w:rsidP="00D2484D">
            <w:pPr>
              <w:pStyle w:val="TableHead"/>
              <w:rPr>
                <w:b w:val="0"/>
                <w:sz w:val="22"/>
                <w:szCs w:val="22"/>
              </w:rPr>
            </w:pPr>
            <w:r w:rsidRPr="00FE243A">
              <w:rPr>
                <w:rFonts w:cs="Calibri"/>
                <w:b w:val="0"/>
                <w:color w:val="000000"/>
                <w:sz w:val="22"/>
                <w:szCs w:val="22"/>
              </w:rPr>
              <w:t>Bord Bia</w:t>
            </w:r>
          </w:p>
        </w:tc>
        <w:tc>
          <w:tcPr>
            <w:tcW w:w="1843" w:type="dxa"/>
          </w:tcPr>
          <w:p w14:paraId="13020726" w14:textId="77777777" w:rsidR="00FE243A" w:rsidRPr="00FE243A" w:rsidRDefault="00FE243A" w:rsidP="00FE243A">
            <w:pPr>
              <w:spacing w:after="0"/>
              <w:jc w:val="right"/>
              <w:rPr>
                <w:rFonts w:cs="Calibri"/>
                <w:color w:val="000000"/>
                <w:sz w:val="22"/>
                <w:szCs w:val="22"/>
                <w:lang w:eastAsia="en-IE"/>
              </w:rPr>
            </w:pPr>
            <w:r w:rsidRPr="00FE243A">
              <w:rPr>
                <w:rFonts w:cs="Calibri"/>
                <w:color w:val="000000"/>
                <w:sz w:val="22"/>
                <w:szCs w:val="22"/>
              </w:rPr>
              <w:t>150</w:t>
            </w:r>
          </w:p>
          <w:p w14:paraId="0C827938" w14:textId="67BFF796" w:rsidR="00D2484D" w:rsidRPr="00FE243A" w:rsidRDefault="00D2484D" w:rsidP="00D2484D">
            <w:pPr>
              <w:pStyle w:val="TableHead"/>
              <w:jc w:val="right"/>
              <w:rPr>
                <w:b w:val="0"/>
                <w:sz w:val="22"/>
                <w:szCs w:val="22"/>
              </w:rPr>
            </w:pPr>
          </w:p>
        </w:tc>
        <w:tc>
          <w:tcPr>
            <w:tcW w:w="1559" w:type="dxa"/>
          </w:tcPr>
          <w:p w14:paraId="04711A63" w14:textId="4B07D2D0" w:rsidR="00D2484D" w:rsidRPr="00FE243A" w:rsidRDefault="00FE243A" w:rsidP="00D2484D">
            <w:pPr>
              <w:pStyle w:val="TableHead"/>
              <w:jc w:val="right"/>
              <w:rPr>
                <w:b w:val="0"/>
                <w:sz w:val="22"/>
                <w:szCs w:val="22"/>
              </w:rPr>
            </w:pPr>
            <w:r w:rsidRPr="00FE243A">
              <w:rPr>
                <w:rFonts w:cs="Calibri"/>
                <w:b w:val="0"/>
                <w:color w:val="000000"/>
                <w:sz w:val="22"/>
                <w:szCs w:val="22"/>
              </w:rPr>
              <w:t>3</w:t>
            </w:r>
          </w:p>
        </w:tc>
        <w:tc>
          <w:tcPr>
            <w:tcW w:w="1418" w:type="dxa"/>
          </w:tcPr>
          <w:p w14:paraId="020DEE8F" w14:textId="4F93D8D2" w:rsidR="00D2484D" w:rsidRPr="00FE243A" w:rsidRDefault="00FE243A" w:rsidP="00D2484D">
            <w:pPr>
              <w:pStyle w:val="TableHead"/>
              <w:jc w:val="right"/>
              <w:rPr>
                <w:b w:val="0"/>
                <w:sz w:val="22"/>
                <w:szCs w:val="22"/>
              </w:rPr>
            </w:pPr>
            <w:r w:rsidRPr="00FE243A">
              <w:rPr>
                <w:rFonts w:cs="Calibri"/>
                <w:b w:val="0"/>
                <w:color w:val="000000"/>
                <w:sz w:val="22"/>
                <w:szCs w:val="22"/>
              </w:rPr>
              <w:t>2.0%</w:t>
            </w:r>
          </w:p>
        </w:tc>
        <w:tc>
          <w:tcPr>
            <w:tcW w:w="1417" w:type="dxa"/>
          </w:tcPr>
          <w:p w14:paraId="0F7B8895" w14:textId="77777777" w:rsidR="00FE243A" w:rsidRPr="00FE243A" w:rsidRDefault="00FE243A" w:rsidP="00FE243A">
            <w:pPr>
              <w:spacing w:after="0"/>
              <w:jc w:val="right"/>
              <w:rPr>
                <w:rFonts w:cs="Calibri"/>
                <w:color w:val="000000"/>
                <w:sz w:val="22"/>
                <w:szCs w:val="22"/>
                <w:lang w:eastAsia="en-IE"/>
              </w:rPr>
            </w:pPr>
            <w:r w:rsidRPr="00FE243A">
              <w:rPr>
                <w:rFonts w:cs="Calibri"/>
                <w:color w:val="000000"/>
                <w:sz w:val="22"/>
                <w:szCs w:val="22"/>
              </w:rPr>
              <w:t>144</w:t>
            </w:r>
          </w:p>
          <w:p w14:paraId="6B8585F7" w14:textId="79C8EB14" w:rsidR="00D2484D" w:rsidRPr="00FE243A" w:rsidRDefault="00D2484D" w:rsidP="00D2484D">
            <w:pPr>
              <w:jc w:val="right"/>
              <w:rPr>
                <w:sz w:val="22"/>
                <w:szCs w:val="22"/>
              </w:rPr>
            </w:pPr>
          </w:p>
        </w:tc>
        <w:tc>
          <w:tcPr>
            <w:tcW w:w="1418" w:type="dxa"/>
          </w:tcPr>
          <w:p w14:paraId="7C714067" w14:textId="062F61B0" w:rsidR="00D2484D" w:rsidRPr="00FE243A" w:rsidRDefault="00FE243A" w:rsidP="00D2484D">
            <w:pPr>
              <w:pStyle w:val="TableHead"/>
              <w:jc w:val="right"/>
              <w:rPr>
                <w:b w:val="0"/>
                <w:sz w:val="22"/>
                <w:szCs w:val="22"/>
              </w:rPr>
            </w:pPr>
            <w:r w:rsidRPr="00FE243A">
              <w:rPr>
                <w:b w:val="0"/>
                <w:sz w:val="22"/>
                <w:szCs w:val="22"/>
              </w:rPr>
              <w:t>2</w:t>
            </w:r>
          </w:p>
        </w:tc>
        <w:tc>
          <w:tcPr>
            <w:tcW w:w="1417" w:type="dxa"/>
          </w:tcPr>
          <w:p w14:paraId="39A3E21B" w14:textId="77777777" w:rsidR="00FE243A" w:rsidRPr="00FE243A" w:rsidRDefault="00FE243A" w:rsidP="00FE243A">
            <w:pPr>
              <w:spacing w:after="0"/>
              <w:jc w:val="right"/>
              <w:rPr>
                <w:rFonts w:cs="Calibri"/>
                <w:color w:val="000000"/>
                <w:sz w:val="22"/>
                <w:szCs w:val="22"/>
                <w:lang w:eastAsia="en-IE"/>
              </w:rPr>
            </w:pPr>
            <w:r w:rsidRPr="00FE243A">
              <w:rPr>
                <w:rFonts w:cs="Calibri"/>
                <w:color w:val="000000"/>
                <w:sz w:val="22"/>
                <w:szCs w:val="22"/>
              </w:rPr>
              <w:t>1.4%</w:t>
            </w:r>
          </w:p>
          <w:p w14:paraId="1FC0A0F0" w14:textId="51B7C0C1" w:rsidR="00D2484D" w:rsidRPr="00FE243A" w:rsidRDefault="00D2484D" w:rsidP="00D2484D">
            <w:pPr>
              <w:pStyle w:val="TableHead"/>
              <w:jc w:val="right"/>
              <w:rPr>
                <w:b w:val="0"/>
                <w:sz w:val="22"/>
                <w:szCs w:val="22"/>
              </w:rPr>
            </w:pPr>
          </w:p>
        </w:tc>
      </w:tr>
      <w:tr w:rsidR="00FE243A" w:rsidRPr="00611BF3" w14:paraId="65A3D5EE" w14:textId="77777777" w:rsidTr="00985D19">
        <w:tc>
          <w:tcPr>
            <w:tcW w:w="2253" w:type="dxa"/>
          </w:tcPr>
          <w:p w14:paraId="3A81A104" w14:textId="77777777" w:rsidR="00FE243A" w:rsidRPr="00FE243A" w:rsidRDefault="00FE243A" w:rsidP="00FE243A">
            <w:pPr>
              <w:pStyle w:val="TableHead"/>
              <w:rPr>
                <w:b w:val="0"/>
                <w:sz w:val="22"/>
                <w:szCs w:val="22"/>
              </w:rPr>
            </w:pPr>
            <w:r w:rsidRPr="00FE243A">
              <w:rPr>
                <w:rFonts w:cs="Calibri"/>
                <w:b w:val="0"/>
                <w:color w:val="000000"/>
                <w:sz w:val="22"/>
                <w:szCs w:val="22"/>
              </w:rPr>
              <w:t>Bord Iascaigh Mhara</w:t>
            </w:r>
          </w:p>
        </w:tc>
        <w:tc>
          <w:tcPr>
            <w:tcW w:w="1843" w:type="dxa"/>
          </w:tcPr>
          <w:p w14:paraId="1A0AE3DB" w14:textId="335F8D64" w:rsidR="00FE243A" w:rsidRPr="00FE243A" w:rsidRDefault="00FE243A" w:rsidP="00FE243A">
            <w:pPr>
              <w:pStyle w:val="TableHead"/>
              <w:jc w:val="right"/>
              <w:rPr>
                <w:b w:val="0"/>
                <w:bCs/>
                <w:sz w:val="22"/>
                <w:szCs w:val="22"/>
              </w:rPr>
            </w:pPr>
            <w:r w:rsidRPr="00FE243A">
              <w:rPr>
                <w:rFonts w:cs="Calibri"/>
                <w:b w:val="0"/>
                <w:bCs/>
                <w:color w:val="000000"/>
                <w:sz w:val="22"/>
                <w:szCs w:val="22"/>
              </w:rPr>
              <w:t>124</w:t>
            </w:r>
          </w:p>
        </w:tc>
        <w:tc>
          <w:tcPr>
            <w:tcW w:w="1559" w:type="dxa"/>
          </w:tcPr>
          <w:p w14:paraId="2ED41463" w14:textId="679F429D" w:rsidR="00FE243A" w:rsidRPr="00FE243A" w:rsidRDefault="00FE243A" w:rsidP="00FE243A">
            <w:pPr>
              <w:pStyle w:val="TableHead"/>
              <w:jc w:val="right"/>
              <w:rPr>
                <w:b w:val="0"/>
                <w:sz w:val="22"/>
                <w:szCs w:val="22"/>
              </w:rPr>
            </w:pPr>
            <w:r w:rsidRPr="00FE243A">
              <w:rPr>
                <w:rFonts w:cs="Calibri"/>
                <w:b w:val="0"/>
                <w:color w:val="000000"/>
                <w:sz w:val="22"/>
                <w:szCs w:val="22"/>
              </w:rPr>
              <w:t>14</w:t>
            </w:r>
          </w:p>
        </w:tc>
        <w:tc>
          <w:tcPr>
            <w:tcW w:w="1418" w:type="dxa"/>
          </w:tcPr>
          <w:p w14:paraId="191EECEA" w14:textId="6029F1D1" w:rsidR="00FE243A" w:rsidRPr="00FE243A" w:rsidRDefault="00FE243A" w:rsidP="00FE243A">
            <w:pPr>
              <w:pStyle w:val="TableHead"/>
              <w:jc w:val="right"/>
              <w:rPr>
                <w:b w:val="0"/>
                <w:sz w:val="22"/>
                <w:szCs w:val="22"/>
              </w:rPr>
            </w:pPr>
            <w:r w:rsidRPr="00FE243A">
              <w:rPr>
                <w:rFonts w:cs="Calibri"/>
                <w:b w:val="0"/>
                <w:color w:val="000000"/>
                <w:sz w:val="22"/>
                <w:szCs w:val="22"/>
              </w:rPr>
              <w:t>11.3%</w:t>
            </w:r>
          </w:p>
        </w:tc>
        <w:tc>
          <w:tcPr>
            <w:tcW w:w="1417" w:type="dxa"/>
          </w:tcPr>
          <w:p w14:paraId="0F32E1E6"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126</w:t>
            </w:r>
          </w:p>
          <w:p w14:paraId="52738368" w14:textId="00171B2D" w:rsidR="00FE243A" w:rsidRPr="00FE243A" w:rsidRDefault="00FE243A" w:rsidP="00FE243A">
            <w:pPr>
              <w:jc w:val="right"/>
              <w:rPr>
                <w:sz w:val="22"/>
                <w:szCs w:val="22"/>
              </w:rPr>
            </w:pPr>
          </w:p>
        </w:tc>
        <w:tc>
          <w:tcPr>
            <w:tcW w:w="1418" w:type="dxa"/>
          </w:tcPr>
          <w:p w14:paraId="5EF69FB9"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13</w:t>
            </w:r>
          </w:p>
          <w:p w14:paraId="348501AD" w14:textId="0535E822" w:rsidR="00FE243A" w:rsidRPr="00FE243A" w:rsidRDefault="00FE243A" w:rsidP="00FE243A">
            <w:pPr>
              <w:pStyle w:val="TableHead"/>
              <w:jc w:val="right"/>
              <w:rPr>
                <w:b w:val="0"/>
                <w:sz w:val="22"/>
                <w:szCs w:val="22"/>
              </w:rPr>
            </w:pPr>
          </w:p>
        </w:tc>
        <w:tc>
          <w:tcPr>
            <w:tcW w:w="1417" w:type="dxa"/>
          </w:tcPr>
          <w:p w14:paraId="71D54964"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10.3%</w:t>
            </w:r>
          </w:p>
          <w:p w14:paraId="6D9E1BF7" w14:textId="06946010" w:rsidR="00FE243A" w:rsidRPr="00FE243A" w:rsidRDefault="00FE243A" w:rsidP="00FE243A">
            <w:pPr>
              <w:pStyle w:val="TableHead"/>
              <w:jc w:val="right"/>
              <w:rPr>
                <w:b w:val="0"/>
                <w:sz w:val="22"/>
                <w:szCs w:val="22"/>
              </w:rPr>
            </w:pPr>
          </w:p>
        </w:tc>
      </w:tr>
      <w:tr w:rsidR="00FE243A" w:rsidRPr="00611BF3" w14:paraId="73B6A991" w14:textId="77777777" w:rsidTr="00985D19">
        <w:tc>
          <w:tcPr>
            <w:tcW w:w="2253" w:type="dxa"/>
          </w:tcPr>
          <w:p w14:paraId="5952E766" w14:textId="77777777" w:rsidR="00FE243A" w:rsidRPr="00FE243A" w:rsidRDefault="00FE243A" w:rsidP="00FE243A">
            <w:pPr>
              <w:pStyle w:val="TableHead"/>
              <w:rPr>
                <w:b w:val="0"/>
                <w:sz w:val="22"/>
                <w:szCs w:val="22"/>
              </w:rPr>
            </w:pPr>
            <w:r w:rsidRPr="00FE243A">
              <w:rPr>
                <w:rFonts w:cs="Calibri"/>
                <w:b w:val="0"/>
                <w:color w:val="000000"/>
                <w:sz w:val="22"/>
                <w:szCs w:val="22"/>
              </w:rPr>
              <w:t>Coillte</w:t>
            </w:r>
          </w:p>
        </w:tc>
        <w:tc>
          <w:tcPr>
            <w:tcW w:w="1843" w:type="dxa"/>
          </w:tcPr>
          <w:p w14:paraId="5C840906" w14:textId="5462DE96" w:rsidR="00FE243A" w:rsidRPr="00FE243A" w:rsidRDefault="00FE243A" w:rsidP="00FE243A">
            <w:pPr>
              <w:pStyle w:val="TableHead"/>
              <w:jc w:val="right"/>
              <w:rPr>
                <w:b w:val="0"/>
                <w:bCs/>
                <w:sz w:val="22"/>
                <w:szCs w:val="22"/>
              </w:rPr>
            </w:pPr>
            <w:r w:rsidRPr="00FE243A">
              <w:rPr>
                <w:rFonts w:cs="Calibri"/>
                <w:b w:val="0"/>
                <w:bCs/>
                <w:color w:val="000000"/>
                <w:sz w:val="22"/>
                <w:szCs w:val="22"/>
              </w:rPr>
              <w:t>444</w:t>
            </w:r>
          </w:p>
        </w:tc>
        <w:tc>
          <w:tcPr>
            <w:tcW w:w="1559" w:type="dxa"/>
          </w:tcPr>
          <w:p w14:paraId="505B0445" w14:textId="0ECB4E20" w:rsidR="00FE243A" w:rsidRPr="00FE243A" w:rsidRDefault="00FE243A" w:rsidP="00FE243A">
            <w:pPr>
              <w:pStyle w:val="TableHead"/>
              <w:jc w:val="right"/>
              <w:rPr>
                <w:b w:val="0"/>
                <w:sz w:val="22"/>
                <w:szCs w:val="22"/>
              </w:rPr>
            </w:pPr>
            <w:r w:rsidRPr="00FE243A">
              <w:rPr>
                <w:rFonts w:cs="Calibri"/>
                <w:b w:val="0"/>
                <w:color w:val="000000"/>
                <w:sz w:val="22"/>
                <w:szCs w:val="22"/>
              </w:rPr>
              <w:t>15</w:t>
            </w:r>
          </w:p>
        </w:tc>
        <w:tc>
          <w:tcPr>
            <w:tcW w:w="1418" w:type="dxa"/>
          </w:tcPr>
          <w:p w14:paraId="4EBFA3C8" w14:textId="4EFD2E2D" w:rsidR="00FE243A" w:rsidRPr="00FE243A" w:rsidRDefault="00FE243A" w:rsidP="00FE243A">
            <w:pPr>
              <w:pStyle w:val="TableHead"/>
              <w:jc w:val="right"/>
              <w:rPr>
                <w:b w:val="0"/>
                <w:sz w:val="22"/>
                <w:szCs w:val="22"/>
              </w:rPr>
            </w:pPr>
            <w:r w:rsidRPr="00FE243A">
              <w:rPr>
                <w:rFonts w:cs="Calibri"/>
                <w:b w:val="0"/>
                <w:color w:val="000000"/>
                <w:sz w:val="22"/>
                <w:szCs w:val="22"/>
              </w:rPr>
              <w:t>3.4%</w:t>
            </w:r>
          </w:p>
        </w:tc>
        <w:tc>
          <w:tcPr>
            <w:tcW w:w="1417" w:type="dxa"/>
          </w:tcPr>
          <w:p w14:paraId="681AD275" w14:textId="77777777" w:rsidR="00FE243A" w:rsidRDefault="00FE243A" w:rsidP="00FE243A">
            <w:pPr>
              <w:spacing w:after="0"/>
              <w:jc w:val="right"/>
              <w:rPr>
                <w:rFonts w:cs="Calibri"/>
                <w:color w:val="000000"/>
                <w:sz w:val="22"/>
                <w:szCs w:val="22"/>
                <w:lang w:eastAsia="en-IE"/>
              </w:rPr>
            </w:pPr>
            <w:r>
              <w:rPr>
                <w:rFonts w:cs="Calibri"/>
                <w:color w:val="000000"/>
                <w:sz w:val="22"/>
                <w:szCs w:val="22"/>
              </w:rPr>
              <w:t>460</w:t>
            </w:r>
          </w:p>
          <w:p w14:paraId="28FB0BE5" w14:textId="69110044" w:rsidR="00FE243A" w:rsidRPr="00FE243A" w:rsidRDefault="00FE243A" w:rsidP="00FE243A">
            <w:pPr>
              <w:jc w:val="right"/>
              <w:rPr>
                <w:sz w:val="22"/>
                <w:szCs w:val="22"/>
              </w:rPr>
            </w:pPr>
          </w:p>
        </w:tc>
        <w:tc>
          <w:tcPr>
            <w:tcW w:w="1418" w:type="dxa"/>
          </w:tcPr>
          <w:p w14:paraId="6FFBB9C4"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18</w:t>
            </w:r>
          </w:p>
          <w:p w14:paraId="42041AAC" w14:textId="17B72B9E" w:rsidR="00FE243A" w:rsidRPr="00FE243A" w:rsidRDefault="00FE243A" w:rsidP="00FE243A">
            <w:pPr>
              <w:pStyle w:val="TableHead"/>
              <w:jc w:val="right"/>
              <w:rPr>
                <w:b w:val="0"/>
                <w:sz w:val="22"/>
                <w:szCs w:val="22"/>
              </w:rPr>
            </w:pPr>
          </w:p>
        </w:tc>
        <w:tc>
          <w:tcPr>
            <w:tcW w:w="1417" w:type="dxa"/>
          </w:tcPr>
          <w:p w14:paraId="0C8FD727" w14:textId="77777777" w:rsidR="00FE243A" w:rsidRDefault="00FE243A" w:rsidP="00FE243A">
            <w:pPr>
              <w:spacing w:after="0"/>
              <w:jc w:val="right"/>
              <w:rPr>
                <w:rFonts w:cs="Calibri"/>
                <w:color w:val="000000"/>
                <w:sz w:val="22"/>
                <w:szCs w:val="22"/>
                <w:lang w:eastAsia="en-IE"/>
              </w:rPr>
            </w:pPr>
            <w:r>
              <w:rPr>
                <w:rFonts w:cs="Calibri"/>
                <w:color w:val="000000"/>
                <w:sz w:val="22"/>
                <w:szCs w:val="22"/>
              </w:rPr>
              <w:t>3.9%</w:t>
            </w:r>
          </w:p>
          <w:p w14:paraId="32800117" w14:textId="117A3104" w:rsidR="00FE243A" w:rsidRPr="00FE243A" w:rsidRDefault="00FE243A" w:rsidP="00FE243A">
            <w:pPr>
              <w:pStyle w:val="TableHead"/>
              <w:jc w:val="right"/>
              <w:rPr>
                <w:b w:val="0"/>
                <w:sz w:val="22"/>
                <w:szCs w:val="22"/>
              </w:rPr>
            </w:pPr>
          </w:p>
        </w:tc>
      </w:tr>
      <w:tr w:rsidR="00FE243A" w:rsidRPr="00611BF3" w14:paraId="27F49A04" w14:textId="77777777" w:rsidTr="00985D19">
        <w:tc>
          <w:tcPr>
            <w:tcW w:w="2253" w:type="dxa"/>
          </w:tcPr>
          <w:p w14:paraId="41941431" w14:textId="77777777" w:rsidR="00FE243A" w:rsidRPr="00FE243A" w:rsidRDefault="00FE243A" w:rsidP="00FE243A">
            <w:pPr>
              <w:pStyle w:val="TableHead"/>
              <w:rPr>
                <w:b w:val="0"/>
                <w:sz w:val="22"/>
                <w:szCs w:val="22"/>
              </w:rPr>
            </w:pPr>
            <w:r w:rsidRPr="00FE243A">
              <w:rPr>
                <w:rFonts w:cs="Calibri"/>
                <w:b w:val="0"/>
                <w:color w:val="000000"/>
                <w:sz w:val="22"/>
                <w:szCs w:val="22"/>
              </w:rPr>
              <w:t>Horse Racing Ireland</w:t>
            </w:r>
          </w:p>
        </w:tc>
        <w:tc>
          <w:tcPr>
            <w:tcW w:w="1843" w:type="dxa"/>
          </w:tcPr>
          <w:p w14:paraId="68D760A8" w14:textId="763124A0" w:rsidR="00FE243A" w:rsidRPr="00FE243A" w:rsidRDefault="00FE243A" w:rsidP="00FE243A">
            <w:pPr>
              <w:pStyle w:val="TableHead"/>
              <w:jc w:val="right"/>
              <w:rPr>
                <w:b w:val="0"/>
                <w:bCs/>
                <w:sz w:val="22"/>
                <w:szCs w:val="22"/>
              </w:rPr>
            </w:pPr>
            <w:r w:rsidRPr="00FE243A">
              <w:rPr>
                <w:rFonts w:cs="Calibri"/>
                <w:b w:val="0"/>
                <w:bCs/>
                <w:color w:val="000000"/>
                <w:sz w:val="22"/>
                <w:szCs w:val="22"/>
              </w:rPr>
              <w:t>225</w:t>
            </w:r>
          </w:p>
        </w:tc>
        <w:tc>
          <w:tcPr>
            <w:tcW w:w="1559" w:type="dxa"/>
          </w:tcPr>
          <w:p w14:paraId="29A40A77" w14:textId="6F7F4F01" w:rsidR="00FE243A" w:rsidRPr="00FE243A" w:rsidRDefault="00FE243A" w:rsidP="00FE243A">
            <w:pPr>
              <w:pStyle w:val="TableHead"/>
              <w:jc w:val="right"/>
              <w:rPr>
                <w:b w:val="0"/>
                <w:sz w:val="22"/>
                <w:szCs w:val="22"/>
              </w:rPr>
            </w:pPr>
            <w:r w:rsidRPr="00FE243A">
              <w:rPr>
                <w:rFonts w:cs="Calibri"/>
                <w:b w:val="0"/>
                <w:color w:val="000000"/>
                <w:sz w:val="22"/>
                <w:szCs w:val="22"/>
              </w:rPr>
              <w:t>8</w:t>
            </w:r>
          </w:p>
        </w:tc>
        <w:tc>
          <w:tcPr>
            <w:tcW w:w="1418" w:type="dxa"/>
          </w:tcPr>
          <w:p w14:paraId="15322D42" w14:textId="1DC31F1E" w:rsidR="00FE243A" w:rsidRPr="00FE243A" w:rsidRDefault="00FE243A" w:rsidP="00FE243A">
            <w:pPr>
              <w:pStyle w:val="TableHead"/>
              <w:jc w:val="right"/>
              <w:rPr>
                <w:b w:val="0"/>
                <w:sz w:val="22"/>
                <w:szCs w:val="22"/>
              </w:rPr>
            </w:pPr>
            <w:r w:rsidRPr="00FE243A">
              <w:rPr>
                <w:rFonts w:cs="Calibri"/>
                <w:b w:val="0"/>
                <w:color w:val="000000"/>
                <w:sz w:val="22"/>
                <w:szCs w:val="22"/>
              </w:rPr>
              <w:t>3.6%</w:t>
            </w:r>
          </w:p>
        </w:tc>
        <w:tc>
          <w:tcPr>
            <w:tcW w:w="1417" w:type="dxa"/>
          </w:tcPr>
          <w:p w14:paraId="57E1F892" w14:textId="77777777" w:rsidR="00FE243A" w:rsidRDefault="00FE243A" w:rsidP="00FE243A">
            <w:pPr>
              <w:spacing w:after="0"/>
              <w:jc w:val="right"/>
              <w:rPr>
                <w:rFonts w:cs="Calibri"/>
                <w:color w:val="000000"/>
                <w:sz w:val="22"/>
                <w:szCs w:val="22"/>
                <w:lang w:eastAsia="en-IE"/>
              </w:rPr>
            </w:pPr>
            <w:r>
              <w:rPr>
                <w:rFonts w:cs="Calibri"/>
                <w:color w:val="000000"/>
                <w:sz w:val="22"/>
                <w:szCs w:val="22"/>
              </w:rPr>
              <w:t>209</w:t>
            </w:r>
          </w:p>
          <w:p w14:paraId="40FEEF07" w14:textId="42592812" w:rsidR="00FE243A" w:rsidRPr="00FE243A" w:rsidRDefault="00FE243A" w:rsidP="00FE243A">
            <w:pPr>
              <w:jc w:val="right"/>
              <w:rPr>
                <w:sz w:val="22"/>
                <w:szCs w:val="22"/>
              </w:rPr>
            </w:pPr>
          </w:p>
        </w:tc>
        <w:tc>
          <w:tcPr>
            <w:tcW w:w="1418" w:type="dxa"/>
          </w:tcPr>
          <w:p w14:paraId="47114E66" w14:textId="77777777" w:rsidR="00FE243A" w:rsidRDefault="00FE243A" w:rsidP="00FE243A">
            <w:pPr>
              <w:spacing w:after="0"/>
              <w:jc w:val="right"/>
              <w:rPr>
                <w:rFonts w:cs="Calibri"/>
                <w:color w:val="000000"/>
                <w:sz w:val="22"/>
                <w:szCs w:val="22"/>
                <w:lang w:eastAsia="en-IE"/>
              </w:rPr>
            </w:pPr>
            <w:r>
              <w:rPr>
                <w:rFonts w:cs="Calibri"/>
                <w:color w:val="000000"/>
                <w:sz w:val="22"/>
                <w:szCs w:val="22"/>
              </w:rPr>
              <w:t>8</w:t>
            </w:r>
          </w:p>
          <w:p w14:paraId="0F24C646" w14:textId="6C277FA7" w:rsidR="00FE243A" w:rsidRPr="00FE243A" w:rsidRDefault="00FE243A" w:rsidP="00FE243A">
            <w:pPr>
              <w:pStyle w:val="TableHead"/>
              <w:jc w:val="right"/>
              <w:rPr>
                <w:b w:val="0"/>
                <w:sz w:val="22"/>
                <w:szCs w:val="22"/>
              </w:rPr>
            </w:pPr>
          </w:p>
        </w:tc>
        <w:tc>
          <w:tcPr>
            <w:tcW w:w="1417" w:type="dxa"/>
          </w:tcPr>
          <w:p w14:paraId="32C0704B" w14:textId="77777777" w:rsidR="00FE243A" w:rsidRDefault="00FE243A" w:rsidP="00FE243A">
            <w:pPr>
              <w:spacing w:after="0"/>
              <w:jc w:val="right"/>
              <w:rPr>
                <w:rFonts w:cs="Calibri"/>
                <w:color w:val="000000"/>
                <w:sz w:val="22"/>
                <w:szCs w:val="22"/>
                <w:lang w:eastAsia="en-IE"/>
              </w:rPr>
            </w:pPr>
            <w:r>
              <w:rPr>
                <w:rFonts w:cs="Calibri"/>
                <w:color w:val="000000"/>
                <w:sz w:val="22"/>
                <w:szCs w:val="22"/>
              </w:rPr>
              <w:t>3.8%</w:t>
            </w:r>
          </w:p>
          <w:p w14:paraId="10D72008" w14:textId="4C441D5E" w:rsidR="00FE243A" w:rsidRPr="00FE243A" w:rsidRDefault="00FE243A" w:rsidP="00FE243A">
            <w:pPr>
              <w:pStyle w:val="TableHead"/>
              <w:jc w:val="right"/>
              <w:rPr>
                <w:b w:val="0"/>
                <w:sz w:val="22"/>
                <w:szCs w:val="22"/>
              </w:rPr>
            </w:pPr>
          </w:p>
        </w:tc>
      </w:tr>
      <w:tr w:rsidR="00FE243A" w:rsidRPr="00611BF3" w14:paraId="2DC169FF" w14:textId="77777777" w:rsidTr="00985D19">
        <w:tc>
          <w:tcPr>
            <w:tcW w:w="2253" w:type="dxa"/>
          </w:tcPr>
          <w:p w14:paraId="6DC54D63" w14:textId="77777777" w:rsidR="00FE243A" w:rsidRPr="00FE243A" w:rsidRDefault="00FE243A" w:rsidP="00FE243A">
            <w:pPr>
              <w:pStyle w:val="TableHead"/>
              <w:rPr>
                <w:b w:val="0"/>
                <w:sz w:val="22"/>
                <w:szCs w:val="22"/>
              </w:rPr>
            </w:pPr>
            <w:r w:rsidRPr="00FE243A">
              <w:rPr>
                <w:rFonts w:cs="Calibri"/>
                <w:b w:val="0"/>
                <w:color w:val="000000"/>
                <w:sz w:val="22"/>
                <w:szCs w:val="22"/>
              </w:rPr>
              <w:t>Irish National Stud</w:t>
            </w:r>
          </w:p>
        </w:tc>
        <w:tc>
          <w:tcPr>
            <w:tcW w:w="1843" w:type="dxa"/>
          </w:tcPr>
          <w:p w14:paraId="4536C92C" w14:textId="60BFCD06" w:rsidR="00FE243A" w:rsidRPr="00FE243A" w:rsidRDefault="00FE243A" w:rsidP="00FE243A">
            <w:pPr>
              <w:pStyle w:val="TableHead"/>
              <w:jc w:val="right"/>
              <w:rPr>
                <w:b w:val="0"/>
                <w:bCs/>
                <w:sz w:val="22"/>
                <w:szCs w:val="22"/>
              </w:rPr>
            </w:pPr>
            <w:r w:rsidRPr="00FE243A">
              <w:rPr>
                <w:rFonts w:cs="Calibri"/>
                <w:b w:val="0"/>
                <w:bCs/>
                <w:color w:val="000000"/>
                <w:sz w:val="22"/>
                <w:szCs w:val="22"/>
              </w:rPr>
              <w:t>47</w:t>
            </w:r>
          </w:p>
        </w:tc>
        <w:tc>
          <w:tcPr>
            <w:tcW w:w="1559" w:type="dxa"/>
          </w:tcPr>
          <w:p w14:paraId="61D080B6" w14:textId="5BD84138" w:rsidR="00FE243A" w:rsidRPr="00FE243A" w:rsidRDefault="00FE243A" w:rsidP="00FE243A">
            <w:pPr>
              <w:pStyle w:val="TableHead"/>
              <w:jc w:val="right"/>
              <w:rPr>
                <w:b w:val="0"/>
                <w:sz w:val="22"/>
                <w:szCs w:val="22"/>
              </w:rPr>
            </w:pPr>
            <w:r w:rsidRPr="00FE243A">
              <w:rPr>
                <w:rFonts w:cs="Calibri"/>
                <w:b w:val="0"/>
                <w:color w:val="000000"/>
                <w:sz w:val="22"/>
                <w:szCs w:val="22"/>
              </w:rPr>
              <w:t>3</w:t>
            </w:r>
          </w:p>
        </w:tc>
        <w:tc>
          <w:tcPr>
            <w:tcW w:w="1418" w:type="dxa"/>
          </w:tcPr>
          <w:p w14:paraId="16E6BD42" w14:textId="0D243B4C" w:rsidR="00FE243A" w:rsidRPr="00FE243A" w:rsidRDefault="00FE243A" w:rsidP="00FE243A">
            <w:pPr>
              <w:pStyle w:val="TableHead"/>
              <w:jc w:val="right"/>
              <w:rPr>
                <w:b w:val="0"/>
                <w:sz w:val="22"/>
                <w:szCs w:val="22"/>
              </w:rPr>
            </w:pPr>
            <w:r w:rsidRPr="00FE243A">
              <w:rPr>
                <w:rFonts w:cs="Calibri"/>
                <w:b w:val="0"/>
                <w:color w:val="000000"/>
                <w:sz w:val="22"/>
                <w:szCs w:val="22"/>
              </w:rPr>
              <w:t>6.4%</w:t>
            </w:r>
          </w:p>
        </w:tc>
        <w:tc>
          <w:tcPr>
            <w:tcW w:w="1417" w:type="dxa"/>
          </w:tcPr>
          <w:p w14:paraId="1F294B46" w14:textId="77777777" w:rsidR="00FE243A" w:rsidRDefault="00FE243A" w:rsidP="00FE243A">
            <w:pPr>
              <w:spacing w:after="0"/>
              <w:jc w:val="right"/>
              <w:rPr>
                <w:rFonts w:cs="Calibri"/>
                <w:color w:val="000000"/>
                <w:sz w:val="22"/>
                <w:szCs w:val="22"/>
                <w:lang w:eastAsia="en-IE"/>
              </w:rPr>
            </w:pPr>
            <w:r>
              <w:rPr>
                <w:rFonts w:cs="Calibri"/>
                <w:color w:val="000000"/>
                <w:sz w:val="22"/>
                <w:szCs w:val="22"/>
              </w:rPr>
              <w:t>52</w:t>
            </w:r>
          </w:p>
          <w:p w14:paraId="2CF7391C" w14:textId="608D2A21" w:rsidR="00FE243A" w:rsidRPr="00FE243A" w:rsidRDefault="00FE243A" w:rsidP="00FE243A">
            <w:pPr>
              <w:jc w:val="right"/>
              <w:rPr>
                <w:sz w:val="22"/>
                <w:szCs w:val="22"/>
              </w:rPr>
            </w:pPr>
          </w:p>
        </w:tc>
        <w:tc>
          <w:tcPr>
            <w:tcW w:w="1418" w:type="dxa"/>
          </w:tcPr>
          <w:p w14:paraId="6284317A" w14:textId="77777777" w:rsidR="00FE243A" w:rsidRDefault="00FE243A" w:rsidP="00FE243A">
            <w:pPr>
              <w:spacing w:after="0"/>
              <w:jc w:val="right"/>
              <w:rPr>
                <w:rFonts w:cs="Calibri"/>
                <w:color w:val="000000"/>
                <w:sz w:val="22"/>
                <w:szCs w:val="22"/>
                <w:lang w:eastAsia="en-IE"/>
              </w:rPr>
            </w:pPr>
            <w:r>
              <w:rPr>
                <w:rFonts w:cs="Calibri"/>
                <w:color w:val="000000"/>
                <w:sz w:val="22"/>
                <w:szCs w:val="22"/>
              </w:rPr>
              <w:t>3</w:t>
            </w:r>
          </w:p>
          <w:p w14:paraId="2356C07D" w14:textId="038A0276" w:rsidR="00FE243A" w:rsidRPr="00FE243A" w:rsidRDefault="00FE243A" w:rsidP="00FE243A">
            <w:pPr>
              <w:pStyle w:val="TableHead"/>
              <w:jc w:val="right"/>
              <w:rPr>
                <w:b w:val="0"/>
                <w:sz w:val="22"/>
                <w:szCs w:val="22"/>
              </w:rPr>
            </w:pPr>
          </w:p>
        </w:tc>
        <w:tc>
          <w:tcPr>
            <w:tcW w:w="1417" w:type="dxa"/>
          </w:tcPr>
          <w:p w14:paraId="3DD5F16A" w14:textId="77777777" w:rsidR="00FE243A" w:rsidRDefault="00FE243A" w:rsidP="00FE243A">
            <w:pPr>
              <w:spacing w:after="0"/>
              <w:jc w:val="right"/>
              <w:rPr>
                <w:rFonts w:cs="Calibri"/>
                <w:color w:val="000000"/>
                <w:sz w:val="22"/>
                <w:szCs w:val="22"/>
                <w:lang w:eastAsia="en-IE"/>
              </w:rPr>
            </w:pPr>
            <w:r>
              <w:rPr>
                <w:rFonts w:cs="Calibri"/>
                <w:color w:val="000000"/>
                <w:sz w:val="22"/>
                <w:szCs w:val="22"/>
              </w:rPr>
              <w:t>5.8%</w:t>
            </w:r>
          </w:p>
          <w:p w14:paraId="522342AB" w14:textId="716324DC" w:rsidR="00FE243A" w:rsidRPr="00FE243A" w:rsidRDefault="00FE243A" w:rsidP="00FE243A">
            <w:pPr>
              <w:pStyle w:val="TableHead"/>
              <w:jc w:val="right"/>
              <w:rPr>
                <w:b w:val="0"/>
                <w:sz w:val="22"/>
                <w:szCs w:val="22"/>
              </w:rPr>
            </w:pPr>
          </w:p>
        </w:tc>
      </w:tr>
      <w:tr w:rsidR="00FE243A" w:rsidRPr="00611BF3" w14:paraId="60CEDF06" w14:textId="77777777" w:rsidTr="00985D19">
        <w:tc>
          <w:tcPr>
            <w:tcW w:w="2253" w:type="dxa"/>
          </w:tcPr>
          <w:p w14:paraId="700C273D" w14:textId="77777777" w:rsidR="00FE243A" w:rsidRPr="00FE243A" w:rsidRDefault="00FE243A" w:rsidP="00FE243A">
            <w:pPr>
              <w:pStyle w:val="TableHead"/>
              <w:rPr>
                <w:b w:val="0"/>
                <w:sz w:val="22"/>
                <w:szCs w:val="22"/>
              </w:rPr>
            </w:pPr>
            <w:r w:rsidRPr="00FE243A">
              <w:rPr>
                <w:rFonts w:cs="Calibri"/>
                <w:b w:val="0"/>
                <w:color w:val="000000"/>
                <w:sz w:val="22"/>
                <w:szCs w:val="22"/>
              </w:rPr>
              <w:t>Marine Institute</w:t>
            </w:r>
          </w:p>
        </w:tc>
        <w:tc>
          <w:tcPr>
            <w:tcW w:w="1843" w:type="dxa"/>
          </w:tcPr>
          <w:p w14:paraId="1D4A3391" w14:textId="7E3DDDD2" w:rsidR="00FE243A" w:rsidRPr="00FE243A" w:rsidRDefault="00FE243A" w:rsidP="00FE243A">
            <w:pPr>
              <w:pStyle w:val="TableHead"/>
              <w:jc w:val="right"/>
              <w:rPr>
                <w:b w:val="0"/>
                <w:bCs/>
                <w:sz w:val="22"/>
                <w:szCs w:val="22"/>
              </w:rPr>
            </w:pPr>
            <w:r w:rsidRPr="00FE243A">
              <w:rPr>
                <w:rFonts w:cs="Calibri"/>
                <w:b w:val="0"/>
                <w:bCs/>
                <w:color w:val="000000"/>
                <w:sz w:val="22"/>
                <w:szCs w:val="22"/>
              </w:rPr>
              <w:t>237</w:t>
            </w:r>
          </w:p>
        </w:tc>
        <w:tc>
          <w:tcPr>
            <w:tcW w:w="1559" w:type="dxa"/>
          </w:tcPr>
          <w:p w14:paraId="42A90470" w14:textId="5C182AA3" w:rsidR="00FE243A" w:rsidRPr="00FE243A" w:rsidRDefault="00FE243A" w:rsidP="00FE243A">
            <w:pPr>
              <w:pStyle w:val="TableHead"/>
              <w:jc w:val="right"/>
              <w:rPr>
                <w:b w:val="0"/>
                <w:sz w:val="22"/>
                <w:szCs w:val="22"/>
              </w:rPr>
            </w:pPr>
            <w:r w:rsidRPr="00FE243A">
              <w:rPr>
                <w:rFonts w:cs="Calibri"/>
                <w:b w:val="0"/>
                <w:color w:val="000000"/>
                <w:sz w:val="22"/>
                <w:szCs w:val="22"/>
              </w:rPr>
              <w:t>16</w:t>
            </w:r>
          </w:p>
        </w:tc>
        <w:tc>
          <w:tcPr>
            <w:tcW w:w="1418" w:type="dxa"/>
          </w:tcPr>
          <w:p w14:paraId="691C1075" w14:textId="1D471FA4" w:rsidR="00FE243A" w:rsidRPr="00FE243A" w:rsidRDefault="00FE243A" w:rsidP="00FE243A">
            <w:pPr>
              <w:pStyle w:val="TableHead"/>
              <w:jc w:val="right"/>
              <w:rPr>
                <w:b w:val="0"/>
                <w:sz w:val="22"/>
                <w:szCs w:val="22"/>
              </w:rPr>
            </w:pPr>
            <w:r w:rsidRPr="00FE243A">
              <w:rPr>
                <w:rFonts w:cs="Calibri"/>
                <w:b w:val="0"/>
                <w:color w:val="000000"/>
                <w:sz w:val="22"/>
                <w:szCs w:val="22"/>
              </w:rPr>
              <w:t>6.8%</w:t>
            </w:r>
          </w:p>
        </w:tc>
        <w:tc>
          <w:tcPr>
            <w:tcW w:w="1417" w:type="dxa"/>
          </w:tcPr>
          <w:p w14:paraId="5B6B8A79" w14:textId="77777777" w:rsidR="00FE243A" w:rsidRDefault="00FE243A" w:rsidP="00FE243A">
            <w:pPr>
              <w:spacing w:after="0"/>
              <w:jc w:val="right"/>
              <w:rPr>
                <w:rFonts w:cs="Calibri"/>
                <w:color w:val="000000"/>
                <w:sz w:val="22"/>
                <w:szCs w:val="22"/>
                <w:lang w:eastAsia="en-IE"/>
              </w:rPr>
            </w:pPr>
            <w:r>
              <w:rPr>
                <w:rFonts w:cs="Calibri"/>
                <w:color w:val="000000"/>
                <w:sz w:val="22"/>
                <w:szCs w:val="22"/>
              </w:rPr>
              <w:t>241</w:t>
            </w:r>
          </w:p>
          <w:p w14:paraId="74B03530" w14:textId="52752EA1" w:rsidR="00FE243A" w:rsidRPr="00FE243A" w:rsidRDefault="00FE243A" w:rsidP="00FE243A">
            <w:pPr>
              <w:jc w:val="right"/>
              <w:rPr>
                <w:sz w:val="22"/>
                <w:szCs w:val="22"/>
              </w:rPr>
            </w:pPr>
          </w:p>
        </w:tc>
        <w:tc>
          <w:tcPr>
            <w:tcW w:w="1418" w:type="dxa"/>
          </w:tcPr>
          <w:p w14:paraId="4D5DE72A"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15</w:t>
            </w:r>
          </w:p>
          <w:p w14:paraId="26F566BA" w14:textId="72D0E1D9" w:rsidR="00FE243A" w:rsidRPr="00FE243A" w:rsidRDefault="00FE243A" w:rsidP="00FE243A">
            <w:pPr>
              <w:pStyle w:val="TableHead"/>
              <w:jc w:val="right"/>
              <w:rPr>
                <w:b w:val="0"/>
                <w:sz w:val="22"/>
                <w:szCs w:val="22"/>
              </w:rPr>
            </w:pPr>
          </w:p>
        </w:tc>
        <w:tc>
          <w:tcPr>
            <w:tcW w:w="1417" w:type="dxa"/>
          </w:tcPr>
          <w:p w14:paraId="1EC95FF5" w14:textId="77777777" w:rsidR="00FE243A" w:rsidRDefault="00FE243A" w:rsidP="00FE243A">
            <w:pPr>
              <w:spacing w:after="0"/>
              <w:jc w:val="right"/>
              <w:rPr>
                <w:rFonts w:cs="Calibri"/>
                <w:color w:val="000000"/>
                <w:sz w:val="22"/>
                <w:szCs w:val="22"/>
                <w:lang w:eastAsia="en-IE"/>
              </w:rPr>
            </w:pPr>
            <w:r>
              <w:rPr>
                <w:rFonts w:cs="Calibri"/>
                <w:color w:val="000000"/>
                <w:sz w:val="22"/>
                <w:szCs w:val="22"/>
              </w:rPr>
              <w:t>6.2%</w:t>
            </w:r>
          </w:p>
          <w:p w14:paraId="2F72C3D0" w14:textId="229615D9" w:rsidR="00FE243A" w:rsidRPr="00FE243A" w:rsidRDefault="00FE243A" w:rsidP="00FE243A">
            <w:pPr>
              <w:pStyle w:val="TableHead"/>
              <w:jc w:val="right"/>
              <w:rPr>
                <w:b w:val="0"/>
                <w:sz w:val="22"/>
                <w:szCs w:val="22"/>
              </w:rPr>
            </w:pPr>
          </w:p>
        </w:tc>
      </w:tr>
      <w:tr w:rsidR="00FE243A" w:rsidRPr="00611BF3" w14:paraId="479CB420" w14:textId="77777777" w:rsidTr="00985D19">
        <w:tc>
          <w:tcPr>
            <w:tcW w:w="2253" w:type="dxa"/>
          </w:tcPr>
          <w:p w14:paraId="7B4EC88F" w14:textId="77777777" w:rsidR="00FE243A" w:rsidRPr="00FE243A" w:rsidRDefault="00FE243A" w:rsidP="00FE243A">
            <w:pPr>
              <w:pStyle w:val="TableHead"/>
              <w:rPr>
                <w:b w:val="0"/>
                <w:sz w:val="22"/>
                <w:szCs w:val="22"/>
              </w:rPr>
            </w:pPr>
            <w:r w:rsidRPr="00FE243A">
              <w:rPr>
                <w:rFonts w:cs="Calibri"/>
                <w:b w:val="0"/>
                <w:color w:val="000000"/>
                <w:sz w:val="22"/>
                <w:szCs w:val="22"/>
              </w:rPr>
              <w:t>National Milk Agency</w:t>
            </w:r>
          </w:p>
        </w:tc>
        <w:tc>
          <w:tcPr>
            <w:tcW w:w="1843" w:type="dxa"/>
          </w:tcPr>
          <w:p w14:paraId="18711EEC" w14:textId="409F3E49" w:rsidR="00FE243A" w:rsidRPr="00FE243A" w:rsidRDefault="00FE243A" w:rsidP="00FE243A">
            <w:pPr>
              <w:pStyle w:val="TableHead"/>
              <w:jc w:val="right"/>
              <w:rPr>
                <w:b w:val="0"/>
                <w:bCs/>
                <w:sz w:val="22"/>
                <w:szCs w:val="22"/>
              </w:rPr>
            </w:pPr>
            <w:r w:rsidRPr="00FE243A">
              <w:rPr>
                <w:rFonts w:cs="Calibri"/>
                <w:b w:val="0"/>
                <w:bCs/>
                <w:color w:val="000000"/>
                <w:sz w:val="22"/>
                <w:szCs w:val="22"/>
              </w:rPr>
              <w:t>5</w:t>
            </w:r>
          </w:p>
        </w:tc>
        <w:tc>
          <w:tcPr>
            <w:tcW w:w="1559" w:type="dxa"/>
          </w:tcPr>
          <w:p w14:paraId="46BBF8B5" w14:textId="7DDF1B94" w:rsidR="00FE243A" w:rsidRPr="00FE243A" w:rsidRDefault="00FE243A" w:rsidP="00FE243A">
            <w:pPr>
              <w:pStyle w:val="TableHead"/>
              <w:jc w:val="right"/>
              <w:rPr>
                <w:b w:val="0"/>
                <w:sz w:val="22"/>
                <w:szCs w:val="22"/>
              </w:rPr>
            </w:pPr>
            <w:r w:rsidRPr="00FE243A">
              <w:rPr>
                <w:rFonts w:cs="Calibri"/>
                <w:b w:val="0"/>
                <w:color w:val="000000"/>
                <w:sz w:val="22"/>
                <w:szCs w:val="22"/>
              </w:rPr>
              <w:t>0</w:t>
            </w:r>
          </w:p>
        </w:tc>
        <w:tc>
          <w:tcPr>
            <w:tcW w:w="1418" w:type="dxa"/>
          </w:tcPr>
          <w:p w14:paraId="344121B4" w14:textId="1FDB2CE4" w:rsidR="00FE243A" w:rsidRPr="00FE243A" w:rsidRDefault="00FE243A" w:rsidP="00FE243A">
            <w:pPr>
              <w:pStyle w:val="TableHead"/>
              <w:jc w:val="right"/>
              <w:rPr>
                <w:b w:val="0"/>
                <w:sz w:val="22"/>
                <w:szCs w:val="22"/>
              </w:rPr>
            </w:pPr>
            <w:r w:rsidRPr="00FE243A">
              <w:rPr>
                <w:rFonts w:cs="Calibri"/>
                <w:b w:val="0"/>
                <w:color w:val="000000"/>
                <w:sz w:val="22"/>
                <w:szCs w:val="22"/>
              </w:rPr>
              <w:t>0.0%</w:t>
            </w:r>
          </w:p>
        </w:tc>
        <w:tc>
          <w:tcPr>
            <w:tcW w:w="1417" w:type="dxa"/>
          </w:tcPr>
          <w:p w14:paraId="3F2393F7" w14:textId="77777777" w:rsidR="00FE243A" w:rsidRDefault="00FE243A" w:rsidP="00FE243A">
            <w:pPr>
              <w:spacing w:after="0"/>
              <w:jc w:val="right"/>
              <w:rPr>
                <w:rFonts w:cs="Calibri"/>
                <w:color w:val="000000"/>
                <w:sz w:val="22"/>
                <w:szCs w:val="22"/>
                <w:lang w:eastAsia="en-IE"/>
              </w:rPr>
            </w:pPr>
            <w:r>
              <w:rPr>
                <w:rFonts w:cs="Calibri"/>
                <w:color w:val="000000"/>
                <w:sz w:val="22"/>
                <w:szCs w:val="22"/>
              </w:rPr>
              <w:t>5</w:t>
            </w:r>
          </w:p>
          <w:p w14:paraId="41B6CA16" w14:textId="1144696A" w:rsidR="00FE243A" w:rsidRPr="00FE243A" w:rsidRDefault="00FE243A" w:rsidP="00FE243A">
            <w:pPr>
              <w:jc w:val="right"/>
              <w:rPr>
                <w:sz w:val="22"/>
                <w:szCs w:val="22"/>
              </w:rPr>
            </w:pPr>
          </w:p>
        </w:tc>
        <w:tc>
          <w:tcPr>
            <w:tcW w:w="1418" w:type="dxa"/>
          </w:tcPr>
          <w:p w14:paraId="0985E7B8" w14:textId="77777777" w:rsidR="00FE243A" w:rsidRDefault="00FE243A" w:rsidP="00FE243A">
            <w:pPr>
              <w:spacing w:after="0"/>
              <w:jc w:val="right"/>
              <w:rPr>
                <w:rFonts w:cs="Calibri"/>
                <w:color w:val="000000"/>
                <w:sz w:val="22"/>
                <w:szCs w:val="22"/>
                <w:lang w:eastAsia="en-IE"/>
              </w:rPr>
            </w:pPr>
            <w:r>
              <w:rPr>
                <w:rFonts w:cs="Calibri"/>
                <w:color w:val="000000"/>
                <w:sz w:val="22"/>
                <w:szCs w:val="22"/>
              </w:rPr>
              <w:t>0</w:t>
            </w:r>
          </w:p>
          <w:p w14:paraId="1C7383B6" w14:textId="061FE943" w:rsidR="00FE243A" w:rsidRPr="00FE243A" w:rsidRDefault="00FE243A" w:rsidP="00FE243A">
            <w:pPr>
              <w:pStyle w:val="TableHead"/>
              <w:jc w:val="right"/>
              <w:rPr>
                <w:b w:val="0"/>
                <w:sz w:val="22"/>
                <w:szCs w:val="22"/>
              </w:rPr>
            </w:pPr>
          </w:p>
        </w:tc>
        <w:tc>
          <w:tcPr>
            <w:tcW w:w="1417" w:type="dxa"/>
          </w:tcPr>
          <w:p w14:paraId="0982D455" w14:textId="77777777" w:rsidR="00FE243A" w:rsidRDefault="00FE243A" w:rsidP="00FE243A">
            <w:pPr>
              <w:spacing w:after="0"/>
              <w:jc w:val="right"/>
              <w:rPr>
                <w:rFonts w:cs="Calibri"/>
                <w:color w:val="000000"/>
                <w:sz w:val="22"/>
                <w:szCs w:val="22"/>
                <w:lang w:eastAsia="en-IE"/>
              </w:rPr>
            </w:pPr>
            <w:r>
              <w:rPr>
                <w:rFonts w:cs="Calibri"/>
                <w:color w:val="000000"/>
                <w:sz w:val="22"/>
                <w:szCs w:val="22"/>
              </w:rPr>
              <w:t>0.0%</w:t>
            </w:r>
          </w:p>
          <w:p w14:paraId="1690AF2B" w14:textId="748AA66F" w:rsidR="00FE243A" w:rsidRPr="00FE243A" w:rsidRDefault="00FE243A" w:rsidP="00FE243A">
            <w:pPr>
              <w:pStyle w:val="TableHead"/>
              <w:jc w:val="right"/>
              <w:rPr>
                <w:b w:val="0"/>
                <w:sz w:val="22"/>
                <w:szCs w:val="22"/>
              </w:rPr>
            </w:pPr>
          </w:p>
        </w:tc>
      </w:tr>
      <w:tr w:rsidR="00FE243A" w:rsidRPr="00611BF3" w14:paraId="2F6510DD" w14:textId="77777777" w:rsidTr="00985D19">
        <w:tc>
          <w:tcPr>
            <w:tcW w:w="2253" w:type="dxa"/>
          </w:tcPr>
          <w:p w14:paraId="61B70F9B" w14:textId="77777777" w:rsidR="00FE243A" w:rsidRPr="00FE243A" w:rsidRDefault="00FE243A" w:rsidP="00FE243A">
            <w:pPr>
              <w:pStyle w:val="TableHead"/>
              <w:rPr>
                <w:b w:val="0"/>
                <w:sz w:val="22"/>
                <w:szCs w:val="22"/>
              </w:rPr>
            </w:pPr>
            <w:r w:rsidRPr="00FE243A">
              <w:rPr>
                <w:rFonts w:cs="Calibri"/>
                <w:b w:val="0"/>
                <w:color w:val="000000"/>
                <w:sz w:val="22"/>
                <w:szCs w:val="22"/>
              </w:rPr>
              <w:t xml:space="preserve">Rásaíocht Con Éireann </w:t>
            </w:r>
          </w:p>
        </w:tc>
        <w:tc>
          <w:tcPr>
            <w:tcW w:w="1843" w:type="dxa"/>
          </w:tcPr>
          <w:p w14:paraId="46DEA14C" w14:textId="078EED5E" w:rsidR="00FE243A" w:rsidRPr="00FE243A" w:rsidRDefault="00FE243A" w:rsidP="00FE243A">
            <w:pPr>
              <w:pStyle w:val="TableHead"/>
              <w:jc w:val="right"/>
              <w:rPr>
                <w:rFonts w:cs="Arial"/>
                <w:b w:val="0"/>
                <w:bCs/>
                <w:sz w:val="22"/>
                <w:szCs w:val="22"/>
              </w:rPr>
            </w:pPr>
            <w:r w:rsidRPr="00FE243A">
              <w:rPr>
                <w:rFonts w:cs="Calibri"/>
                <w:b w:val="0"/>
                <w:bCs/>
                <w:color w:val="000000"/>
                <w:sz w:val="22"/>
                <w:szCs w:val="22"/>
              </w:rPr>
              <w:t>560</w:t>
            </w:r>
          </w:p>
        </w:tc>
        <w:tc>
          <w:tcPr>
            <w:tcW w:w="1559" w:type="dxa"/>
          </w:tcPr>
          <w:p w14:paraId="65DEC157" w14:textId="6115B894" w:rsidR="00FE243A" w:rsidRPr="00FE243A" w:rsidRDefault="00FE243A" w:rsidP="00FE243A">
            <w:pPr>
              <w:pStyle w:val="TableHead"/>
              <w:jc w:val="right"/>
              <w:rPr>
                <w:rFonts w:cs="Arial"/>
                <w:b w:val="0"/>
                <w:sz w:val="22"/>
                <w:szCs w:val="22"/>
              </w:rPr>
            </w:pPr>
            <w:r w:rsidRPr="00FE243A">
              <w:rPr>
                <w:rFonts w:cs="Calibri"/>
                <w:b w:val="0"/>
                <w:color w:val="000000"/>
                <w:sz w:val="22"/>
                <w:szCs w:val="22"/>
              </w:rPr>
              <w:t>19</w:t>
            </w:r>
          </w:p>
        </w:tc>
        <w:tc>
          <w:tcPr>
            <w:tcW w:w="1418" w:type="dxa"/>
          </w:tcPr>
          <w:p w14:paraId="2DAC138D" w14:textId="17318DAC" w:rsidR="00FE243A" w:rsidRPr="00FE243A" w:rsidRDefault="00FE243A" w:rsidP="00FE243A">
            <w:pPr>
              <w:pStyle w:val="TableHead"/>
              <w:jc w:val="right"/>
              <w:rPr>
                <w:rFonts w:cs="Arial"/>
                <w:b w:val="0"/>
                <w:sz w:val="22"/>
                <w:szCs w:val="22"/>
              </w:rPr>
            </w:pPr>
            <w:r w:rsidRPr="00FE243A">
              <w:rPr>
                <w:rFonts w:cs="Calibri"/>
                <w:b w:val="0"/>
                <w:color w:val="000000"/>
                <w:sz w:val="22"/>
                <w:szCs w:val="22"/>
              </w:rPr>
              <w:t>3.4%</w:t>
            </w:r>
          </w:p>
        </w:tc>
        <w:tc>
          <w:tcPr>
            <w:tcW w:w="1417" w:type="dxa"/>
          </w:tcPr>
          <w:p w14:paraId="0DD42389"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164</w:t>
            </w:r>
          </w:p>
          <w:p w14:paraId="3D76E61C" w14:textId="7A350386" w:rsidR="00FE243A" w:rsidRPr="00FE243A" w:rsidRDefault="00FE243A" w:rsidP="00FE243A">
            <w:pPr>
              <w:jc w:val="right"/>
              <w:rPr>
                <w:sz w:val="22"/>
                <w:szCs w:val="22"/>
              </w:rPr>
            </w:pPr>
          </w:p>
        </w:tc>
        <w:tc>
          <w:tcPr>
            <w:tcW w:w="1418" w:type="dxa"/>
          </w:tcPr>
          <w:p w14:paraId="53B55E2B"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11</w:t>
            </w:r>
          </w:p>
          <w:p w14:paraId="15668A81" w14:textId="189DD65A" w:rsidR="00FE243A" w:rsidRPr="00FE243A" w:rsidRDefault="00FE243A" w:rsidP="00FE243A">
            <w:pPr>
              <w:pStyle w:val="TableHead"/>
              <w:jc w:val="right"/>
              <w:rPr>
                <w:rFonts w:cs="Calibri"/>
                <w:b w:val="0"/>
                <w:color w:val="000000"/>
                <w:sz w:val="22"/>
                <w:szCs w:val="22"/>
              </w:rPr>
            </w:pPr>
          </w:p>
        </w:tc>
        <w:tc>
          <w:tcPr>
            <w:tcW w:w="1417" w:type="dxa"/>
          </w:tcPr>
          <w:p w14:paraId="6747565E" w14:textId="77777777" w:rsidR="00FE243A" w:rsidRDefault="00FE243A" w:rsidP="00FE243A">
            <w:pPr>
              <w:spacing w:after="0"/>
              <w:jc w:val="right"/>
              <w:rPr>
                <w:rFonts w:cs="Calibri"/>
                <w:color w:val="000000"/>
                <w:sz w:val="22"/>
                <w:szCs w:val="22"/>
                <w:lang w:eastAsia="en-IE"/>
              </w:rPr>
            </w:pPr>
            <w:r>
              <w:rPr>
                <w:rFonts w:cs="Calibri"/>
                <w:color w:val="000000"/>
                <w:sz w:val="22"/>
                <w:szCs w:val="22"/>
              </w:rPr>
              <w:t>6.7%</w:t>
            </w:r>
          </w:p>
          <w:p w14:paraId="19DC3189" w14:textId="088CB238" w:rsidR="00FE243A" w:rsidRPr="00FE243A" w:rsidRDefault="00FE243A" w:rsidP="00FE243A">
            <w:pPr>
              <w:pStyle w:val="TableHead"/>
              <w:jc w:val="right"/>
              <w:rPr>
                <w:b w:val="0"/>
                <w:sz w:val="22"/>
                <w:szCs w:val="22"/>
              </w:rPr>
            </w:pPr>
          </w:p>
        </w:tc>
      </w:tr>
      <w:tr w:rsidR="00FE243A" w:rsidRPr="00611BF3" w14:paraId="76376F7F" w14:textId="77777777" w:rsidTr="00985D19">
        <w:tc>
          <w:tcPr>
            <w:tcW w:w="2253" w:type="dxa"/>
          </w:tcPr>
          <w:p w14:paraId="5344BBAF" w14:textId="77777777" w:rsidR="00FE243A" w:rsidRPr="00FE243A" w:rsidRDefault="00FE243A" w:rsidP="00FE243A">
            <w:pPr>
              <w:pStyle w:val="TableHead"/>
              <w:spacing w:after="240"/>
              <w:rPr>
                <w:b w:val="0"/>
                <w:sz w:val="22"/>
                <w:szCs w:val="22"/>
              </w:rPr>
            </w:pPr>
            <w:r w:rsidRPr="00FE243A">
              <w:rPr>
                <w:rFonts w:cs="Calibri"/>
                <w:b w:val="0"/>
                <w:color w:val="000000"/>
                <w:sz w:val="22"/>
                <w:szCs w:val="22"/>
              </w:rPr>
              <w:t>Sea Fisheries Protection Authority</w:t>
            </w:r>
          </w:p>
        </w:tc>
        <w:tc>
          <w:tcPr>
            <w:tcW w:w="1843" w:type="dxa"/>
          </w:tcPr>
          <w:p w14:paraId="0EE11AC5" w14:textId="3784A7AA" w:rsidR="00FE243A" w:rsidRPr="00FE243A" w:rsidRDefault="00FE243A" w:rsidP="00FE243A">
            <w:pPr>
              <w:pStyle w:val="TableHead"/>
              <w:jc w:val="right"/>
              <w:rPr>
                <w:b w:val="0"/>
                <w:bCs/>
                <w:sz w:val="22"/>
                <w:szCs w:val="22"/>
              </w:rPr>
            </w:pPr>
            <w:r w:rsidRPr="00FE243A">
              <w:rPr>
                <w:rFonts w:cs="Calibri"/>
                <w:b w:val="0"/>
                <w:bCs/>
                <w:color w:val="000000"/>
                <w:sz w:val="22"/>
                <w:szCs w:val="22"/>
              </w:rPr>
              <w:t>170</w:t>
            </w:r>
          </w:p>
        </w:tc>
        <w:tc>
          <w:tcPr>
            <w:tcW w:w="1559" w:type="dxa"/>
          </w:tcPr>
          <w:p w14:paraId="6CCCA425" w14:textId="37A72E22" w:rsidR="00FE243A" w:rsidRPr="00FE243A" w:rsidRDefault="00FE243A" w:rsidP="00FE243A">
            <w:pPr>
              <w:pStyle w:val="TableHead"/>
              <w:jc w:val="right"/>
              <w:rPr>
                <w:b w:val="0"/>
                <w:sz w:val="22"/>
                <w:szCs w:val="22"/>
              </w:rPr>
            </w:pPr>
            <w:r w:rsidRPr="00FE243A">
              <w:rPr>
                <w:rFonts w:cs="Calibri"/>
                <w:b w:val="0"/>
                <w:color w:val="000000"/>
                <w:sz w:val="22"/>
                <w:szCs w:val="22"/>
              </w:rPr>
              <w:t>11</w:t>
            </w:r>
          </w:p>
        </w:tc>
        <w:tc>
          <w:tcPr>
            <w:tcW w:w="1418" w:type="dxa"/>
          </w:tcPr>
          <w:p w14:paraId="01C22292" w14:textId="304CC90F" w:rsidR="00FE243A" w:rsidRPr="00FE243A" w:rsidRDefault="00FE243A" w:rsidP="00FE243A">
            <w:pPr>
              <w:pStyle w:val="TableHead"/>
              <w:jc w:val="right"/>
              <w:rPr>
                <w:b w:val="0"/>
                <w:sz w:val="22"/>
                <w:szCs w:val="22"/>
              </w:rPr>
            </w:pPr>
            <w:r w:rsidRPr="00FE243A">
              <w:rPr>
                <w:rFonts w:cs="Calibri"/>
                <w:b w:val="0"/>
                <w:color w:val="000000"/>
                <w:sz w:val="22"/>
                <w:szCs w:val="22"/>
              </w:rPr>
              <w:t>6.5%</w:t>
            </w:r>
          </w:p>
        </w:tc>
        <w:tc>
          <w:tcPr>
            <w:tcW w:w="1417" w:type="dxa"/>
          </w:tcPr>
          <w:p w14:paraId="6D89DDF0"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173</w:t>
            </w:r>
          </w:p>
          <w:p w14:paraId="0FB4E9B9" w14:textId="1D846C1F" w:rsidR="00FE243A" w:rsidRPr="00FE243A" w:rsidRDefault="00FE243A" w:rsidP="00FE243A">
            <w:pPr>
              <w:jc w:val="right"/>
              <w:rPr>
                <w:sz w:val="22"/>
                <w:szCs w:val="22"/>
              </w:rPr>
            </w:pPr>
          </w:p>
        </w:tc>
        <w:tc>
          <w:tcPr>
            <w:tcW w:w="1418" w:type="dxa"/>
          </w:tcPr>
          <w:p w14:paraId="67356987"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11</w:t>
            </w:r>
          </w:p>
          <w:p w14:paraId="2A7717E8" w14:textId="3071EC56" w:rsidR="00FE243A" w:rsidRPr="00FE243A" w:rsidRDefault="00FE243A" w:rsidP="00FE243A">
            <w:pPr>
              <w:pStyle w:val="TableHead"/>
              <w:jc w:val="right"/>
              <w:rPr>
                <w:b w:val="0"/>
                <w:sz w:val="22"/>
                <w:szCs w:val="22"/>
              </w:rPr>
            </w:pPr>
          </w:p>
        </w:tc>
        <w:tc>
          <w:tcPr>
            <w:tcW w:w="1417" w:type="dxa"/>
          </w:tcPr>
          <w:p w14:paraId="07BEA8D0" w14:textId="77777777" w:rsidR="00FE243A" w:rsidRDefault="00FE243A" w:rsidP="00FE243A">
            <w:pPr>
              <w:spacing w:after="0"/>
              <w:jc w:val="right"/>
              <w:rPr>
                <w:rFonts w:cs="Calibri"/>
                <w:color w:val="000000"/>
                <w:sz w:val="22"/>
                <w:szCs w:val="22"/>
                <w:lang w:eastAsia="en-IE"/>
              </w:rPr>
            </w:pPr>
            <w:r>
              <w:rPr>
                <w:rFonts w:cs="Calibri"/>
                <w:color w:val="000000"/>
                <w:sz w:val="22"/>
                <w:szCs w:val="22"/>
              </w:rPr>
              <w:t>6.4%</w:t>
            </w:r>
          </w:p>
          <w:p w14:paraId="35DCE484" w14:textId="5ED51ACC" w:rsidR="00FE243A" w:rsidRPr="00FE243A" w:rsidRDefault="00FE243A" w:rsidP="00FE243A">
            <w:pPr>
              <w:pStyle w:val="TableHead"/>
              <w:jc w:val="right"/>
              <w:rPr>
                <w:b w:val="0"/>
                <w:sz w:val="22"/>
                <w:szCs w:val="22"/>
              </w:rPr>
            </w:pPr>
          </w:p>
        </w:tc>
      </w:tr>
      <w:tr w:rsidR="00FE243A" w:rsidRPr="00611BF3" w14:paraId="15DC8A97" w14:textId="77777777" w:rsidTr="00985D19">
        <w:tc>
          <w:tcPr>
            <w:tcW w:w="2253" w:type="dxa"/>
          </w:tcPr>
          <w:p w14:paraId="47BD4948" w14:textId="77777777" w:rsidR="00FE243A" w:rsidRPr="00FE243A" w:rsidRDefault="00FE243A" w:rsidP="00FE243A">
            <w:pPr>
              <w:pStyle w:val="TableHead"/>
              <w:rPr>
                <w:b w:val="0"/>
                <w:sz w:val="22"/>
                <w:szCs w:val="22"/>
              </w:rPr>
            </w:pPr>
            <w:r w:rsidRPr="00FE243A">
              <w:rPr>
                <w:rFonts w:cs="Calibri"/>
                <w:b w:val="0"/>
                <w:color w:val="000000"/>
                <w:sz w:val="22"/>
                <w:szCs w:val="22"/>
              </w:rPr>
              <w:t xml:space="preserve">Teagasc </w:t>
            </w:r>
          </w:p>
        </w:tc>
        <w:tc>
          <w:tcPr>
            <w:tcW w:w="1843" w:type="dxa"/>
          </w:tcPr>
          <w:p w14:paraId="43B12998" w14:textId="4797A7F8" w:rsidR="00FE243A" w:rsidRPr="00FE243A" w:rsidRDefault="00FE243A" w:rsidP="00FE243A">
            <w:pPr>
              <w:pStyle w:val="TableHead"/>
              <w:jc w:val="right"/>
              <w:rPr>
                <w:b w:val="0"/>
                <w:bCs/>
                <w:sz w:val="22"/>
                <w:szCs w:val="22"/>
              </w:rPr>
            </w:pPr>
            <w:r w:rsidRPr="00FE243A">
              <w:rPr>
                <w:rFonts w:cs="Calibri"/>
                <w:b w:val="0"/>
                <w:bCs/>
                <w:color w:val="000000"/>
                <w:sz w:val="22"/>
                <w:szCs w:val="22"/>
              </w:rPr>
              <w:t>1,387</w:t>
            </w:r>
          </w:p>
        </w:tc>
        <w:tc>
          <w:tcPr>
            <w:tcW w:w="1559" w:type="dxa"/>
          </w:tcPr>
          <w:p w14:paraId="7E958F45" w14:textId="0A094522" w:rsidR="00FE243A" w:rsidRPr="00FE243A" w:rsidRDefault="00FE243A" w:rsidP="00FE243A">
            <w:pPr>
              <w:pStyle w:val="TableHead"/>
              <w:jc w:val="right"/>
              <w:rPr>
                <w:b w:val="0"/>
                <w:sz w:val="22"/>
                <w:szCs w:val="22"/>
              </w:rPr>
            </w:pPr>
            <w:r w:rsidRPr="00FE243A">
              <w:rPr>
                <w:rFonts w:cs="Calibri"/>
                <w:b w:val="0"/>
                <w:color w:val="000000"/>
                <w:sz w:val="22"/>
                <w:szCs w:val="22"/>
              </w:rPr>
              <w:t>53</w:t>
            </w:r>
          </w:p>
        </w:tc>
        <w:tc>
          <w:tcPr>
            <w:tcW w:w="1418" w:type="dxa"/>
          </w:tcPr>
          <w:p w14:paraId="4AA64F37" w14:textId="41BF25A2" w:rsidR="00FE243A" w:rsidRPr="00FE243A" w:rsidRDefault="00FE243A" w:rsidP="00FE243A">
            <w:pPr>
              <w:pStyle w:val="TableHead"/>
              <w:jc w:val="right"/>
              <w:rPr>
                <w:b w:val="0"/>
                <w:sz w:val="22"/>
                <w:szCs w:val="22"/>
              </w:rPr>
            </w:pPr>
            <w:r w:rsidRPr="00FE243A">
              <w:rPr>
                <w:rFonts w:cs="Calibri"/>
                <w:b w:val="0"/>
                <w:color w:val="000000"/>
                <w:sz w:val="22"/>
                <w:szCs w:val="22"/>
              </w:rPr>
              <w:t>3.8%</w:t>
            </w:r>
          </w:p>
        </w:tc>
        <w:tc>
          <w:tcPr>
            <w:tcW w:w="1417" w:type="dxa"/>
          </w:tcPr>
          <w:p w14:paraId="625EB72A" w14:textId="77886F49" w:rsidR="00FE243A" w:rsidRDefault="00FE243A" w:rsidP="00FE243A">
            <w:pPr>
              <w:spacing w:after="0"/>
              <w:jc w:val="right"/>
              <w:rPr>
                <w:rFonts w:cs="Calibri"/>
                <w:color w:val="000000"/>
                <w:sz w:val="22"/>
                <w:szCs w:val="22"/>
                <w:lang w:eastAsia="en-IE"/>
              </w:rPr>
            </w:pPr>
            <w:r>
              <w:rPr>
                <w:rFonts w:cs="Calibri"/>
                <w:color w:val="000000"/>
                <w:sz w:val="22"/>
                <w:szCs w:val="22"/>
              </w:rPr>
              <w:t>1</w:t>
            </w:r>
            <w:r w:rsidR="001F365B">
              <w:rPr>
                <w:rFonts w:cs="Calibri"/>
                <w:color w:val="000000"/>
                <w:sz w:val="22"/>
                <w:szCs w:val="22"/>
              </w:rPr>
              <w:t>,</w:t>
            </w:r>
            <w:r>
              <w:rPr>
                <w:rFonts w:cs="Calibri"/>
                <w:color w:val="000000"/>
                <w:sz w:val="22"/>
                <w:szCs w:val="22"/>
              </w:rPr>
              <w:t>436</w:t>
            </w:r>
          </w:p>
          <w:p w14:paraId="6939C247" w14:textId="7618CDEE" w:rsidR="00FE243A" w:rsidRPr="00FE243A" w:rsidRDefault="00FE243A" w:rsidP="00FE243A">
            <w:pPr>
              <w:jc w:val="right"/>
              <w:rPr>
                <w:sz w:val="22"/>
                <w:szCs w:val="22"/>
              </w:rPr>
            </w:pPr>
          </w:p>
        </w:tc>
        <w:tc>
          <w:tcPr>
            <w:tcW w:w="1418" w:type="dxa"/>
          </w:tcPr>
          <w:p w14:paraId="21C64807" w14:textId="77777777" w:rsidR="00FE243A" w:rsidRDefault="00FE243A" w:rsidP="00FE243A">
            <w:pPr>
              <w:spacing w:after="0"/>
              <w:jc w:val="right"/>
              <w:rPr>
                <w:rFonts w:cs="Calibri"/>
                <w:color w:val="000000"/>
                <w:sz w:val="22"/>
                <w:szCs w:val="22"/>
                <w:lang w:eastAsia="en-IE"/>
              </w:rPr>
            </w:pPr>
            <w:r>
              <w:rPr>
                <w:rFonts w:cs="Calibri"/>
                <w:color w:val="000000"/>
                <w:sz w:val="22"/>
                <w:szCs w:val="22"/>
              </w:rPr>
              <w:t>78</w:t>
            </w:r>
          </w:p>
          <w:p w14:paraId="67DEFAB4" w14:textId="0A519048" w:rsidR="00FE243A" w:rsidRPr="00FE243A" w:rsidRDefault="00FE243A" w:rsidP="00FE243A">
            <w:pPr>
              <w:pStyle w:val="TableHead"/>
              <w:jc w:val="right"/>
              <w:rPr>
                <w:b w:val="0"/>
                <w:sz w:val="22"/>
                <w:szCs w:val="22"/>
              </w:rPr>
            </w:pPr>
          </w:p>
        </w:tc>
        <w:tc>
          <w:tcPr>
            <w:tcW w:w="1417" w:type="dxa"/>
          </w:tcPr>
          <w:p w14:paraId="7E267E0E" w14:textId="77777777" w:rsidR="00FE243A" w:rsidRDefault="00FE243A" w:rsidP="00FE243A">
            <w:pPr>
              <w:spacing w:after="0"/>
              <w:jc w:val="right"/>
              <w:rPr>
                <w:rFonts w:cs="Calibri"/>
                <w:color w:val="000000"/>
                <w:sz w:val="22"/>
                <w:szCs w:val="22"/>
                <w:lang w:eastAsia="en-IE"/>
              </w:rPr>
            </w:pPr>
            <w:r>
              <w:rPr>
                <w:rFonts w:cs="Calibri"/>
                <w:color w:val="000000"/>
                <w:sz w:val="22"/>
                <w:szCs w:val="22"/>
              </w:rPr>
              <w:t>5.4%</w:t>
            </w:r>
          </w:p>
          <w:p w14:paraId="7044AE38" w14:textId="7C34A2AC" w:rsidR="00FE243A" w:rsidRPr="00FE243A" w:rsidRDefault="00FE243A" w:rsidP="00FE243A">
            <w:pPr>
              <w:pStyle w:val="TableHead"/>
              <w:jc w:val="right"/>
              <w:rPr>
                <w:b w:val="0"/>
                <w:sz w:val="22"/>
                <w:szCs w:val="22"/>
              </w:rPr>
            </w:pPr>
          </w:p>
        </w:tc>
      </w:tr>
      <w:tr w:rsidR="00FE243A" w:rsidRPr="00611BF3" w14:paraId="3DF4A745" w14:textId="77777777" w:rsidTr="00985D19">
        <w:tc>
          <w:tcPr>
            <w:tcW w:w="2253" w:type="dxa"/>
          </w:tcPr>
          <w:p w14:paraId="48BD7A3A" w14:textId="77777777" w:rsidR="00FE243A" w:rsidRPr="00FE243A" w:rsidRDefault="00FE243A" w:rsidP="00FE243A">
            <w:pPr>
              <w:pStyle w:val="TableHead"/>
              <w:rPr>
                <w:b w:val="0"/>
                <w:sz w:val="22"/>
                <w:szCs w:val="22"/>
              </w:rPr>
            </w:pPr>
            <w:r w:rsidRPr="00FE243A">
              <w:rPr>
                <w:rFonts w:cs="Calibri"/>
                <w:b w:val="0"/>
                <w:color w:val="000000"/>
                <w:sz w:val="22"/>
                <w:szCs w:val="22"/>
              </w:rPr>
              <w:t>Veterinary Council of Ireland</w:t>
            </w:r>
          </w:p>
        </w:tc>
        <w:tc>
          <w:tcPr>
            <w:tcW w:w="1843" w:type="dxa"/>
          </w:tcPr>
          <w:p w14:paraId="2806E5D4" w14:textId="2F950834" w:rsidR="00FE243A" w:rsidRPr="00FE243A" w:rsidRDefault="00FE243A" w:rsidP="00FE243A">
            <w:pPr>
              <w:pStyle w:val="TableHead"/>
              <w:jc w:val="right"/>
              <w:rPr>
                <w:b w:val="0"/>
                <w:bCs/>
                <w:sz w:val="22"/>
                <w:szCs w:val="22"/>
              </w:rPr>
            </w:pPr>
            <w:r w:rsidRPr="00FE243A">
              <w:rPr>
                <w:rFonts w:cs="Calibri"/>
                <w:b w:val="0"/>
                <w:bCs/>
                <w:color w:val="000000"/>
                <w:sz w:val="22"/>
                <w:szCs w:val="22"/>
              </w:rPr>
              <w:t>11</w:t>
            </w:r>
          </w:p>
        </w:tc>
        <w:tc>
          <w:tcPr>
            <w:tcW w:w="1559" w:type="dxa"/>
          </w:tcPr>
          <w:p w14:paraId="2BABB8EE" w14:textId="4ACF2DBD" w:rsidR="00FE243A" w:rsidRPr="00FE243A" w:rsidRDefault="00FE243A" w:rsidP="00FE243A">
            <w:pPr>
              <w:pStyle w:val="TableHead"/>
              <w:jc w:val="right"/>
              <w:rPr>
                <w:b w:val="0"/>
                <w:sz w:val="22"/>
                <w:szCs w:val="22"/>
              </w:rPr>
            </w:pPr>
            <w:r w:rsidRPr="00FE243A">
              <w:rPr>
                <w:rFonts w:cs="Calibri"/>
                <w:b w:val="0"/>
                <w:color w:val="000000"/>
                <w:sz w:val="22"/>
                <w:szCs w:val="22"/>
              </w:rPr>
              <w:t>0</w:t>
            </w:r>
          </w:p>
        </w:tc>
        <w:tc>
          <w:tcPr>
            <w:tcW w:w="1418" w:type="dxa"/>
          </w:tcPr>
          <w:p w14:paraId="75E23DCD" w14:textId="50594109" w:rsidR="00FE243A" w:rsidRPr="00FE243A" w:rsidRDefault="00FE243A" w:rsidP="00FE243A">
            <w:pPr>
              <w:pStyle w:val="TableHead"/>
              <w:jc w:val="right"/>
              <w:rPr>
                <w:b w:val="0"/>
                <w:sz w:val="22"/>
                <w:szCs w:val="22"/>
              </w:rPr>
            </w:pPr>
            <w:r w:rsidRPr="00FE243A">
              <w:rPr>
                <w:rFonts w:cs="Calibri"/>
                <w:b w:val="0"/>
                <w:color w:val="000000"/>
                <w:sz w:val="22"/>
                <w:szCs w:val="22"/>
              </w:rPr>
              <w:t>0.0%</w:t>
            </w:r>
          </w:p>
        </w:tc>
        <w:tc>
          <w:tcPr>
            <w:tcW w:w="1417" w:type="dxa"/>
          </w:tcPr>
          <w:p w14:paraId="2CF4963F" w14:textId="77777777" w:rsidR="00FE243A" w:rsidRDefault="00FE243A" w:rsidP="00FE243A">
            <w:pPr>
              <w:spacing w:after="0"/>
              <w:jc w:val="right"/>
              <w:rPr>
                <w:rFonts w:cs="Calibri"/>
                <w:color w:val="000000"/>
                <w:sz w:val="22"/>
                <w:szCs w:val="22"/>
                <w:lang w:eastAsia="en-IE"/>
              </w:rPr>
            </w:pPr>
            <w:r>
              <w:rPr>
                <w:rFonts w:cs="Calibri"/>
                <w:color w:val="000000"/>
                <w:sz w:val="22"/>
                <w:szCs w:val="22"/>
              </w:rPr>
              <w:t>11</w:t>
            </w:r>
          </w:p>
          <w:p w14:paraId="0369DC49" w14:textId="270CD052" w:rsidR="00FE243A" w:rsidRPr="00FE243A" w:rsidRDefault="00FE243A" w:rsidP="00FE243A">
            <w:pPr>
              <w:jc w:val="right"/>
              <w:rPr>
                <w:sz w:val="22"/>
                <w:szCs w:val="22"/>
              </w:rPr>
            </w:pPr>
          </w:p>
        </w:tc>
        <w:tc>
          <w:tcPr>
            <w:tcW w:w="1418" w:type="dxa"/>
          </w:tcPr>
          <w:p w14:paraId="0F3484E9" w14:textId="59EF928C" w:rsidR="00FE243A" w:rsidRPr="00FE243A" w:rsidRDefault="00FE243A" w:rsidP="00FE243A">
            <w:pPr>
              <w:pStyle w:val="TableHead"/>
              <w:jc w:val="right"/>
              <w:rPr>
                <w:b w:val="0"/>
                <w:sz w:val="22"/>
                <w:szCs w:val="22"/>
              </w:rPr>
            </w:pPr>
            <w:r>
              <w:rPr>
                <w:b w:val="0"/>
                <w:sz w:val="22"/>
                <w:szCs w:val="22"/>
              </w:rPr>
              <w:t>0</w:t>
            </w:r>
          </w:p>
        </w:tc>
        <w:tc>
          <w:tcPr>
            <w:tcW w:w="1417" w:type="dxa"/>
          </w:tcPr>
          <w:p w14:paraId="41804C88" w14:textId="77777777" w:rsidR="00FE243A" w:rsidRDefault="00FE243A" w:rsidP="00FE243A">
            <w:pPr>
              <w:spacing w:after="0"/>
              <w:jc w:val="right"/>
              <w:rPr>
                <w:rFonts w:cs="Calibri"/>
                <w:color w:val="000000"/>
                <w:sz w:val="22"/>
                <w:szCs w:val="22"/>
                <w:lang w:eastAsia="en-IE"/>
              </w:rPr>
            </w:pPr>
            <w:r>
              <w:rPr>
                <w:rFonts w:cs="Calibri"/>
                <w:color w:val="000000"/>
                <w:sz w:val="22"/>
                <w:szCs w:val="22"/>
              </w:rPr>
              <w:t>0.0%</w:t>
            </w:r>
          </w:p>
          <w:p w14:paraId="6CDB8E72" w14:textId="30A11102" w:rsidR="00FE243A" w:rsidRPr="00FE243A" w:rsidRDefault="00FE243A" w:rsidP="00FE243A">
            <w:pPr>
              <w:pStyle w:val="TableHead"/>
              <w:jc w:val="right"/>
              <w:rPr>
                <w:b w:val="0"/>
                <w:sz w:val="22"/>
                <w:szCs w:val="22"/>
              </w:rPr>
            </w:pPr>
          </w:p>
        </w:tc>
      </w:tr>
      <w:tr w:rsidR="00FE243A" w:rsidRPr="00611BF3" w14:paraId="716D207A" w14:textId="77777777" w:rsidTr="00985D19">
        <w:tc>
          <w:tcPr>
            <w:tcW w:w="2253" w:type="dxa"/>
          </w:tcPr>
          <w:p w14:paraId="6DC1E5A5" w14:textId="77777777" w:rsidR="00FE243A" w:rsidRPr="00FE243A" w:rsidRDefault="00FE243A" w:rsidP="00FE243A">
            <w:pPr>
              <w:pStyle w:val="TableHead"/>
              <w:rPr>
                <w:sz w:val="22"/>
                <w:szCs w:val="22"/>
              </w:rPr>
            </w:pPr>
            <w:r w:rsidRPr="00FE243A">
              <w:rPr>
                <w:sz w:val="22"/>
                <w:szCs w:val="22"/>
              </w:rPr>
              <w:t>Grand Total</w:t>
            </w:r>
          </w:p>
        </w:tc>
        <w:tc>
          <w:tcPr>
            <w:tcW w:w="1843" w:type="dxa"/>
          </w:tcPr>
          <w:p w14:paraId="036877C1" w14:textId="77777777" w:rsidR="00FE243A" w:rsidRPr="00FE243A" w:rsidRDefault="00FE243A" w:rsidP="00FE243A">
            <w:pPr>
              <w:spacing w:after="0"/>
              <w:jc w:val="right"/>
              <w:rPr>
                <w:rFonts w:cs="Calibri"/>
                <w:b/>
                <w:color w:val="000000"/>
                <w:sz w:val="22"/>
                <w:szCs w:val="22"/>
                <w:lang w:eastAsia="en-IE"/>
              </w:rPr>
            </w:pPr>
            <w:r w:rsidRPr="00FE243A">
              <w:rPr>
                <w:rFonts w:cs="Calibri"/>
                <w:b/>
                <w:color w:val="000000"/>
                <w:sz w:val="22"/>
                <w:szCs w:val="22"/>
              </w:rPr>
              <w:t>3,360</w:t>
            </w:r>
          </w:p>
          <w:p w14:paraId="3C3E43D1" w14:textId="77777777" w:rsidR="00FE243A" w:rsidRPr="00FE243A" w:rsidRDefault="00FE243A" w:rsidP="00FE243A">
            <w:pPr>
              <w:pStyle w:val="TableHead"/>
              <w:jc w:val="right"/>
              <w:rPr>
                <w:b w:val="0"/>
                <w:bCs/>
                <w:sz w:val="22"/>
                <w:szCs w:val="22"/>
              </w:rPr>
            </w:pPr>
          </w:p>
        </w:tc>
        <w:tc>
          <w:tcPr>
            <w:tcW w:w="1559" w:type="dxa"/>
          </w:tcPr>
          <w:p w14:paraId="091A759E" w14:textId="77777777" w:rsidR="00FE243A" w:rsidRPr="00FE243A" w:rsidRDefault="00FE243A" w:rsidP="00FE243A">
            <w:pPr>
              <w:spacing w:after="0"/>
              <w:jc w:val="right"/>
              <w:rPr>
                <w:rFonts w:cs="Calibri"/>
                <w:b/>
                <w:bCs/>
                <w:color w:val="000000"/>
                <w:sz w:val="22"/>
                <w:szCs w:val="22"/>
                <w:lang w:eastAsia="en-IE"/>
              </w:rPr>
            </w:pPr>
            <w:r w:rsidRPr="00FE243A">
              <w:rPr>
                <w:rFonts w:cs="Calibri"/>
                <w:b/>
                <w:bCs/>
                <w:color w:val="000000"/>
                <w:sz w:val="22"/>
                <w:szCs w:val="22"/>
              </w:rPr>
              <w:t>142</w:t>
            </w:r>
          </w:p>
          <w:p w14:paraId="49C08D13" w14:textId="77777777" w:rsidR="00FE243A" w:rsidRPr="00FE243A" w:rsidRDefault="00FE243A" w:rsidP="00FE243A">
            <w:pPr>
              <w:pStyle w:val="TableHead"/>
              <w:jc w:val="right"/>
              <w:rPr>
                <w:sz w:val="22"/>
                <w:szCs w:val="22"/>
              </w:rPr>
            </w:pPr>
          </w:p>
        </w:tc>
        <w:tc>
          <w:tcPr>
            <w:tcW w:w="1418" w:type="dxa"/>
          </w:tcPr>
          <w:p w14:paraId="0B20DB93" w14:textId="77777777" w:rsidR="00FE243A" w:rsidRPr="00FE243A" w:rsidRDefault="00FE243A" w:rsidP="00FE243A">
            <w:pPr>
              <w:spacing w:after="0"/>
              <w:jc w:val="right"/>
              <w:rPr>
                <w:rFonts w:cs="Calibri"/>
                <w:b/>
                <w:bCs/>
                <w:color w:val="000000"/>
                <w:sz w:val="22"/>
                <w:szCs w:val="22"/>
                <w:lang w:eastAsia="en-IE"/>
              </w:rPr>
            </w:pPr>
            <w:r w:rsidRPr="00FE243A">
              <w:rPr>
                <w:rFonts w:cs="Calibri"/>
                <w:b/>
                <w:bCs/>
                <w:color w:val="000000"/>
                <w:sz w:val="22"/>
                <w:szCs w:val="22"/>
              </w:rPr>
              <w:t>4.2%</w:t>
            </w:r>
          </w:p>
          <w:p w14:paraId="067F95FC" w14:textId="77777777" w:rsidR="00FE243A" w:rsidRPr="00FE243A" w:rsidRDefault="00FE243A" w:rsidP="00FE243A">
            <w:pPr>
              <w:pStyle w:val="TableHead"/>
              <w:jc w:val="right"/>
              <w:rPr>
                <w:sz w:val="22"/>
                <w:szCs w:val="22"/>
              </w:rPr>
            </w:pPr>
          </w:p>
        </w:tc>
        <w:tc>
          <w:tcPr>
            <w:tcW w:w="1417" w:type="dxa"/>
          </w:tcPr>
          <w:p w14:paraId="360A224C" w14:textId="48224020" w:rsidR="00FE243A" w:rsidRDefault="00FE243A" w:rsidP="00FE243A">
            <w:pPr>
              <w:spacing w:after="0"/>
              <w:jc w:val="right"/>
              <w:rPr>
                <w:rFonts w:cs="Calibri"/>
                <w:b/>
                <w:bCs/>
                <w:color w:val="000000"/>
                <w:sz w:val="22"/>
                <w:szCs w:val="22"/>
                <w:lang w:eastAsia="en-IE"/>
              </w:rPr>
            </w:pPr>
            <w:r>
              <w:rPr>
                <w:rFonts w:cs="Calibri"/>
                <w:b/>
                <w:bCs/>
                <w:color w:val="000000"/>
                <w:sz w:val="22"/>
                <w:szCs w:val="22"/>
              </w:rPr>
              <w:t>3</w:t>
            </w:r>
            <w:r w:rsidR="001F365B">
              <w:rPr>
                <w:rFonts w:cs="Calibri"/>
                <w:b/>
                <w:bCs/>
                <w:color w:val="000000"/>
                <w:sz w:val="22"/>
                <w:szCs w:val="22"/>
              </w:rPr>
              <w:t>,</w:t>
            </w:r>
            <w:r>
              <w:rPr>
                <w:rFonts w:cs="Calibri"/>
                <w:b/>
                <w:bCs/>
                <w:color w:val="000000"/>
                <w:sz w:val="22"/>
                <w:szCs w:val="22"/>
              </w:rPr>
              <w:t>021</w:t>
            </w:r>
          </w:p>
          <w:p w14:paraId="715962EB" w14:textId="77777777" w:rsidR="00FE243A" w:rsidRPr="00FE243A" w:rsidRDefault="00FE243A" w:rsidP="00FE243A">
            <w:pPr>
              <w:pStyle w:val="TableHead"/>
              <w:jc w:val="right"/>
              <w:rPr>
                <w:sz w:val="22"/>
                <w:szCs w:val="22"/>
              </w:rPr>
            </w:pPr>
          </w:p>
        </w:tc>
        <w:tc>
          <w:tcPr>
            <w:tcW w:w="1418" w:type="dxa"/>
          </w:tcPr>
          <w:p w14:paraId="24DC22DC" w14:textId="77777777" w:rsidR="00FE243A" w:rsidRDefault="00FE243A" w:rsidP="00FE243A">
            <w:pPr>
              <w:spacing w:after="0"/>
              <w:jc w:val="right"/>
              <w:rPr>
                <w:rFonts w:cs="Calibri"/>
                <w:b/>
                <w:bCs/>
                <w:color w:val="000000"/>
                <w:sz w:val="22"/>
                <w:szCs w:val="22"/>
                <w:lang w:eastAsia="en-IE"/>
              </w:rPr>
            </w:pPr>
            <w:r>
              <w:rPr>
                <w:rFonts w:cs="Calibri"/>
                <w:b/>
                <w:bCs/>
                <w:color w:val="000000"/>
                <w:sz w:val="22"/>
                <w:szCs w:val="22"/>
              </w:rPr>
              <w:t>159</w:t>
            </w:r>
          </w:p>
          <w:p w14:paraId="3A033812" w14:textId="77777777" w:rsidR="00FE243A" w:rsidRPr="00FE243A" w:rsidRDefault="00FE243A" w:rsidP="00FE243A">
            <w:pPr>
              <w:pStyle w:val="TableHead"/>
              <w:jc w:val="right"/>
              <w:rPr>
                <w:sz w:val="22"/>
                <w:szCs w:val="22"/>
              </w:rPr>
            </w:pPr>
          </w:p>
        </w:tc>
        <w:tc>
          <w:tcPr>
            <w:tcW w:w="1417" w:type="dxa"/>
          </w:tcPr>
          <w:p w14:paraId="00C0DF81" w14:textId="77777777" w:rsidR="00E9757B" w:rsidRDefault="00E9757B" w:rsidP="00E9757B">
            <w:pPr>
              <w:spacing w:after="0"/>
              <w:jc w:val="right"/>
              <w:rPr>
                <w:rFonts w:cs="Calibri"/>
                <w:b/>
                <w:bCs/>
                <w:color w:val="000000"/>
                <w:sz w:val="22"/>
                <w:szCs w:val="22"/>
                <w:lang w:eastAsia="en-IE"/>
              </w:rPr>
            </w:pPr>
            <w:r>
              <w:rPr>
                <w:rFonts w:cs="Calibri"/>
                <w:b/>
                <w:bCs/>
                <w:color w:val="000000"/>
                <w:sz w:val="22"/>
                <w:szCs w:val="22"/>
              </w:rPr>
              <w:t>5.3%</w:t>
            </w:r>
          </w:p>
          <w:p w14:paraId="241BFDC4" w14:textId="7BC73994" w:rsidR="00E9757B" w:rsidRDefault="00E9757B" w:rsidP="00E9757B">
            <w:pPr>
              <w:spacing w:after="0"/>
              <w:rPr>
                <w:rFonts w:cs="Calibri"/>
                <w:b/>
                <w:bCs/>
                <w:color w:val="000000"/>
                <w:sz w:val="22"/>
                <w:szCs w:val="22"/>
                <w:lang w:eastAsia="en-IE"/>
              </w:rPr>
            </w:pPr>
          </w:p>
          <w:p w14:paraId="714EA717" w14:textId="77777777" w:rsidR="00FE243A" w:rsidRPr="00FE243A" w:rsidRDefault="00FE243A" w:rsidP="00FE243A">
            <w:pPr>
              <w:pStyle w:val="TableHead"/>
              <w:jc w:val="right"/>
              <w:rPr>
                <w:sz w:val="22"/>
                <w:szCs w:val="22"/>
              </w:rPr>
            </w:pPr>
          </w:p>
        </w:tc>
      </w:tr>
    </w:tbl>
    <w:p w14:paraId="2B673C25" w14:textId="6A304165" w:rsidR="001D4642" w:rsidRPr="00611BF3" w:rsidRDefault="001D4642" w:rsidP="00813069">
      <w:pPr>
        <w:rPr>
          <w:b/>
          <w:highlight w:val="green"/>
        </w:rPr>
      </w:pPr>
    </w:p>
    <w:p w14:paraId="1C322B54" w14:textId="66BE8162" w:rsidR="00813069" w:rsidRPr="00FE243A" w:rsidRDefault="00DA7F72" w:rsidP="001624B2">
      <w:pPr>
        <w:pStyle w:val="Heading2"/>
        <w:jc w:val="center"/>
        <w:rPr>
          <w:color w:val="000000" w:themeColor="text1"/>
        </w:rPr>
      </w:pPr>
      <w:bookmarkStart w:id="71" w:name="_Toc146113876"/>
      <w:r w:rsidRPr="00FE243A">
        <w:rPr>
          <w:color w:val="000000" w:themeColor="text1"/>
        </w:rPr>
        <w:lastRenderedPageBreak/>
        <w:t xml:space="preserve">Department of Children, </w:t>
      </w:r>
      <w:r w:rsidR="00813069" w:rsidRPr="00FE243A">
        <w:rPr>
          <w:color w:val="000000" w:themeColor="text1"/>
        </w:rPr>
        <w:t>Equali</w:t>
      </w:r>
      <w:r w:rsidR="00173A21" w:rsidRPr="00FE243A">
        <w:rPr>
          <w:color w:val="000000" w:themeColor="text1"/>
        </w:rPr>
        <w:t xml:space="preserve">ty, </w:t>
      </w:r>
      <w:r w:rsidR="00124804" w:rsidRPr="00FE243A">
        <w:rPr>
          <w:color w:val="000000" w:themeColor="text1"/>
        </w:rPr>
        <w:t xml:space="preserve">Disability, Integration &amp; </w:t>
      </w:r>
      <w:r w:rsidR="00813069" w:rsidRPr="00FE243A">
        <w:rPr>
          <w:color w:val="000000" w:themeColor="text1"/>
        </w:rPr>
        <w:t>Youth</w:t>
      </w:r>
      <w:bookmarkEnd w:id="71"/>
    </w:p>
    <w:tbl>
      <w:tblPr>
        <w:tblStyle w:val="TableGrid"/>
        <w:tblpPr w:leftFromText="180" w:rightFromText="180" w:vertAnchor="text" w:horzAnchor="page" w:tblpX="496" w:tblpY="285"/>
        <w:tblW w:w="11477" w:type="dxa"/>
        <w:tblLayout w:type="fixed"/>
        <w:tblLook w:val="04A0" w:firstRow="1" w:lastRow="0" w:firstColumn="1" w:lastColumn="0" w:noHBand="0" w:noVBand="1"/>
        <w:tblCaption w:val="Appendix B Public bodies"/>
        <w:tblDescription w:val="Department of Children and Youth Affairs"/>
      </w:tblPr>
      <w:tblGrid>
        <w:gridCol w:w="2405"/>
        <w:gridCol w:w="1701"/>
        <w:gridCol w:w="1559"/>
        <w:gridCol w:w="1565"/>
        <w:gridCol w:w="1412"/>
        <w:gridCol w:w="1418"/>
        <w:gridCol w:w="1417"/>
      </w:tblGrid>
      <w:tr w:rsidR="00D2484D" w:rsidRPr="00FE243A" w14:paraId="103DD96E" w14:textId="77777777" w:rsidTr="002D11DB">
        <w:trPr>
          <w:tblHeader/>
        </w:trPr>
        <w:tc>
          <w:tcPr>
            <w:tcW w:w="2405" w:type="dxa"/>
          </w:tcPr>
          <w:p w14:paraId="138331FA" w14:textId="77777777"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Public Body</w:t>
            </w:r>
          </w:p>
        </w:tc>
        <w:tc>
          <w:tcPr>
            <w:tcW w:w="1701" w:type="dxa"/>
          </w:tcPr>
          <w:p w14:paraId="7FA7D12B" w14:textId="77777777" w:rsidR="00F516FE" w:rsidRPr="00FE243A" w:rsidRDefault="00D2484D" w:rsidP="00D2484D">
            <w:pPr>
              <w:pStyle w:val="TableRowHead"/>
              <w:rPr>
                <w:rFonts w:ascii="Gill Sans MT" w:hAnsi="Gill Sans MT"/>
                <w:sz w:val="22"/>
                <w:szCs w:val="22"/>
              </w:rPr>
            </w:pPr>
            <w:r w:rsidRPr="00FE243A">
              <w:rPr>
                <w:rFonts w:ascii="Gill Sans MT" w:hAnsi="Gill Sans MT"/>
                <w:sz w:val="22"/>
                <w:szCs w:val="22"/>
              </w:rPr>
              <w:t xml:space="preserve">Total </w:t>
            </w:r>
          </w:p>
          <w:p w14:paraId="41D57368" w14:textId="77777777" w:rsidR="00F516FE" w:rsidRPr="00FE243A" w:rsidRDefault="00D2484D" w:rsidP="00D2484D">
            <w:pPr>
              <w:pStyle w:val="TableRowHead"/>
              <w:rPr>
                <w:rFonts w:ascii="Gill Sans MT" w:hAnsi="Gill Sans MT"/>
                <w:sz w:val="22"/>
                <w:szCs w:val="22"/>
              </w:rPr>
            </w:pPr>
            <w:r w:rsidRPr="00FE243A">
              <w:rPr>
                <w:rFonts w:ascii="Gill Sans MT" w:hAnsi="Gill Sans MT"/>
                <w:sz w:val="22"/>
                <w:szCs w:val="22"/>
              </w:rPr>
              <w:t xml:space="preserve">number </w:t>
            </w:r>
          </w:p>
          <w:p w14:paraId="48BFC4E8" w14:textId="77777777" w:rsidR="00F516FE" w:rsidRPr="00FE243A" w:rsidRDefault="00D2484D" w:rsidP="00D2484D">
            <w:pPr>
              <w:pStyle w:val="TableRowHead"/>
              <w:rPr>
                <w:rFonts w:ascii="Gill Sans MT" w:hAnsi="Gill Sans MT"/>
                <w:sz w:val="22"/>
                <w:szCs w:val="22"/>
              </w:rPr>
            </w:pPr>
            <w:r w:rsidRPr="00FE243A">
              <w:rPr>
                <w:rFonts w:ascii="Gill Sans MT" w:hAnsi="Gill Sans MT"/>
                <w:sz w:val="22"/>
                <w:szCs w:val="22"/>
              </w:rPr>
              <w:t xml:space="preserve">of </w:t>
            </w:r>
          </w:p>
          <w:p w14:paraId="2B2109F4" w14:textId="7B532ECB"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employees  202</w:t>
            </w:r>
            <w:r w:rsidR="00E9757B">
              <w:rPr>
                <w:rFonts w:ascii="Gill Sans MT" w:hAnsi="Gill Sans MT"/>
                <w:sz w:val="22"/>
                <w:szCs w:val="22"/>
              </w:rPr>
              <w:t>1</w:t>
            </w:r>
          </w:p>
        </w:tc>
        <w:tc>
          <w:tcPr>
            <w:tcW w:w="1559" w:type="dxa"/>
          </w:tcPr>
          <w:p w14:paraId="2D87B015" w14:textId="77777777"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Number of employees reporting a disability</w:t>
            </w:r>
          </w:p>
          <w:p w14:paraId="497AD252" w14:textId="78D0F39C"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202</w:t>
            </w:r>
            <w:r w:rsidR="00E9757B">
              <w:rPr>
                <w:rFonts w:ascii="Gill Sans MT" w:hAnsi="Gill Sans MT"/>
                <w:sz w:val="22"/>
                <w:szCs w:val="22"/>
              </w:rPr>
              <w:t>1</w:t>
            </w:r>
          </w:p>
        </w:tc>
        <w:tc>
          <w:tcPr>
            <w:tcW w:w="1565" w:type="dxa"/>
          </w:tcPr>
          <w:p w14:paraId="07E37294" w14:textId="77777777"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 of employees reporting a</w:t>
            </w:r>
          </w:p>
          <w:p w14:paraId="3BAF42A0" w14:textId="468057B6"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disabilities 202</w:t>
            </w:r>
            <w:r w:rsidR="00E9757B">
              <w:rPr>
                <w:rFonts w:ascii="Gill Sans MT" w:hAnsi="Gill Sans MT"/>
                <w:sz w:val="22"/>
                <w:szCs w:val="22"/>
              </w:rPr>
              <w:t>1</w:t>
            </w:r>
          </w:p>
        </w:tc>
        <w:tc>
          <w:tcPr>
            <w:tcW w:w="1412" w:type="dxa"/>
          </w:tcPr>
          <w:p w14:paraId="0D6FC7CC" w14:textId="77777777" w:rsidR="00F516FE" w:rsidRPr="00FE243A" w:rsidRDefault="00D2484D" w:rsidP="00D2484D">
            <w:pPr>
              <w:pStyle w:val="TableRowHead"/>
              <w:rPr>
                <w:rFonts w:ascii="Gill Sans MT" w:hAnsi="Gill Sans MT"/>
                <w:sz w:val="22"/>
                <w:szCs w:val="22"/>
              </w:rPr>
            </w:pPr>
            <w:r w:rsidRPr="00FE243A">
              <w:rPr>
                <w:rFonts w:ascii="Gill Sans MT" w:hAnsi="Gill Sans MT"/>
                <w:sz w:val="22"/>
                <w:szCs w:val="22"/>
              </w:rPr>
              <w:t xml:space="preserve">Total number </w:t>
            </w:r>
          </w:p>
          <w:p w14:paraId="4D9BCA11" w14:textId="7069DCAB"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of employees  202</w:t>
            </w:r>
            <w:r w:rsidR="00E9757B">
              <w:rPr>
                <w:rFonts w:ascii="Gill Sans MT" w:hAnsi="Gill Sans MT"/>
                <w:sz w:val="22"/>
                <w:szCs w:val="22"/>
              </w:rPr>
              <w:t>2</w:t>
            </w:r>
          </w:p>
        </w:tc>
        <w:tc>
          <w:tcPr>
            <w:tcW w:w="1418" w:type="dxa"/>
          </w:tcPr>
          <w:p w14:paraId="6CA3D520" w14:textId="77777777"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 xml:space="preserve">Number of employees reporting a disability </w:t>
            </w:r>
          </w:p>
          <w:p w14:paraId="64341C7E" w14:textId="41BEA5A9"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202</w:t>
            </w:r>
            <w:r w:rsidR="00E9757B">
              <w:rPr>
                <w:rFonts w:ascii="Gill Sans MT" w:hAnsi="Gill Sans MT"/>
                <w:sz w:val="22"/>
                <w:szCs w:val="22"/>
              </w:rPr>
              <w:t>2</w:t>
            </w:r>
          </w:p>
        </w:tc>
        <w:tc>
          <w:tcPr>
            <w:tcW w:w="1417" w:type="dxa"/>
          </w:tcPr>
          <w:p w14:paraId="3E35EEF5" w14:textId="77777777"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 of employees reporting a</w:t>
            </w:r>
          </w:p>
          <w:p w14:paraId="361CF709" w14:textId="19EC6EF3" w:rsidR="00D2484D" w:rsidRPr="00FE243A" w:rsidRDefault="00D2484D" w:rsidP="00D2484D">
            <w:pPr>
              <w:pStyle w:val="TableRowHead"/>
              <w:rPr>
                <w:rFonts w:ascii="Gill Sans MT" w:hAnsi="Gill Sans MT"/>
                <w:sz w:val="22"/>
                <w:szCs w:val="22"/>
              </w:rPr>
            </w:pPr>
            <w:r w:rsidRPr="00FE243A">
              <w:rPr>
                <w:rFonts w:ascii="Gill Sans MT" w:hAnsi="Gill Sans MT"/>
                <w:sz w:val="22"/>
                <w:szCs w:val="22"/>
              </w:rPr>
              <w:t>disability 202</w:t>
            </w:r>
            <w:r w:rsidR="00E9757B">
              <w:rPr>
                <w:rFonts w:ascii="Gill Sans MT" w:hAnsi="Gill Sans MT"/>
                <w:sz w:val="22"/>
                <w:szCs w:val="22"/>
              </w:rPr>
              <w:t>2</w:t>
            </w:r>
          </w:p>
        </w:tc>
      </w:tr>
      <w:tr w:rsidR="00FE243A" w:rsidRPr="00FE243A" w14:paraId="4D7963D5" w14:textId="77777777" w:rsidTr="002D11DB">
        <w:tblPrEx>
          <w:tblLook w:val="0620" w:firstRow="1" w:lastRow="0" w:firstColumn="0" w:lastColumn="0" w:noHBand="1" w:noVBand="1"/>
        </w:tblPrEx>
        <w:trPr>
          <w:trHeight w:val="255"/>
          <w:tblHeader/>
        </w:trPr>
        <w:tc>
          <w:tcPr>
            <w:tcW w:w="2405" w:type="dxa"/>
            <w:tcBorders>
              <w:top w:val="single" w:sz="4" w:space="0" w:color="auto"/>
              <w:left w:val="single" w:sz="4" w:space="0" w:color="auto"/>
              <w:bottom w:val="single" w:sz="4" w:space="0" w:color="auto"/>
              <w:right w:val="single" w:sz="4" w:space="0" w:color="auto"/>
            </w:tcBorders>
            <w:noWrap/>
          </w:tcPr>
          <w:p w14:paraId="2FCB1D8A" w14:textId="77777777" w:rsidR="00FE243A" w:rsidRPr="00FE243A" w:rsidRDefault="00FE243A" w:rsidP="00FE243A">
            <w:pPr>
              <w:rPr>
                <w:rFonts w:cs="Arial"/>
                <w:sz w:val="22"/>
                <w:szCs w:val="22"/>
                <w:lang w:eastAsia="en-IE"/>
              </w:rPr>
            </w:pPr>
            <w:r w:rsidRPr="00FE243A">
              <w:rPr>
                <w:rFonts w:cs="Calibri"/>
                <w:color w:val="000000"/>
                <w:sz w:val="22"/>
                <w:szCs w:val="22"/>
              </w:rPr>
              <w:t xml:space="preserve">Adoption Authority of Ireland </w:t>
            </w:r>
          </w:p>
        </w:tc>
        <w:tc>
          <w:tcPr>
            <w:tcW w:w="1701" w:type="dxa"/>
            <w:tcBorders>
              <w:top w:val="single" w:sz="4" w:space="0" w:color="auto"/>
              <w:left w:val="nil"/>
              <w:bottom w:val="single" w:sz="4" w:space="0" w:color="auto"/>
              <w:right w:val="single" w:sz="4" w:space="0" w:color="auto"/>
            </w:tcBorders>
            <w:noWrap/>
          </w:tcPr>
          <w:p w14:paraId="1E39030A" w14:textId="0EA8A927" w:rsidR="00FE243A" w:rsidRPr="00FE243A" w:rsidRDefault="00FE243A" w:rsidP="00FE243A">
            <w:pPr>
              <w:jc w:val="right"/>
              <w:rPr>
                <w:rFonts w:cs="Arial"/>
                <w:sz w:val="22"/>
                <w:szCs w:val="22"/>
                <w:lang w:eastAsia="en-IE"/>
              </w:rPr>
            </w:pPr>
            <w:r w:rsidRPr="00FE243A">
              <w:rPr>
                <w:rFonts w:cs="Calibri"/>
                <w:color w:val="000000"/>
                <w:sz w:val="22"/>
                <w:szCs w:val="22"/>
              </w:rPr>
              <w:t>31</w:t>
            </w:r>
          </w:p>
        </w:tc>
        <w:tc>
          <w:tcPr>
            <w:tcW w:w="1559" w:type="dxa"/>
            <w:tcBorders>
              <w:top w:val="single" w:sz="4" w:space="0" w:color="auto"/>
              <w:left w:val="nil"/>
              <w:bottom w:val="single" w:sz="4" w:space="0" w:color="auto"/>
              <w:right w:val="single" w:sz="4" w:space="0" w:color="auto"/>
            </w:tcBorders>
            <w:noWrap/>
          </w:tcPr>
          <w:p w14:paraId="0C364A30" w14:textId="74105B62" w:rsidR="00FE243A" w:rsidRPr="00FE243A" w:rsidRDefault="00FE243A" w:rsidP="00FE243A">
            <w:pPr>
              <w:jc w:val="right"/>
              <w:rPr>
                <w:rFonts w:cs="Arial"/>
                <w:sz w:val="22"/>
                <w:szCs w:val="22"/>
                <w:lang w:eastAsia="en-IE"/>
              </w:rPr>
            </w:pPr>
            <w:r w:rsidRPr="00FE243A">
              <w:rPr>
                <w:rFonts w:cs="Calibri"/>
                <w:color w:val="000000"/>
                <w:sz w:val="22"/>
                <w:szCs w:val="22"/>
              </w:rPr>
              <w:t>2</w:t>
            </w:r>
          </w:p>
        </w:tc>
        <w:tc>
          <w:tcPr>
            <w:tcW w:w="1565" w:type="dxa"/>
            <w:tcBorders>
              <w:top w:val="single" w:sz="4" w:space="0" w:color="auto"/>
              <w:left w:val="nil"/>
              <w:bottom w:val="single" w:sz="4" w:space="0" w:color="auto"/>
              <w:right w:val="single" w:sz="4" w:space="0" w:color="auto"/>
            </w:tcBorders>
            <w:noWrap/>
          </w:tcPr>
          <w:p w14:paraId="19C8C5B8" w14:textId="60918EF6" w:rsidR="00FE243A" w:rsidRPr="00FE243A" w:rsidRDefault="00FE243A" w:rsidP="00FE243A">
            <w:pPr>
              <w:jc w:val="right"/>
              <w:rPr>
                <w:rFonts w:cs="Arial"/>
                <w:sz w:val="22"/>
                <w:szCs w:val="22"/>
                <w:lang w:eastAsia="en-IE"/>
              </w:rPr>
            </w:pPr>
            <w:r w:rsidRPr="00FE243A">
              <w:rPr>
                <w:rFonts w:cs="Calibri"/>
                <w:color w:val="000000"/>
                <w:sz w:val="22"/>
                <w:szCs w:val="22"/>
              </w:rPr>
              <w:t>6.5%</w:t>
            </w:r>
          </w:p>
        </w:tc>
        <w:tc>
          <w:tcPr>
            <w:tcW w:w="1412" w:type="dxa"/>
            <w:tcBorders>
              <w:top w:val="single" w:sz="4" w:space="0" w:color="auto"/>
              <w:left w:val="nil"/>
              <w:bottom w:val="single" w:sz="4" w:space="0" w:color="auto"/>
              <w:right w:val="single" w:sz="4" w:space="0" w:color="auto"/>
            </w:tcBorders>
            <w:noWrap/>
          </w:tcPr>
          <w:p w14:paraId="70AE7875" w14:textId="77777777" w:rsidR="00E9757B" w:rsidRDefault="00E9757B" w:rsidP="00E9757B">
            <w:pPr>
              <w:spacing w:after="0"/>
              <w:jc w:val="right"/>
              <w:rPr>
                <w:rFonts w:cs="Calibri"/>
                <w:color w:val="000000"/>
                <w:sz w:val="22"/>
                <w:szCs w:val="22"/>
                <w:lang w:eastAsia="en-IE"/>
              </w:rPr>
            </w:pPr>
            <w:r>
              <w:rPr>
                <w:rFonts w:cs="Calibri"/>
                <w:color w:val="000000"/>
                <w:sz w:val="22"/>
                <w:szCs w:val="22"/>
              </w:rPr>
              <w:t>49</w:t>
            </w:r>
          </w:p>
          <w:p w14:paraId="4655D2C0" w14:textId="2A89C7C5" w:rsidR="00FE243A" w:rsidRPr="00FE243A" w:rsidRDefault="00FE243A" w:rsidP="00FE243A">
            <w:pPr>
              <w:jc w:val="right"/>
              <w:rPr>
                <w:rFonts w:cs="Arial"/>
                <w:sz w:val="22"/>
                <w:szCs w:val="22"/>
                <w:lang w:eastAsia="en-IE"/>
              </w:rPr>
            </w:pPr>
          </w:p>
        </w:tc>
        <w:tc>
          <w:tcPr>
            <w:tcW w:w="1418" w:type="dxa"/>
            <w:tcBorders>
              <w:top w:val="single" w:sz="4" w:space="0" w:color="auto"/>
              <w:left w:val="nil"/>
              <w:bottom w:val="single" w:sz="4" w:space="0" w:color="auto"/>
              <w:right w:val="single" w:sz="4" w:space="0" w:color="auto"/>
            </w:tcBorders>
            <w:noWrap/>
          </w:tcPr>
          <w:p w14:paraId="519D15FA" w14:textId="77777777" w:rsidR="00E9757B" w:rsidRDefault="00E9757B" w:rsidP="00E9757B">
            <w:pPr>
              <w:spacing w:after="0"/>
              <w:jc w:val="right"/>
              <w:rPr>
                <w:rFonts w:cs="Calibri"/>
                <w:color w:val="000000"/>
                <w:sz w:val="22"/>
                <w:szCs w:val="22"/>
                <w:lang w:eastAsia="en-IE"/>
              </w:rPr>
            </w:pPr>
            <w:r>
              <w:rPr>
                <w:rFonts w:cs="Calibri"/>
                <w:color w:val="000000"/>
                <w:sz w:val="22"/>
                <w:szCs w:val="22"/>
              </w:rPr>
              <w:t>2</w:t>
            </w:r>
          </w:p>
          <w:p w14:paraId="6582DE59" w14:textId="1E7285F5" w:rsidR="00FE243A" w:rsidRPr="00FE243A" w:rsidRDefault="00FE243A" w:rsidP="00FE243A">
            <w:pPr>
              <w:jc w:val="right"/>
              <w:rPr>
                <w:rFonts w:cs="Arial"/>
                <w:sz w:val="22"/>
                <w:szCs w:val="22"/>
                <w:lang w:eastAsia="en-IE"/>
              </w:rPr>
            </w:pPr>
          </w:p>
        </w:tc>
        <w:tc>
          <w:tcPr>
            <w:tcW w:w="1417" w:type="dxa"/>
            <w:tcBorders>
              <w:top w:val="single" w:sz="4" w:space="0" w:color="auto"/>
              <w:left w:val="nil"/>
              <w:bottom w:val="single" w:sz="4" w:space="0" w:color="auto"/>
              <w:right w:val="single" w:sz="4" w:space="0" w:color="auto"/>
            </w:tcBorders>
            <w:noWrap/>
          </w:tcPr>
          <w:p w14:paraId="48B7A372" w14:textId="77777777" w:rsidR="00E9757B" w:rsidRDefault="00E9757B" w:rsidP="00E9757B">
            <w:pPr>
              <w:spacing w:after="0"/>
              <w:jc w:val="right"/>
              <w:rPr>
                <w:rFonts w:cs="Calibri"/>
                <w:color w:val="000000"/>
                <w:sz w:val="22"/>
                <w:szCs w:val="22"/>
                <w:lang w:eastAsia="en-IE"/>
              </w:rPr>
            </w:pPr>
            <w:r>
              <w:rPr>
                <w:rFonts w:cs="Calibri"/>
                <w:color w:val="000000"/>
                <w:sz w:val="22"/>
                <w:szCs w:val="22"/>
              </w:rPr>
              <w:t>4.1%</w:t>
            </w:r>
          </w:p>
          <w:p w14:paraId="6898EAED" w14:textId="3219AF9A" w:rsidR="00FE243A" w:rsidRPr="00FE243A" w:rsidRDefault="00FE243A" w:rsidP="00FE243A">
            <w:pPr>
              <w:jc w:val="right"/>
              <w:rPr>
                <w:rFonts w:cs="Arial"/>
                <w:sz w:val="22"/>
                <w:szCs w:val="22"/>
                <w:lang w:eastAsia="en-IE"/>
              </w:rPr>
            </w:pPr>
          </w:p>
        </w:tc>
      </w:tr>
      <w:tr w:rsidR="00FE243A" w:rsidRPr="00FE243A" w14:paraId="6DA147D9" w14:textId="77777777" w:rsidTr="002D11D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44F7C522" w14:textId="77777777" w:rsidR="00FE243A" w:rsidRPr="00FE243A" w:rsidRDefault="00FE243A" w:rsidP="00FE243A">
            <w:pPr>
              <w:rPr>
                <w:rFonts w:cs="Arial"/>
                <w:sz w:val="22"/>
                <w:szCs w:val="22"/>
                <w:lang w:eastAsia="en-IE"/>
              </w:rPr>
            </w:pPr>
            <w:r w:rsidRPr="00FE243A">
              <w:rPr>
                <w:rFonts w:cs="Calibri"/>
                <w:color w:val="000000"/>
                <w:sz w:val="22"/>
                <w:szCs w:val="22"/>
              </w:rPr>
              <w:t>Child &amp; Family Agency (TUSLA)</w:t>
            </w:r>
          </w:p>
        </w:tc>
        <w:tc>
          <w:tcPr>
            <w:tcW w:w="1701" w:type="dxa"/>
            <w:tcBorders>
              <w:top w:val="nil"/>
              <w:left w:val="nil"/>
              <w:bottom w:val="single" w:sz="4" w:space="0" w:color="auto"/>
              <w:right w:val="single" w:sz="4" w:space="0" w:color="auto"/>
            </w:tcBorders>
            <w:noWrap/>
          </w:tcPr>
          <w:p w14:paraId="705292A0" w14:textId="4DC751DB" w:rsidR="00FE243A" w:rsidRPr="00FE243A" w:rsidRDefault="00FE243A" w:rsidP="00FE243A">
            <w:pPr>
              <w:jc w:val="right"/>
              <w:rPr>
                <w:rFonts w:cs="Arial"/>
                <w:sz w:val="22"/>
                <w:szCs w:val="22"/>
                <w:lang w:eastAsia="en-IE"/>
              </w:rPr>
            </w:pPr>
            <w:r w:rsidRPr="00FE243A">
              <w:rPr>
                <w:rFonts w:cs="Calibri"/>
                <w:color w:val="000000"/>
                <w:sz w:val="22"/>
                <w:szCs w:val="22"/>
              </w:rPr>
              <w:t>5,306</w:t>
            </w:r>
          </w:p>
        </w:tc>
        <w:tc>
          <w:tcPr>
            <w:tcW w:w="1559" w:type="dxa"/>
            <w:tcBorders>
              <w:top w:val="nil"/>
              <w:left w:val="nil"/>
              <w:bottom w:val="single" w:sz="4" w:space="0" w:color="auto"/>
              <w:right w:val="single" w:sz="4" w:space="0" w:color="auto"/>
            </w:tcBorders>
            <w:noWrap/>
          </w:tcPr>
          <w:p w14:paraId="2ACFE5D5" w14:textId="24E2488F" w:rsidR="00FE243A" w:rsidRPr="00FE243A" w:rsidRDefault="00FE243A" w:rsidP="00FE243A">
            <w:pPr>
              <w:jc w:val="right"/>
              <w:rPr>
                <w:rFonts w:cs="Arial"/>
                <w:sz w:val="22"/>
                <w:szCs w:val="22"/>
                <w:lang w:eastAsia="en-IE"/>
              </w:rPr>
            </w:pPr>
            <w:r w:rsidRPr="00FE243A">
              <w:rPr>
                <w:rFonts w:cs="Calibri"/>
                <w:color w:val="000000"/>
                <w:sz w:val="22"/>
                <w:szCs w:val="22"/>
              </w:rPr>
              <w:t>236</w:t>
            </w:r>
          </w:p>
        </w:tc>
        <w:tc>
          <w:tcPr>
            <w:tcW w:w="1565" w:type="dxa"/>
            <w:tcBorders>
              <w:top w:val="nil"/>
              <w:left w:val="nil"/>
              <w:bottom w:val="single" w:sz="4" w:space="0" w:color="auto"/>
              <w:right w:val="single" w:sz="4" w:space="0" w:color="auto"/>
            </w:tcBorders>
            <w:noWrap/>
          </w:tcPr>
          <w:p w14:paraId="04B0F0D4" w14:textId="18780FE7" w:rsidR="00FE243A" w:rsidRPr="00FE243A" w:rsidRDefault="00FE243A" w:rsidP="00FE243A">
            <w:pPr>
              <w:jc w:val="right"/>
              <w:rPr>
                <w:rFonts w:cs="Arial"/>
                <w:sz w:val="22"/>
                <w:szCs w:val="22"/>
                <w:lang w:eastAsia="en-IE"/>
              </w:rPr>
            </w:pPr>
            <w:r w:rsidRPr="00FE243A">
              <w:rPr>
                <w:rFonts w:cs="Calibri"/>
                <w:color w:val="000000"/>
                <w:sz w:val="22"/>
                <w:szCs w:val="22"/>
              </w:rPr>
              <w:t>4.4%</w:t>
            </w:r>
          </w:p>
        </w:tc>
        <w:tc>
          <w:tcPr>
            <w:tcW w:w="1412" w:type="dxa"/>
            <w:tcBorders>
              <w:top w:val="nil"/>
              <w:left w:val="nil"/>
              <w:bottom w:val="single" w:sz="4" w:space="0" w:color="auto"/>
              <w:right w:val="single" w:sz="4" w:space="0" w:color="auto"/>
            </w:tcBorders>
            <w:noWrap/>
          </w:tcPr>
          <w:p w14:paraId="7CC6CB32" w14:textId="6502E829" w:rsidR="00E9757B" w:rsidRDefault="00E9757B" w:rsidP="00E9757B">
            <w:pPr>
              <w:spacing w:after="0"/>
              <w:jc w:val="right"/>
              <w:rPr>
                <w:rFonts w:cs="Calibri"/>
                <w:color w:val="000000"/>
                <w:sz w:val="22"/>
                <w:szCs w:val="22"/>
                <w:lang w:eastAsia="en-IE"/>
              </w:rPr>
            </w:pPr>
            <w:r>
              <w:rPr>
                <w:rFonts w:cs="Calibri"/>
                <w:color w:val="000000"/>
                <w:sz w:val="22"/>
                <w:szCs w:val="22"/>
              </w:rPr>
              <w:t>5</w:t>
            </w:r>
            <w:r w:rsidR="001F365B">
              <w:rPr>
                <w:rFonts w:cs="Calibri"/>
                <w:color w:val="000000"/>
                <w:sz w:val="22"/>
                <w:szCs w:val="22"/>
              </w:rPr>
              <w:t>,</w:t>
            </w:r>
            <w:r>
              <w:rPr>
                <w:rFonts w:cs="Calibri"/>
                <w:color w:val="000000"/>
                <w:sz w:val="22"/>
                <w:szCs w:val="22"/>
              </w:rPr>
              <w:t>419</w:t>
            </w:r>
          </w:p>
          <w:p w14:paraId="13139D55" w14:textId="2C9A5E43" w:rsidR="00FE243A" w:rsidRPr="00FE243A" w:rsidRDefault="00FE243A" w:rsidP="00FE243A">
            <w:pPr>
              <w:jc w:val="right"/>
              <w:rPr>
                <w:rFonts w:cs="Arial"/>
                <w:sz w:val="22"/>
                <w:szCs w:val="22"/>
                <w:lang w:eastAsia="en-IE"/>
              </w:rPr>
            </w:pPr>
          </w:p>
        </w:tc>
        <w:tc>
          <w:tcPr>
            <w:tcW w:w="1418" w:type="dxa"/>
            <w:tcBorders>
              <w:top w:val="nil"/>
              <w:left w:val="nil"/>
              <w:bottom w:val="single" w:sz="4" w:space="0" w:color="auto"/>
              <w:right w:val="single" w:sz="4" w:space="0" w:color="auto"/>
            </w:tcBorders>
            <w:noWrap/>
          </w:tcPr>
          <w:p w14:paraId="6DB56139" w14:textId="77777777" w:rsidR="00E9757B" w:rsidRDefault="00E9757B" w:rsidP="00E9757B">
            <w:pPr>
              <w:spacing w:after="0"/>
              <w:jc w:val="right"/>
              <w:rPr>
                <w:rFonts w:cs="Calibri"/>
                <w:color w:val="000000"/>
                <w:sz w:val="22"/>
                <w:szCs w:val="22"/>
                <w:lang w:eastAsia="en-IE"/>
              </w:rPr>
            </w:pPr>
            <w:r>
              <w:rPr>
                <w:rFonts w:cs="Calibri"/>
                <w:color w:val="000000"/>
                <w:sz w:val="22"/>
                <w:szCs w:val="22"/>
              </w:rPr>
              <w:t>259</w:t>
            </w:r>
          </w:p>
          <w:p w14:paraId="72876EB6" w14:textId="58436584" w:rsidR="00FE243A" w:rsidRPr="00FE243A" w:rsidRDefault="00FE243A" w:rsidP="00FE243A">
            <w:pPr>
              <w:jc w:val="right"/>
              <w:rPr>
                <w:rFonts w:cs="Arial"/>
                <w:sz w:val="22"/>
                <w:szCs w:val="22"/>
                <w:lang w:eastAsia="en-IE"/>
              </w:rPr>
            </w:pPr>
          </w:p>
        </w:tc>
        <w:tc>
          <w:tcPr>
            <w:tcW w:w="1417" w:type="dxa"/>
            <w:tcBorders>
              <w:top w:val="nil"/>
              <w:left w:val="nil"/>
              <w:bottom w:val="single" w:sz="4" w:space="0" w:color="auto"/>
              <w:right w:val="single" w:sz="4" w:space="0" w:color="auto"/>
            </w:tcBorders>
            <w:noWrap/>
          </w:tcPr>
          <w:p w14:paraId="5057F6FD" w14:textId="77777777" w:rsidR="00E9757B" w:rsidRDefault="00E9757B" w:rsidP="00E9757B">
            <w:pPr>
              <w:spacing w:after="0"/>
              <w:jc w:val="right"/>
              <w:rPr>
                <w:rFonts w:cs="Calibri"/>
                <w:color w:val="000000"/>
                <w:sz w:val="22"/>
                <w:szCs w:val="22"/>
                <w:lang w:eastAsia="en-IE"/>
              </w:rPr>
            </w:pPr>
            <w:r>
              <w:rPr>
                <w:rFonts w:cs="Calibri"/>
                <w:color w:val="000000"/>
                <w:sz w:val="22"/>
                <w:szCs w:val="22"/>
              </w:rPr>
              <w:t>4.8%</w:t>
            </w:r>
          </w:p>
          <w:p w14:paraId="50AF3C18" w14:textId="02C19A26" w:rsidR="00FE243A" w:rsidRPr="00FE243A" w:rsidRDefault="00FE243A" w:rsidP="00FE243A">
            <w:pPr>
              <w:jc w:val="right"/>
              <w:rPr>
                <w:rFonts w:cs="Arial"/>
                <w:sz w:val="22"/>
                <w:szCs w:val="22"/>
                <w:lang w:eastAsia="en-IE"/>
              </w:rPr>
            </w:pPr>
          </w:p>
        </w:tc>
      </w:tr>
      <w:tr w:rsidR="00FE243A" w:rsidRPr="00FE243A" w14:paraId="411B939A" w14:textId="77777777" w:rsidTr="002D11D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5F4E3595" w14:textId="77777777" w:rsidR="00FE243A" w:rsidRPr="00FE243A" w:rsidRDefault="00FE243A" w:rsidP="00FE243A">
            <w:pPr>
              <w:rPr>
                <w:rFonts w:cs="Arial"/>
                <w:sz w:val="22"/>
                <w:szCs w:val="22"/>
              </w:rPr>
            </w:pPr>
            <w:r w:rsidRPr="00FE243A">
              <w:rPr>
                <w:rFonts w:cs="Calibri"/>
                <w:color w:val="000000"/>
                <w:sz w:val="22"/>
                <w:szCs w:val="22"/>
              </w:rPr>
              <w:t>National Disability Authority</w:t>
            </w:r>
          </w:p>
        </w:tc>
        <w:tc>
          <w:tcPr>
            <w:tcW w:w="1701" w:type="dxa"/>
            <w:tcBorders>
              <w:top w:val="nil"/>
              <w:left w:val="nil"/>
              <w:bottom w:val="single" w:sz="4" w:space="0" w:color="auto"/>
              <w:right w:val="single" w:sz="4" w:space="0" w:color="auto"/>
            </w:tcBorders>
            <w:noWrap/>
          </w:tcPr>
          <w:p w14:paraId="566A88BE" w14:textId="6C12B3B0" w:rsidR="00FE243A" w:rsidRPr="00FE243A" w:rsidRDefault="00FE243A" w:rsidP="00FE243A">
            <w:pPr>
              <w:jc w:val="right"/>
              <w:rPr>
                <w:rFonts w:cs="Arial"/>
                <w:sz w:val="22"/>
                <w:szCs w:val="22"/>
              </w:rPr>
            </w:pPr>
            <w:r w:rsidRPr="00FE243A">
              <w:rPr>
                <w:rFonts w:cs="Calibri"/>
                <w:color w:val="000000"/>
                <w:sz w:val="22"/>
                <w:szCs w:val="22"/>
              </w:rPr>
              <w:t>39</w:t>
            </w:r>
          </w:p>
        </w:tc>
        <w:tc>
          <w:tcPr>
            <w:tcW w:w="1559" w:type="dxa"/>
            <w:tcBorders>
              <w:top w:val="nil"/>
              <w:left w:val="nil"/>
              <w:bottom w:val="single" w:sz="4" w:space="0" w:color="auto"/>
              <w:right w:val="single" w:sz="4" w:space="0" w:color="auto"/>
            </w:tcBorders>
            <w:noWrap/>
          </w:tcPr>
          <w:p w14:paraId="500CC547" w14:textId="4774A727" w:rsidR="00FE243A" w:rsidRPr="00FE243A" w:rsidRDefault="00FE243A" w:rsidP="00FE243A">
            <w:pPr>
              <w:jc w:val="right"/>
              <w:rPr>
                <w:rFonts w:cs="Arial"/>
                <w:sz w:val="22"/>
                <w:szCs w:val="22"/>
              </w:rPr>
            </w:pPr>
            <w:r w:rsidRPr="00FE243A">
              <w:rPr>
                <w:rFonts w:cs="Calibri"/>
                <w:color w:val="000000"/>
                <w:sz w:val="22"/>
                <w:szCs w:val="22"/>
              </w:rPr>
              <w:t>8</w:t>
            </w:r>
          </w:p>
        </w:tc>
        <w:tc>
          <w:tcPr>
            <w:tcW w:w="1565" w:type="dxa"/>
            <w:tcBorders>
              <w:top w:val="nil"/>
              <w:left w:val="nil"/>
              <w:bottom w:val="single" w:sz="4" w:space="0" w:color="auto"/>
              <w:right w:val="single" w:sz="4" w:space="0" w:color="auto"/>
            </w:tcBorders>
            <w:noWrap/>
          </w:tcPr>
          <w:p w14:paraId="14F90FFC" w14:textId="0BA6487F" w:rsidR="00FE243A" w:rsidRPr="00FE243A" w:rsidRDefault="00FE243A" w:rsidP="00FE243A">
            <w:pPr>
              <w:jc w:val="right"/>
              <w:rPr>
                <w:rFonts w:cs="Arial"/>
                <w:sz w:val="22"/>
                <w:szCs w:val="22"/>
              </w:rPr>
            </w:pPr>
            <w:r w:rsidRPr="00FE243A">
              <w:rPr>
                <w:rFonts w:cs="Calibri"/>
                <w:color w:val="000000"/>
                <w:sz w:val="22"/>
                <w:szCs w:val="22"/>
              </w:rPr>
              <w:t>20.5%</w:t>
            </w:r>
          </w:p>
        </w:tc>
        <w:tc>
          <w:tcPr>
            <w:tcW w:w="1412" w:type="dxa"/>
            <w:tcBorders>
              <w:top w:val="nil"/>
              <w:left w:val="nil"/>
              <w:bottom w:val="single" w:sz="4" w:space="0" w:color="auto"/>
              <w:right w:val="single" w:sz="4" w:space="0" w:color="auto"/>
            </w:tcBorders>
            <w:noWrap/>
          </w:tcPr>
          <w:p w14:paraId="6A470604" w14:textId="77777777" w:rsidR="00E9757B" w:rsidRDefault="00E9757B" w:rsidP="00E9757B">
            <w:pPr>
              <w:spacing w:after="0"/>
              <w:jc w:val="right"/>
              <w:rPr>
                <w:rFonts w:cs="Calibri"/>
                <w:color w:val="000000"/>
                <w:sz w:val="22"/>
                <w:szCs w:val="22"/>
                <w:lang w:eastAsia="en-IE"/>
              </w:rPr>
            </w:pPr>
            <w:r>
              <w:rPr>
                <w:rFonts w:cs="Calibri"/>
                <w:color w:val="000000"/>
                <w:sz w:val="22"/>
                <w:szCs w:val="22"/>
              </w:rPr>
              <w:t>42</w:t>
            </w:r>
          </w:p>
          <w:p w14:paraId="31E6EC32" w14:textId="3E3D5D06" w:rsidR="00FE243A" w:rsidRPr="00FE243A" w:rsidRDefault="00FE243A" w:rsidP="00FE243A">
            <w:pPr>
              <w:jc w:val="right"/>
              <w:rPr>
                <w:rFonts w:cs="Arial"/>
                <w:sz w:val="22"/>
                <w:szCs w:val="22"/>
                <w:lang w:eastAsia="en-IE"/>
              </w:rPr>
            </w:pPr>
          </w:p>
        </w:tc>
        <w:tc>
          <w:tcPr>
            <w:tcW w:w="1418" w:type="dxa"/>
            <w:tcBorders>
              <w:top w:val="nil"/>
              <w:left w:val="nil"/>
              <w:bottom w:val="single" w:sz="4" w:space="0" w:color="auto"/>
              <w:right w:val="single" w:sz="4" w:space="0" w:color="auto"/>
            </w:tcBorders>
            <w:noWrap/>
          </w:tcPr>
          <w:p w14:paraId="759A5DBC" w14:textId="77777777" w:rsidR="00E9757B" w:rsidRDefault="00E9757B" w:rsidP="00E9757B">
            <w:pPr>
              <w:spacing w:after="0"/>
              <w:jc w:val="right"/>
              <w:rPr>
                <w:rFonts w:cs="Calibri"/>
                <w:color w:val="000000"/>
                <w:sz w:val="22"/>
                <w:szCs w:val="22"/>
                <w:lang w:eastAsia="en-IE"/>
              </w:rPr>
            </w:pPr>
            <w:r>
              <w:rPr>
                <w:rFonts w:cs="Calibri"/>
                <w:color w:val="000000"/>
                <w:sz w:val="22"/>
                <w:szCs w:val="22"/>
              </w:rPr>
              <w:t>10</w:t>
            </w:r>
          </w:p>
          <w:p w14:paraId="0300161B" w14:textId="721C2ED4" w:rsidR="00FE243A" w:rsidRPr="00FE243A" w:rsidRDefault="00FE243A" w:rsidP="00FE243A">
            <w:pPr>
              <w:jc w:val="right"/>
              <w:rPr>
                <w:rFonts w:cs="Arial"/>
                <w:sz w:val="22"/>
                <w:szCs w:val="22"/>
                <w:lang w:eastAsia="en-IE"/>
              </w:rPr>
            </w:pPr>
          </w:p>
        </w:tc>
        <w:tc>
          <w:tcPr>
            <w:tcW w:w="1417" w:type="dxa"/>
            <w:tcBorders>
              <w:top w:val="nil"/>
              <w:left w:val="nil"/>
              <w:bottom w:val="single" w:sz="4" w:space="0" w:color="auto"/>
              <w:right w:val="single" w:sz="4" w:space="0" w:color="auto"/>
            </w:tcBorders>
            <w:noWrap/>
          </w:tcPr>
          <w:p w14:paraId="0C59F10F" w14:textId="77777777" w:rsidR="00E9757B" w:rsidRDefault="00E9757B" w:rsidP="00E9757B">
            <w:pPr>
              <w:spacing w:after="0"/>
              <w:jc w:val="right"/>
              <w:rPr>
                <w:rFonts w:cs="Calibri"/>
                <w:color w:val="000000"/>
                <w:sz w:val="22"/>
                <w:szCs w:val="22"/>
                <w:lang w:eastAsia="en-IE"/>
              </w:rPr>
            </w:pPr>
            <w:r>
              <w:rPr>
                <w:rFonts w:cs="Calibri"/>
                <w:color w:val="000000"/>
                <w:sz w:val="22"/>
                <w:szCs w:val="22"/>
              </w:rPr>
              <w:t>23.8%</w:t>
            </w:r>
          </w:p>
          <w:p w14:paraId="355CB86A" w14:textId="391EEAA3" w:rsidR="00FE243A" w:rsidRPr="00FE243A" w:rsidRDefault="00FE243A" w:rsidP="00FE243A">
            <w:pPr>
              <w:jc w:val="right"/>
              <w:rPr>
                <w:rFonts w:cs="Arial"/>
                <w:sz w:val="22"/>
                <w:szCs w:val="22"/>
                <w:lang w:eastAsia="en-IE"/>
              </w:rPr>
            </w:pPr>
          </w:p>
        </w:tc>
      </w:tr>
      <w:tr w:rsidR="00FE243A" w:rsidRPr="00FE243A" w14:paraId="164E450E" w14:textId="77777777" w:rsidTr="002D11DB">
        <w:tblPrEx>
          <w:tblLook w:val="0620" w:firstRow="1" w:lastRow="0" w:firstColumn="0" w:lastColumn="0" w:noHBand="1" w:noVBand="1"/>
        </w:tblPrEx>
        <w:trPr>
          <w:trHeight w:val="255"/>
          <w:tblHeader/>
        </w:trPr>
        <w:tc>
          <w:tcPr>
            <w:tcW w:w="2405" w:type="dxa"/>
            <w:tcBorders>
              <w:top w:val="nil"/>
              <w:left w:val="single" w:sz="4" w:space="0" w:color="auto"/>
              <w:bottom w:val="single" w:sz="4" w:space="0" w:color="auto"/>
              <w:right w:val="single" w:sz="4" w:space="0" w:color="auto"/>
            </w:tcBorders>
            <w:noWrap/>
          </w:tcPr>
          <w:p w14:paraId="59FA444D" w14:textId="77777777" w:rsidR="00FE243A" w:rsidRPr="00FE243A" w:rsidRDefault="00FE243A" w:rsidP="00FE243A">
            <w:pPr>
              <w:rPr>
                <w:rFonts w:cs="Arial"/>
                <w:sz w:val="22"/>
                <w:szCs w:val="22"/>
                <w:lang w:eastAsia="en-IE"/>
              </w:rPr>
            </w:pPr>
            <w:r w:rsidRPr="00FE243A">
              <w:rPr>
                <w:rFonts w:cs="Calibri"/>
                <w:color w:val="000000"/>
                <w:sz w:val="22"/>
                <w:szCs w:val="22"/>
              </w:rPr>
              <w:t>Oberstown Children Detention Campus</w:t>
            </w:r>
          </w:p>
        </w:tc>
        <w:tc>
          <w:tcPr>
            <w:tcW w:w="1701" w:type="dxa"/>
            <w:tcBorders>
              <w:top w:val="nil"/>
              <w:left w:val="nil"/>
              <w:bottom w:val="single" w:sz="4" w:space="0" w:color="auto"/>
              <w:right w:val="single" w:sz="4" w:space="0" w:color="auto"/>
            </w:tcBorders>
            <w:noWrap/>
          </w:tcPr>
          <w:p w14:paraId="711B1124" w14:textId="01EC5614" w:rsidR="00FE243A" w:rsidRPr="00FE243A" w:rsidRDefault="00FE243A" w:rsidP="00FE243A">
            <w:pPr>
              <w:jc w:val="right"/>
              <w:rPr>
                <w:rFonts w:cs="Arial"/>
                <w:sz w:val="22"/>
                <w:szCs w:val="22"/>
                <w:lang w:eastAsia="en-IE"/>
              </w:rPr>
            </w:pPr>
            <w:r w:rsidRPr="00FE243A">
              <w:rPr>
                <w:rFonts w:cs="Calibri"/>
                <w:color w:val="000000"/>
                <w:sz w:val="22"/>
                <w:szCs w:val="22"/>
              </w:rPr>
              <w:t>260</w:t>
            </w:r>
          </w:p>
        </w:tc>
        <w:tc>
          <w:tcPr>
            <w:tcW w:w="1559" w:type="dxa"/>
            <w:tcBorders>
              <w:top w:val="nil"/>
              <w:left w:val="nil"/>
              <w:bottom w:val="single" w:sz="4" w:space="0" w:color="auto"/>
              <w:right w:val="single" w:sz="4" w:space="0" w:color="auto"/>
            </w:tcBorders>
            <w:noWrap/>
          </w:tcPr>
          <w:p w14:paraId="366D83BF" w14:textId="0B0EBCED" w:rsidR="00FE243A" w:rsidRPr="00FE243A" w:rsidRDefault="00FE243A" w:rsidP="00FE243A">
            <w:pPr>
              <w:jc w:val="right"/>
              <w:rPr>
                <w:rFonts w:cs="Arial"/>
                <w:sz w:val="22"/>
                <w:szCs w:val="22"/>
                <w:lang w:eastAsia="en-IE"/>
              </w:rPr>
            </w:pPr>
            <w:r w:rsidRPr="00FE243A">
              <w:rPr>
                <w:rFonts w:cs="Calibri"/>
                <w:color w:val="000000"/>
                <w:sz w:val="22"/>
                <w:szCs w:val="22"/>
              </w:rPr>
              <w:t>5</w:t>
            </w:r>
          </w:p>
        </w:tc>
        <w:tc>
          <w:tcPr>
            <w:tcW w:w="1565" w:type="dxa"/>
            <w:tcBorders>
              <w:top w:val="nil"/>
              <w:left w:val="nil"/>
              <w:bottom w:val="single" w:sz="4" w:space="0" w:color="auto"/>
              <w:right w:val="single" w:sz="4" w:space="0" w:color="auto"/>
            </w:tcBorders>
            <w:noWrap/>
          </w:tcPr>
          <w:p w14:paraId="2263FEFF" w14:textId="4CB0A95F" w:rsidR="00FE243A" w:rsidRPr="00FE243A" w:rsidRDefault="00FE243A" w:rsidP="00FE243A">
            <w:pPr>
              <w:jc w:val="right"/>
              <w:rPr>
                <w:rFonts w:cs="Arial"/>
                <w:sz w:val="22"/>
                <w:szCs w:val="22"/>
                <w:lang w:eastAsia="en-IE"/>
              </w:rPr>
            </w:pPr>
            <w:r w:rsidRPr="00FE243A">
              <w:rPr>
                <w:rFonts w:cs="Calibri"/>
                <w:color w:val="000000"/>
                <w:sz w:val="22"/>
                <w:szCs w:val="22"/>
              </w:rPr>
              <w:t>1.9%</w:t>
            </w:r>
          </w:p>
        </w:tc>
        <w:tc>
          <w:tcPr>
            <w:tcW w:w="1412" w:type="dxa"/>
            <w:tcBorders>
              <w:top w:val="nil"/>
              <w:left w:val="nil"/>
              <w:bottom w:val="single" w:sz="4" w:space="0" w:color="auto"/>
              <w:right w:val="single" w:sz="4" w:space="0" w:color="auto"/>
            </w:tcBorders>
            <w:noWrap/>
          </w:tcPr>
          <w:p w14:paraId="427C461D" w14:textId="77777777" w:rsidR="00E9757B" w:rsidRDefault="00E9757B" w:rsidP="00E9757B">
            <w:pPr>
              <w:spacing w:after="0"/>
              <w:jc w:val="right"/>
              <w:rPr>
                <w:rFonts w:cs="Calibri"/>
                <w:color w:val="000000"/>
                <w:sz w:val="22"/>
                <w:szCs w:val="22"/>
                <w:lang w:eastAsia="en-IE"/>
              </w:rPr>
            </w:pPr>
            <w:r>
              <w:rPr>
                <w:rFonts w:cs="Calibri"/>
                <w:color w:val="000000"/>
                <w:sz w:val="22"/>
                <w:szCs w:val="22"/>
              </w:rPr>
              <w:t>251</w:t>
            </w:r>
          </w:p>
          <w:p w14:paraId="713A307C" w14:textId="13AA21FB" w:rsidR="00FE243A" w:rsidRPr="00FE243A" w:rsidRDefault="00FE243A" w:rsidP="00FE243A">
            <w:pPr>
              <w:jc w:val="right"/>
              <w:rPr>
                <w:rFonts w:cs="Arial"/>
                <w:sz w:val="22"/>
                <w:szCs w:val="22"/>
                <w:lang w:eastAsia="en-IE"/>
              </w:rPr>
            </w:pPr>
          </w:p>
        </w:tc>
        <w:tc>
          <w:tcPr>
            <w:tcW w:w="1418" w:type="dxa"/>
            <w:tcBorders>
              <w:top w:val="nil"/>
              <w:left w:val="nil"/>
              <w:bottom w:val="single" w:sz="4" w:space="0" w:color="auto"/>
              <w:right w:val="single" w:sz="4" w:space="0" w:color="auto"/>
            </w:tcBorders>
            <w:noWrap/>
          </w:tcPr>
          <w:p w14:paraId="41167113" w14:textId="77777777" w:rsidR="00E9757B" w:rsidRDefault="00E9757B" w:rsidP="00E9757B">
            <w:pPr>
              <w:spacing w:after="0"/>
              <w:jc w:val="right"/>
              <w:rPr>
                <w:rFonts w:cs="Calibri"/>
                <w:color w:val="000000"/>
                <w:sz w:val="22"/>
                <w:szCs w:val="22"/>
                <w:lang w:eastAsia="en-IE"/>
              </w:rPr>
            </w:pPr>
            <w:r>
              <w:rPr>
                <w:rFonts w:cs="Calibri"/>
                <w:color w:val="000000"/>
                <w:sz w:val="22"/>
                <w:szCs w:val="22"/>
              </w:rPr>
              <w:t>13</w:t>
            </w:r>
          </w:p>
          <w:p w14:paraId="6062F98F" w14:textId="0601F1E9" w:rsidR="00FE243A" w:rsidRPr="00FE243A" w:rsidRDefault="00FE243A" w:rsidP="00FE243A">
            <w:pPr>
              <w:jc w:val="right"/>
              <w:rPr>
                <w:rFonts w:cs="Arial"/>
                <w:sz w:val="22"/>
                <w:szCs w:val="22"/>
                <w:lang w:eastAsia="en-IE"/>
              </w:rPr>
            </w:pPr>
          </w:p>
        </w:tc>
        <w:tc>
          <w:tcPr>
            <w:tcW w:w="1417" w:type="dxa"/>
            <w:tcBorders>
              <w:top w:val="nil"/>
              <w:left w:val="nil"/>
              <w:bottom w:val="single" w:sz="4" w:space="0" w:color="auto"/>
              <w:right w:val="single" w:sz="4" w:space="0" w:color="auto"/>
            </w:tcBorders>
            <w:noWrap/>
          </w:tcPr>
          <w:p w14:paraId="640DCCE3" w14:textId="77777777" w:rsidR="00E9757B" w:rsidRDefault="00E9757B" w:rsidP="00E9757B">
            <w:pPr>
              <w:spacing w:after="0"/>
              <w:jc w:val="right"/>
              <w:rPr>
                <w:rFonts w:cs="Calibri"/>
                <w:color w:val="000000"/>
                <w:sz w:val="22"/>
                <w:szCs w:val="22"/>
                <w:lang w:eastAsia="en-IE"/>
              </w:rPr>
            </w:pPr>
            <w:r>
              <w:rPr>
                <w:rFonts w:cs="Calibri"/>
                <w:color w:val="000000"/>
                <w:sz w:val="22"/>
                <w:szCs w:val="22"/>
              </w:rPr>
              <w:t>5.2%</w:t>
            </w:r>
          </w:p>
          <w:p w14:paraId="500CCE2C" w14:textId="53267922" w:rsidR="00FE243A" w:rsidRPr="00FE243A" w:rsidRDefault="00FE243A" w:rsidP="00FE243A">
            <w:pPr>
              <w:jc w:val="right"/>
              <w:rPr>
                <w:rFonts w:cs="Arial"/>
                <w:sz w:val="22"/>
                <w:szCs w:val="22"/>
                <w:lang w:eastAsia="en-IE"/>
              </w:rPr>
            </w:pPr>
          </w:p>
        </w:tc>
      </w:tr>
      <w:tr w:rsidR="00FE243A" w:rsidRPr="00FE243A" w14:paraId="1BD8AC31" w14:textId="77777777" w:rsidTr="002D11DB">
        <w:tblPrEx>
          <w:tblLook w:val="0620" w:firstRow="1" w:lastRow="0" w:firstColumn="0" w:lastColumn="0" w:noHBand="1" w:noVBand="1"/>
        </w:tblPrEx>
        <w:trPr>
          <w:trHeight w:val="512"/>
          <w:tblHeader/>
        </w:trPr>
        <w:tc>
          <w:tcPr>
            <w:tcW w:w="2405" w:type="dxa"/>
          </w:tcPr>
          <w:p w14:paraId="53BBE01C" w14:textId="77777777" w:rsidR="00FE243A" w:rsidRPr="00FE243A" w:rsidRDefault="00FE243A" w:rsidP="00FE243A">
            <w:pPr>
              <w:spacing w:after="0"/>
              <w:ind w:firstLineChars="11" w:firstLine="24"/>
              <w:rPr>
                <w:b/>
                <w:sz w:val="22"/>
                <w:szCs w:val="22"/>
              </w:rPr>
            </w:pPr>
            <w:r w:rsidRPr="00FE243A">
              <w:rPr>
                <w:b/>
                <w:sz w:val="22"/>
                <w:szCs w:val="22"/>
              </w:rPr>
              <w:t>Grand Total</w:t>
            </w:r>
          </w:p>
        </w:tc>
        <w:tc>
          <w:tcPr>
            <w:tcW w:w="1701" w:type="dxa"/>
            <w:tcBorders>
              <w:top w:val="single" w:sz="4" w:space="0" w:color="auto"/>
              <w:left w:val="single" w:sz="4" w:space="0" w:color="auto"/>
              <w:bottom w:val="single" w:sz="4" w:space="0" w:color="auto"/>
              <w:right w:val="single" w:sz="4" w:space="0" w:color="auto"/>
            </w:tcBorders>
          </w:tcPr>
          <w:p w14:paraId="62AEE02E" w14:textId="77777777" w:rsidR="00FE243A" w:rsidRPr="00FE243A" w:rsidRDefault="00FE243A" w:rsidP="00FE243A">
            <w:pPr>
              <w:spacing w:after="0"/>
              <w:jc w:val="right"/>
              <w:rPr>
                <w:rFonts w:cs="Calibri"/>
                <w:b/>
                <w:bCs/>
                <w:color w:val="000000"/>
                <w:sz w:val="22"/>
                <w:szCs w:val="22"/>
                <w:lang w:eastAsia="en-IE"/>
              </w:rPr>
            </w:pPr>
            <w:r w:rsidRPr="00FE243A">
              <w:rPr>
                <w:rFonts w:cs="Calibri"/>
                <w:b/>
                <w:bCs/>
                <w:color w:val="000000"/>
                <w:sz w:val="22"/>
                <w:szCs w:val="22"/>
              </w:rPr>
              <w:t>5,636</w:t>
            </w:r>
          </w:p>
          <w:p w14:paraId="0AB2E339" w14:textId="77777777" w:rsidR="00FE243A" w:rsidRPr="00FE243A" w:rsidRDefault="00FE243A" w:rsidP="00FE243A">
            <w:pPr>
              <w:jc w:val="right"/>
              <w:rPr>
                <w:rFonts w:cs="Arial"/>
                <w:b/>
                <w:bCs/>
                <w:color w:val="000000"/>
                <w:sz w:val="22"/>
                <w:szCs w:val="22"/>
              </w:rPr>
            </w:pPr>
          </w:p>
        </w:tc>
        <w:tc>
          <w:tcPr>
            <w:tcW w:w="1559" w:type="dxa"/>
            <w:tcBorders>
              <w:top w:val="single" w:sz="4" w:space="0" w:color="auto"/>
              <w:left w:val="single" w:sz="4" w:space="0" w:color="auto"/>
              <w:bottom w:val="single" w:sz="4" w:space="0" w:color="auto"/>
              <w:right w:val="single" w:sz="4" w:space="0" w:color="auto"/>
            </w:tcBorders>
          </w:tcPr>
          <w:p w14:paraId="4F728E96" w14:textId="77777777" w:rsidR="00FE243A" w:rsidRPr="00FE243A" w:rsidRDefault="00FE243A" w:rsidP="00FE243A">
            <w:pPr>
              <w:spacing w:after="0"/>
              <w:jc w:val="right"/>
              <w:rPr>
                <w:rFonts w:cs="Calibri"/>
                <w:b/>
                <w:bCs/>
                <w:color w:val="000000"/>
                <w:sz w:val="22"/>
                <w:szCs w:val="22"/>
                <w:lang w:eastAsia="en-IE"/>
              </w:rPr>
            </w:pPr>
            <w:r w:rsidRPr="00FE243A">
              <w:rPr>
                <w:rFonts w:cs="Calibri"/>
                <w:b/>
                <w:bCs/>
                <w:color w:val="000000"/>
                <w:sz w:val="22"/>
                <w:szCs w:val="22"/>
              </w:rPr>
              <w:t>251</w:t>
            </w:r>
          </w:p>
          <w:p w14:paraId="6E35BBCE" w14:textId="77777777" w:rsidR="00FE243A" w:rsidRPr="00FE243A" w:rsidRDefault="00FE243A" w:rsidP="00FE243A">
            <w:pPr>
              <w:spacing w:after="0"/>
              <w:jc w:val="right"/>
              <w:rPr>
                <w:rFonts w:cs="Arial"/>
                <w:b/>
                <w:bCs/>
                <w:color w:val="000000"/>
                <w:sz w:val="22"/>
                <w:szCs w:val="22"/>
                <w:lang w:eastAsia="en-IE"/>
              </w:rPr>
            </w:pPr>
          </w:p>
        </w:tc>
        <w:tc>
          <w:tcPr>
            <w:tcW w:w="1565" w:type="dxa"/>
            <w:tcBorders>
              <w:top w:val="single" w:sz="4" w:space="0" w:color="auto"/>
              <w:left w:val="single" w:sz="4" w:space="0" w:color="auto"/>
              <w:bottom w:val="single" w:sz="4" w:space="0" w:color="auto"/>
              <w:right w:val="single" w:sz="4" w:space="0" w:color="auto"/>
            </w:tcBorders>
          </w:tcPr>
          <w:p w14:paraId="31C23090" w14:textId="305E70CA" w:rsidR="00FE243A" w:rsidRPr="00FE243A" w:rsidRDefault="00FE243A" w:rsidP="00FE243A">
            <w:pPr>
              <w:jc w:val="right"/>
              <w:rPr>
                <w:rFonts w:cs="Arial"/>
                <w:b/>
                <w:bCs/>
                <w:color w:val="000000"/>
                <w:sz w:val="22"/>
                <w:szCs w:val="22"/>
              </w:rPr>
            </w:pPr>
            <w:r w:rsidRPr="00FE243A">
              <w:rPr>
                <w:rFonts w:cs="Arial"/>
                <w:b/>
                <w:bCs/>
                <w:sz w:val="22"/>
                <w:szCs w:val="22"/>
                <w:lang w:eastAsia="en-IE"/>
              </w:rPr>
              <w:t>4.5%</w:t>
            </w:r>
          </w:p>
        </w:tc>
        <w:tc>
          <w:tcPr>
            <w:tcW w:w="1412" w:type="dxa"/>
            <w:tcBorders>
              <w:top w:val="single" w:sz="4" w:space="0" w:color="auto"/>
              <w:left w:val="single" w:sz="4" w:space="0" w:color="auto"/>
              <w:bottom w:val="single" w:sz="4" w:space="0" w:color="auto"/>
              <w:right w:val="single" w:sz="4" w:space="0" w:color="auto"/>
            </w:tcBorders>
          </w:tcPr>
          <w:p w14:paraId="55276BCA" w14:textId="3B91533F" w:rsidR="00E9757B" w:rsidRDefault="00E9757B" w:rsidP="00E9757B">
            <w:pPr>
              <w:spacing w:after="0"/>
              <w:jc w:val="right"/>
              <w:rPr>
                <w:rFonts w:cs="Calibri"/>
                <w:b/>
                <w:bCs/>
                <w:color w:val="000000"/>
                <w:sz w:val="22"/>
                <w:szCs w:val="22"/>
                <w:lang w:eastAsia="en-IE"/>
              </w:rPr>
            </w:pPr>
            <w:r>
              <w:rPr>
                <w:rFonts w:cs="Calibri"/>
                <w:b/>
                <w:bCs/>
                <w:color w:val="000000"/>
                <w:sz w:val="22"/>
                <w:szCs w:val="22"/>
              </w:rPr>
              <w:t>5</w:t>
            </w:r>
            <w:r w:rsidR="001F365B">
              <w:rPr>
                <w:rFonts w:cs="Calibri"/>
                <w:b/>
                <w:bCs/>
                <w:color w:val="000000"/>
                <w:sz w:val="22"/>
                <w:szCs w:val="22"/>
              </w:rPr>
              <w:t>,</w:t>
            </w:r>
            <w:r>
              <w:rPr>
                <w:rFonts w:cs="Calibri"/>
                <w:b/>
                <w:bCs/>
                <w:color w:val="000000"/>
                <w:sz w:val="22"/>
                <w:szCs w:val="22"/>
              </w:rPr>
              <w:t>761</w:t>
            </w:r>
          </w:p>
          <w:p w14:paraId="4D89211D" w14:textId="77777777" w:rsidR="00FE243A" w:rsidRPr="00FE243A" w:rsidRDefault="00FE243A" w:rsidP="00FE243A">
            <w:pPr>
              <w:jc w:val="right"/>
              <w:rPr>
                <w:rFonts w:cs="Arial"/>
                <w:b/>
                <w:bCs/>
                <w:color w:val="000000"/>
                <w:sz w:val="22"/>
                <w:szCs w:val="22"/>
              </w:rPr>
            </w:pPr>
          </w:p>
        </w:tc>
        <w:tc>
          <w:tcPr>
            <w:tcW w:w="1418" w:type="dxa"/>
            <w:tcBorders>
              <w:top w:val="single" w:sz="4" w:space="0" w:color="auto"/>
              <w:left w:val="nil"/>
              <w:bottom w:val="single" w:sz="4" w:space="0" w:color="auto"/>
              <w:right w:val="single" w:sz="4" w:space="0" w:color="auto"/>
            </w:tcBorders>
          </w:tcPr>
          <w:p w14:paraId="20ADF80B" w14:textId="77777777" w:rsidR="00E9757B" w:rsidRDefault="00E9757B" w:rsidP="00E9757B">
            <w:pPr>
              <w:spacing w:after="0"/>
              <w:jc w:val="right"/>
              <w:rPr>
                <w:rFonts w:cs="Calibri"/>
                <w:b/>
                <w:bCs/>
                <w:color w:val="000000"/>
                <w:sz w:val="22"/>
                <w:szCs w:val="22"/>
                <w:lang w:eastAsia="en-IE"/>
              </w:rPr>
            </w:pPr>
            <w:r>
              <w:rPr>
                <w:rFonts w:cs="Calibri"/>
                <w:b/>
                <w:bCs/>
                <w:color w:val="000000"/>
                <w:sz w:val="22"/>
                <w:szCs w:val="22"/>
              </w:rPr>
              <w:t>284</w:t>
            </w:r>
          </w:p>
          <w:p w14:paraId="3A52C41D" w14:textId="77777777" w:rsidR="00FE243A" w:rsidRPr="00FE243A" w:rsidRDefault="00FE243A" w:rsidP="00FE243A">
            <w:pPr>
              <w:jc w:val="right"/>
              <w:rPr>
                <w:rFonts w:cs="Arial"/>
                <w:b/>
                <w:bCs/>
                <w:color w:val="000000"/>
                <w:sz w:val="22"/>
                <w:szCs w:val="22"/>
              </w:rPr>
            </w:pPr>
          </w:p>
        </w:tc>
        <w:tc>
          <w:tcPr>
            <w:tcW w:w="1417" w:type="dxa"/>
            <w:tcBorders>
              <w:top w:val="single" w:sz="4" w:space="0" w:color="auto"/>
              <w:left w:val="nil"/>
              <w:bottom w:val="single" w:sz="4" w:space="0" w:color="auto"/>
              <w:right w:val="single" w:sz="4" w:space="0" w:color="auto"/>
            </w:tcBorders>
          </w:tcPr>
          <w:p w14:paraId="5F3A8BAE" w14:textId="77777777" w:rsidR="00E9757B" w:rsidRDefault="00E9757B" w:rsidP="00E9757B">
            <w:pPr>
              <w:spacing w:after="0"/>
              <w:jc w:val="right"/>
              <w:rPr>
                <w:rFonts w:cs="Calibri"/>
                <w:b/>
                <w:bCs/>
                <w:color w:val="000000"/>
                <w:sz w:val="22"/>
                <w:szCs w:val="22"/>
                <w:lang w:eastAsia="en-IE"/>
              </w:rPr>
            </w:pPr>
            <w:r>
              <w:rPr>
                <w:rFonts w:cs="Calibri"/>
                <w:b/>
                <w:bCs/>
                <w:color w:val="000000"/>
                <w:sz w:val="22"/>
                <w:szCs w:val="22"/>
              </w:rPr>
              <w:t>4.9%</w:t>
            </w:r>
          </w:p>
          <w:p w14:paraId="143A4E40" w14:textId="00E665B7" w:rsidR="00FE243A" w:rsidRPr="00FE243A" w:rsidRDefault="00FE243A" w:rsidP="00E9757B">
            <w:pPr>
              <w:spacing w:after="0"/>
              <w:jc w:val="right"/>
              <w:rPr>
                <w:rFonts w:cs="Arial"/>
                <w:b/>
                <w:bCs/>
                <w:sz w:val="22"/>
                <w:szCs w:val="22"/>
                <w:lang w:eastAsia="en-IE"/>
              </w:rPr>
            </w:pPr>
          </w:p>
        </w:tc>
      </w:tr>
    </w:tbl>
    <w:p w14:paraId="6CCBA535" w14:textId="77777777" w:rsidR="000D5C5D" w:rsidRPr="00FE243A" w:rsidRDefault="000D5C5D" w:rsidP="000D5C5D"/>
    <w:p w14:paraId="32DB0BB3" w14:textId="77777777" w:rsidR="00F1261F" w:rsidRPr="00611BF3" w:rsidRDefault="00F1261F" w:rsidP="00F1261F">
      <w:pPr>
        <w:pStyle w:val="TableSummary"/>
        <w:rPr>
          <w:highlight w:val="green"/>
        </w:rPr>
      </w:pPr>
    </w:p>
    <w:p w14:paraId="29309F37" w14:textId="77777777" w:rsidR="00624403" w:rsidRPr="00611BF3" w:rsidRDefault="00624403" w:rsidP="00813069">
      <w:pPr>
        <w:spacing w:after="0"/>
        <w:rPr>
          <w:b/>
          <w:highlight w:val="green"/>
        </w:rPr>
      </w:pPr>
    </w:p>
    <w:p w14:paraId="7B1C2EC2" w14:textId="03CF3A9D" w:rsidR="00422693" w:rsidRPr="00611BF3" w:rsidRDefault="00422693">
      <w:pPr>
        <w:spacing w:after="0"/>
        <w:rPr>
          <w:b/>
          <w:highlight w:val="green"/>
        </w:rPr>
      </w:pPr>
      <w:r w:rsidRPr="00611BF3">
        <w:rPr>
          <w:b/>
          <w:highlight w:val="green"/>
        </w:rPr>
        <w:br w:type="page"/>
      </w:r>
    </w:p>
    <w:p w14:paraId="135A3B23" w14:textId="5B9366AF" w:rsidR="00624403" w:rsidRPr="00E9757B" w:rsidRDefault="00624403" w:rsidP="001624B2">
      <w:pPr>
        <w:pStyle w:val="Heading2"/>
        <w:jc w:val="center"/>
        <w:rPr>
          <w:color w:val="000000" w:themeColor="text1"/>
        </w:rPr>
      </w:pPr>
      <w:bookmarkStart w:id="72" w:name="_Toc146113877"/>
      <w:r w:rsidRPr="00E9757B">
        <w:rPr>
          <w:color w:val="000000" w:themeColor="text1"/>
        </w:rPr>
        <w:lastRenderedPageBreak/>
        <w:t>Department of Enterprise Trade &amp; Employment</w:t>
      </w:r>
      <w:bookmarkEnd w:id="72"/>
    </w:p>
    <w:tbl>
      <w:tblPr>
        <w:tblStyle w:val="TableGrid"/>
        <w:tblpPr w:leftFromText="180" w:rightFromText="180" w:vertAnchor="text" w:horzAnchor="margin" w:tblpXSpec="center" w:tblpY="241"/>
        <w:tblW w:w="11345" w:type="dxa"/>
        <w:tblLayout w:type="fixed"/>
        <w:tblLook w:val="04A0" w:firstRow="1" w:lastRow="0" w:firstColumn="1" w:lastColumn="0" w:noHBand="0" w:noVBand="1"/>
        <w:tblCaption w:val="Department of Enterprise Trade &amp; Employment "/>
        <w:tblDescription w:val="Department of Enterprise Trade &amp; Employment (comparison to the former Department of Business, Enterprise &amp; Innovation in 2019)"/>
      </w:tblPr>
      <w:tblGrid>
        <w:gridCol w:w="2415"/>
        <w:gridCol w:w="1559"/>
        <w:gridCol w:w="1560"/>
        <w:gridCol w:w="1417"/>
        <w:gridCol w:w="1418"/>
        <w:gridCol w:w="1559"/>
        <w:gridCol w:w="1417"/>
      </w:tblGrid>
      <w:tr w:rsidR="00EF2C8B" w:rsidRPr="00E9757B" w14:paraId="01BB8DA0" w14:textId="77777777" w:rsidTr="00D53074">
        <w:trPr>
          <w:tblHeader/>
        </w:trPr>
        <w:tc>
          <w:tcPr>
            <w:tcW w:w="2415" w:type="dxa"/>
          </w:tcPr>
          <w:p w14:paraId="5DF68764" w14:textId="77777777" w:rsidR="00EF2C8B" w:rsidRPr="00E9757B" w:rsidRDefault="00EF2C8B" w:rsidP="00EF2C8B">
            <w:pPr>
              <w:pStyle w:val="TableHead"/>
              <w:rPr>
                <w:sz w:val="22"/>
                <w:szCs w:val="22"/>
              </w:rPr>
            </w:pPr>
            <w:r w:rsidRPr="00E9757B">
              <w:rPr>
                <w:sz w:val="22"/>
                <w:szCs w:val="22"/>
              </w:rPr>
              <w:t>Public Body</w:t>
            </w:r>
          </w:p>
        </w:tc>
        <w:tc>
          <w:tcPr>
            <w:tcW w:w="1559" w:type="dxa"/>
          </w:tcPr>
          <w:p w14:paraId="042A3231" w14:textId="77777777" w:rsidR="00F516FE" w:rsidRPr="00E9757B" w:rsidRDefault="00EF2C8B" w:rsidP="00EF2C8B">
            <w:pPr>
              <w:pStyle w:val="TableHead"/>
              <w:rPr>
                <w:sz w:val="22"/>
                <w:szCs w:val="22"/>
              </w:rPr>
            </w:pPr>
            <w:r w:rsidRPr="00E9757B">
              <w:rPr>
                <w:sz w:val="22"/>
                <w:szCs w:val="22"/>
              </w:rPr>
              <w:t xml:space="preserve">Total number </w:t>
            </w:r>
          </w:p>
          <w:p w14:paraId="55B4ED3B" w14:textId="307EC6B5" w:rsidR="00EF2C8B" w:rsidRPr="00E9757B" w:rsidRDefault="00EF2C8B" w:rsidP="00EF2C8B">
            <w:pPr>
              <w:pStyle w:val="TableHead"/>
              <w:rPr>
                <w:sz w:val="22"/>
                <w:szCs w:val="22"/>
              </w:rPr>
            </w:pPr>
            <w:r w:rsidRPr="00E9757B">
              <w:rPr>
                <w:sz w:val="22"/>
                <w:szCs w:val="22"/>
              </w:rPr>
              <w:t>of employees  202</w:t>
            </w:r>
            <w:r w:rsidR="00E9757B">
              <w:rPr>
                <w:sz w:val="22"/>
                <w:szCs w:val="22"/>
              </w:rPr>
              <w:t>1</w:t>
            </w:r>
          </w:p>
        </w:tc>
        <w:tc>
          <w:tcPr>
            <w:tcW w:w="1560" w:type="dxa"/>
          </w:tcPr>
          <w:p w14:paraId="18FDCB79" w14:textId="77777777" w:rsidR="00EF2C8B" w:rsidRPr="00E9757B" w:rsidRDefault="00EF2C8B" w:rsidP="00EF2C8B">
            <w:pPr>
              <w:pStyle w:val="TableHead"/>
              <w:rPr>
                <w:sz w:val="22"/>
                <w:szCs w:val="22"/>
              </w:rPr>
            </w:pPr>
            <w:r w:rsidRPr="00E9757B">
              <w:rPr>
                <w:sz w:val="22"/>
                <w:szCs w:val="22"/>
              </w:rPr>
              <w:t xml:space="preserve">Number of employees reporting a disability </w:t>
            </w:r>
          </w:p>
          <w:p w14:paraId="5B73AF08" w14:textId="4DD21E54" w:rsidR="00EF2C8B" w:rsidRPr="00E9757B" w:rsidRDefault="00EF2C8B" w:rsidP="00EF2C8B">
            <w:pPr>
              <w:pStyle w:val="TableHead"/>
              <w:rPr>
                <w:sz w:val="22"/>
                <w:szCs w:val="22"/>
              </w:rPr>
            </w:pPr>
            <w:r w:rsidRPr="00E9757B">
              <w:rPr>
                <w:sz w:val="22"/>
                <w:szCs w:val="22"/>
              </w:rPr>
              <w:t>202</w:t>
            </w:r>
            <w:r w:rsidR="00E9757B">
              <w:rPr>
                <w:sz w:val="22"/>
                <w:szCs w:val="22"/>
              </w:rPr>
              <w:t>1</w:t>
            </w:r>
          </w:p>
        </w:tc>
        <w:tc>
          <w:tcPr>
            <w:tcW w:w="1417" w:type="dxa"/>
          </w:tcPr>
          <w:p w14:paraId="000EAA17" w14:textId="77777777" w:rsidR="00EF2C8B" w:rsidRPr="00E9757B" w:rsidRDefault="00EF2C8B" w:rsidP="00EF2C8B">
            <w:pPr>
              <w:pStyle w:val="TableHead"/>
              <w:rPr>
                <w:sz w:val="22"/>
                <w:szCs w:val="22"/>
              </w:rPr>
            </w:pPr>
            <w:r w:rsidRPr="00E9757B">
              <w:rPr>
                <w:sz w:val="22"/>
                <w:szCs w:val="22"/>
              </w:rPr>
              <w:t>% of employees reporting a</w:t>
            </w:r>
          </w:p>
          <w:p w14:paraId="4D9FE236" w14:textId="5836FA49" w:rsidR="00EF2C8B" w:rsidRPr="00E9757B" w:rsidRDefault="00EF2C8B" w:rsidP="00EF2C8B">
            <w:pPr>
              <w:pStyle w:val="TableHead"/>
              <w:rPr>
                <w:sz w:val="22"/>
                <w:szCs w:val="22"/>
              </w:rPr>
            </w:pPr>
            <w:r w:rsidRPr="00E9757B">
              <w:rPr>
                <w:sz w:val="22"/>
                <w:szCs w:val="22"/>
              </w:rPr>
              <w:t>disability 202</w:t>
            </w:r>
            <w:r w:rsidR="00E9757B">
              <w:rPr>
                <w:sz w:val="22"/>
                <w:szCs w:val="22"/>
              </w:rPr>
              <w:t>1</w:t>
            </w:r>
          </w:p>
        </w:tc>
        <w:tc>
          <w:tcPr>
            <w:tcW w:w="1418" w:type="dxa"/>
          </w:tcPr>
          <w:p w14:paraId="158F1166" w14:textId="77777777" w:rsidR="00F516FE" w:rsidRPr="00E9757B" w:rsidRDefault="00EF2C8B" w:rsidP="00EF2C8B">
            <w:pPr>
              <w:pStyle w:val="TableHead"/>
              <w:rPr>
                <w:sz w:val="22"/>
                <w:szCs w:val="22"/>
              </w:rPr>
            </w:pPr>
            <w:r w:rsidRPr="00E9757B">
              <w:rPr>
                <w:sz w:val="22"/>
                <w:szCs w:val="22"/>
              </w:rPr>
              <w:t xml:space="preserve">Total number </w:t>
            </w:r>
          </w:p>
          <w:p w14:paraId="09B611C1" w14:textId="5E6839B3" w:rsidR="00EF2C8B" w:rsidRPr="00E9757B" w:rsidRDefault="00EF2C8B" w:rsidP="00EF2C8B">
            <w:pPr>
              <w:pStyle w:val="TableHead"/>
              <w:rPr>
                <w:sz w:val="22"/>
                <w:szCs w:val="22"/>
              </w:rPr>
            </w:pPr>
            <w:r w:rsidRPr="00E9757B">
              <w:rPr>
                <w:sz w:val="22"/>
                <w:szCs w:val="22"/>
              </w:rPr>
              <w:t>of employees  202</w:t>
            </w:r>
            <w:r w:rsidR="00E9757B">
              <w:rPr>
                <w:sz w:val="22"/>
                <w:szCs w:val="22"/>
              </w:rPr>
              <w:t>2</w:t>
            </w:r>
          </w:p>
        </w:tc>
        <w:tc>
          <w:tcPr>
            <w:tcW w:w="1559" w:type="dxa"/>
          </w:tcPr>
          <w:p w14:paraId="28D3DBF3" w14:textId="77777777" w:rsidR="00EF2C8B" w:rsidRPr="00E9757B" w:rsidRDefault="00EF2C8B" w:rsidP="00EF2C8B">
            <w:pPr>
              <w:pStyle w:val="TableHead"/>
              <w:rPr>
                <w:sz w:val="22"/>
                <w:szCs w:val="22"/>
              </w:rPr>
            </w:pPr>
            <w:r w:rsidRPr="00E9757B">
              <w:rPr>
                <w:sz w:val="22"/>
                <w:szCs w:val="22"/>
              </w:rPr>
              <w:t>Number of employees reporting a disability</w:t>
            </w:r>
          </w:p>
          <w:p w14:paraId="62A9D404" w14:textId="76AA2091" w:rsidR="00EF2C8B" w:rsidRPr="00E9757B" w:rsidRDefault="00EF2C8B" w:rsidP="00EF2C8B">
            <w:pPr>
              <w:pStyle w:val="TableHead"/>
              <w:rPr>
                <w:sz w:val="22"/>
                <w:szCs w:val="22"/>
              </w:rPr>
            </w:pPr>
            <w:r w:rsidRPr="00E9757B">
              <w:rPr>
                <w:sz w:val="22"/>
                <w:szCs w:val="22"/>
              </w:rPr>
              <w:t>202</w:t>
            </w:r>
            <w:r w:rsidR="00E9757B">
              <w:rPr>
                <w:sz w:val="22"/>
                <w:szCs w:val="22"/>
              </w:rPr>
              <w:t>2</w:t>
            </w:r>
          </w:p>
        </w:tc>
        <w:tc>
          <w:tcPr>
            <w:tcW w:w="1417" w:type="dxa"/>
          </w:tcPr>
          <w:p w14:paraId="28377605" w14:textId="77777777" w:rsidR="00EF2C8B" w:rsidRPr="00E9757B" w:rsidRDefault="00EF2C8B" w:rsidP="00EF2C8B">
            <w:pPr>
              <w:pStyle w:val="TableHead"/>
              <w:rPr>
                <w:sz w:val="22"/>
                <w:szCs w:val="22"/>
              </w:rPr>
            </w:pPr>
            <w:r w:rsidRPr="00E9757B">
              <w:rPr>
                <w:sz w:val="22"/>
                <w:szCs w:val="22"/>
              </w:rPr>
              <w:t>% of employees reporting a</w:t>
            </w:r>
          </w:p>
          <w:p w14:paraId="72B76C1D" w14:textId="403A027D" w:rsidR="00EF2C8B" w:rsidRPr="00E9757B" w:rsidRDefault="00EF2C8B" w:rsidP="00EF2C8B">
            <w:pPr>
              <w:pStyle w:val="TableHead"/>
              <w:rPr>
                <w:sz w:val="24"/>
              </w:rPr>
            </w:pPr>
            <w:r w:rsidRPr="00E9757B">
              <w:rPr>
                <w:sz w:val="22"/>
                <w:szCs w:val="22"/>
              </w:rPr>
              <w:t>disability 202</w:t>
            </w:r>
            <w:r w:rsidR="00E9757B">
              <w:rPr>
                <w:sz w:val="22"/>
                <w:szCs w:val="22"/>
              </w:rPr>
              <w:t>2</w:t>
            </w:r>
          </w:p>
        </w:tc>
      </w:tr>
      <w:tr w:rsidR="00E9757B" w:rsidRPr="00E9757B" w14:paraId="2B60BCC6" w14:textId="77777777" w:rsidTr="00D53074">
        <w:tc>
          <w:tcPr>
            <w:tcW w:w="2415" w:type="dxa"/>
          </w:tcPr>
          <w:p w14:paraId="1334D49F" w14:textId="77777777" w:rsidR="00E9757B" w:rsidRPr="00E9757B" w:rsidRDefault="00E9757B" w:rsidP="00E9757B">
            <w:pPr>
              <w:rPr>
                <w:sz w:val="22"/>
                <w:szCs w:val="22"/>
              </w:rPr>
            </w:pPr>
            <w:r w:rsidRPr="00E9757B">
              <w:rPr>
                <w:rFonts w:cs="Calibri"/>
                <w:color w:val="000000"/>
                <w:sz w:val="22"/>
                <w:szCs w:val="22"/>
              </w:rPr>
              <w:t>Competition &amp; Consumer Protection Commission</w:t>
            </w:r>
          </w:p>
        </w:tc>
        <w:tc>
          <w:tcPr>
            <w:tcW w:w="1559" w:type="dxa"/>
          </w:tcPr>
          <w:p w14:paraId="6CCD92A8" w14:textId="4E9C38A7" w:rsidR="00E9757B" w:rsidRPr="00E9757B" w:rsidRDefault="00E9757B" w:rsidP="00E9757B">
            <w:pPr>
              <w:spacing w:after="0"/>
              <w:jc w:val="right"/>
              <w:rPr>
                <w:sz w:val="22"/>
                <w:szCs w:val="22"/>
              </w:rPr>
            </w:pPr>
            <w:r w:rsidRPr="00E9757B">
              <w:rPr>
                <w:rFonts w:cs="Calibri"/>
                <w:color w:val="000000"/>
                <w:sz w:val="22"/>
                <w:szCs w:val="22"/>
              </w:rPr>
              <w:t>137</w:t>
            </w:r>
          </w:p>
        </w:tc>
        <w:tc>
          <w:tcPr>
            <w:tcW w:w="1560" w:type="dxa"/>
          </w:tcPr>
          <w:p w14:paraId="25801F09" w14:textId="72C39B96" w:rsidR="00E9757B" w:rsidRPr="00E9757B" w:rsidRDefault="00E9757B" w:rsidP="00E9757B">
            <w:pPr>
              <w:spacing w:after="0"/>
              <w:jc w:val="right"/>
              <w:rPr>
                <w:sz w:val="22"/>
                <w:szCs w:val="22"/>
              </w:rPr>
            </w:pPr>
            <w:r w:rsidRPr="00E9757B">
              <w:rPr>
                <w:rFonts w:cs="Calibri"/>
                <w:color w:val="000000"/>
                <w:sz w:val="22"/>
                <w:szCs w:val="22"/>
              </w:rPr>
              <w:t>10</w:t>
            </w:r>
          </w:p>
        </w:tc>
        <w:tc>
          <w:tcPr>
            <w:tcW w:w="1417" w:type="dxa"/>
          </w:tcPr>
          <w:p w14:paraId="3F33543E" w14:textId="16D7559C" w:rsidR="00E9757B" w:rsidRPr="00E9757B" w:rsidRDefault="00E9757B" w:rsidP="00E9757B">
            <w:pPr>
              <w:spacing w:after="0"/>
              <w:jc w:val="right"/>
              <w:rPr>
                <w:sz w:val="22"/>
                <w:szCs w:val="22"/>
              </w:rPr>
            </w:pPr>
            <w:r w:rsidRPr="00E9757B">
              <w:rPr>
                <w:rFonts w:cs="Calibri"/>
                <w:color w:val="000000"/>
                <w:sz w:val="22"/>
                <w:szCs w:val="22"/>
              </w:rPr>
              <w:t>7.3%</w:t>
            </w:r>
          </w:p>
        </w:tc>
        <w:tc>
          <w:tcPr>
            <w:tcW w:w="1418" w:type="dxa"/>
          </w:tcPr>
          <w:p w14:paraId="42DC77F5" w14:textId="77777777" w:rsidR="00E9757B" w:rsidRDefault="00E9757B" w:rsidP="00E9757B">
            <w:pPr>
              <w:spacing w:after="0"/>
              <w:jc w:val="right"/>
              <w:rPr>
                <w:rFonts w:cs="Calibri"/>
                <w:color w:val="000000"/>
                <w:sz w:val="22"/>
                <w:szCs w:val="22"/>
                <w:lang w:eastAsia="en-IE"/>
              </w:rPr>
            </w:pPr>
            <w:r>
              <w:rPr>
                <w:rFonts w:cs="Calibri"/>
                <w:color w:val="000000"/>
                <w:sz w:val="22"/>
                <w:szCs w:val="22"/>
              </w:rPr>
              <w:t>145</w:t>
            </w:r>
          </w:p>
          <w:p w14:paraId="2F339C4D" w14:textId="223B1F6E" w:rsidR="00E9757B" w:rsidRPr="00E9757B" w:rsidRDefault="00E9757B" w:rsidP="00E9757B">
            <w:pPr>
              <w:jc w:val="right"/>
              <w:rPr>
                <w:sz w:val="22"/>
                <w:szCs w:val="22"/>
              </w:rPr>
            </w:pPr>
          </w:p>
        </w:tc>
        <w:tc>
          <w:tcPr>
            <w:tcW w:w="1559" w:type="dxa"/>
          </w:tcPr>
          <w:p w14:paraId="596A183A" w14:textId="77777777" w:rsidR="00E9757B" w:rsidRDefault="00E9757B" w:rsidP="00E9757B">
            <w:pPr>
              <w:spacing w:after="0"/>
              <w:jc w:val="right"/>
              <w:rPr>
                <w:rFonts w:cs="Calibri"/>
                <w:color w:val="000000"/>
                <w:sz w:val="22"/>
                <w:szCs w:val="22"/>
                <w:lang w:eastAsia="en-IE"/>
              </w:rPr>
            </w:pPr>
            <w:r>
              <w:rPr>
                <w:rFonts w:cs="Calibri"/>
                <w:color w:val="000000"/>
                <w:sz w:val="22"/>
                <w:szCs w:val="22"/>
              </w:rPr>
              <w:t>11</w:t>
            </w:r>
          </w:p>
          <w:p w14:paraId="69FFFE47" w14:textId="5013CA0C" w:rsidR="00E9757B" w:rsidRPr="00E9757B" w:rsidRDefault="00E9757B" w:rsidP="00E9757B">
            <w:pPr>
              <w:jc w:val="right"/>
              <w:rPr>
                <w:sz w:val="22"/>
                <w:szCs w:val="22"/>
              </w:rPr>
            </w:pPr>
          </w:p>
        </w:tc>
        <w:tc>
          <w:tcPr>
            <w:tcW w:w="1417" w:type="dxa"/>
          </w:tcPr>
          <w:p w14:paraId="08BB87FE" w14:textId="77777777" w:rsidR="00B810CC" w:rsidRDefault="00B810CC" w:rsidP="00B810CC">
            <w:pPr>
              <w:spacing w:after="0"/>
              <w:jc w:val="right"/>
              <w:rPr>
                <w:rFonts w:cs="Calibri"/>
                <w:color w:val="000000"/>
                <w:sz w:val="22"/>
                <w:szCs w:val="22"/>
                <w:lang w:eastAsia="en-IE"/>
              </w:rPr>
            </w:pPr>
            <w:r>
              <w:rPr>
                <w:rFonts w:cs="Calibri"/>
                <w:color w:val="000000"/>
                <w:sz w:val="22"/>
                <w:szCs w:val="22"/>
              </w:rPr>
              <w:t>7.6%</w:t>
            </w:r>
          </w:p>
          <w:p w14:paraId="1CCACE80" w14:textId="751209ED" w:rsidR="00E9757B" w:rsidRPr="00E9757B" w:rsidRDefault="00E9757B" w:rsidP="00E9757B">
            <w:pPr>
              <w:jc w:val="right"/>
              <w:rPr>
                <w:sz w:val="22"/>
                <w:szCs w:val="22"/>
              </w:rPr>
            </w:pPr>
          </w:p>
        </w:tc>
      </w:tr>
      <w:tr w:rsidR="00E9757B" w:rsidRPr="00E9757B" w14:paraId="27892BEB" w14:textId="77777777" w:rsidTr="00D53074">
        <w:tc>
          <w:tcPr>
            <w:tcW w:w="2415" w:type="dxa"/>
          </w:tcPr>
          <w:p w14:paraId="3936BB37" w14:textId="77777777" w:rsidR="00E9757B" w:rsidRPr="00E9757B" w:rsidRDefault="00E9757B" w:rsidP="00E9757B">
            <w:pPr>
              <w:rPr>
                <w:sz w:val="22"/>
                <w:szCs w:val="22"/>
              </w:rPr>
            </w:pPr>
            <w:r w:rsidRPr="00E9757B">
              <w:rPr>
                <w:rFonts w:cs="Calibri"/>
                <w:color w:val="000000"/>
                <w:sz w:val="22"/>
                <w:szCs w:val="22"/>
              </w:rPr>
              <w:t>Enterprise Ireland</w:t>
            </w:r>
          </w:p>
        </w:tc>
        <w:tc>
          <w:tcPr>
            <w:tcW w:w="1559" w:type="dxa"/>
          </w:tcPr>
          <w:p w14:paraId="03B90B2B" w14:textId="6FE00557" w:rsidR="00E9757B" w:rsidRPr="00E9757B" w:rsidRDefault="00E9757B" w:rsidP="00E9757B">
            <w:pPr>
              <w:spacing w:after="0"/>
              <w:jc w:val="right"/>
              <w:rPr>
                <w:sz w:val="22"/>
                <w:szCs w:val="22"/>
              </w:rPr>
            </w:pPr>
            <w:r w:rsidRPr="00E9757B">
              <w:rPr>
                <w:rFonts w:cs="Calibri"/>
                <w:color w:val="000000"/>
                <w:sz w:val="22"/>
                <w:szCs w:val="22"/>
              </w:rPr>
              <w:t>662</w:t>
            </w:r>
          </w:p>
        </w:tc>
        <w:tc>
          <w:tcPr>
            <w:tcW w:w="1560" w:type="dxa"/>
          </w:tcPr>
          <w:p w14:paraId="6CEE3075" w14:textId="614DAFE6" w:rsidR="00E9757B" w:rsidRPr="00E9757B" w:rsidRDefault="00E9757B" w:rsidP="00E9757B">
            <w:pPr>
              <w:spacing w:after="0"/>
              <w:jc w:val="right"/>
              <w:rPr>
                <w:sz w:val="22"/>
                <w:szCs w:val="22"/>
              </w:rPr>
            </w:pPr>
            <w:r w:rsidRPr="00E9757B">
              <w:rPr>
                <w:rFonts w:cs="Calibri"/>
                <w:color w:val="000000"/>
                <w:sz w:val="22"/>
                <w:szCs w:val="22"/>
              </w:rPr>
              <w:t>31</w:t>
            </w:r>
          </w:p>
        </w:tc>
        <w:tc>
          <w:tcPr>
            <w:tcW w:w="1417" w:type="dxa"/>
          </w:tcPr>
          <w:p w14:paraId="08C5EF6B" w14:textId="28BBA4AA" w:rsidR="00E9757B" w:rsidRPr="00E9757B" w:rsidRDefault="00E9757B" w:rsidP="00E9757B">
            <w:pPr>
              <w:spacing w:after="0"/>
              <w:jc w:val="right"/>
              <w:rPr>
                <w:sz w:val="22"/>
                <w:szCs w:val="22"/>
              </w:rPr>
            </w:pPr>
            <w:r w:rsidRPr="00E9757B">
              <w:rPr>
                <w:rFonts w:cs="Calibri"/>
                <w:color w:val="000000"/>
                <w:sz w:val="22"/>
                <w:szCs w:val="22"/>
              </w:rPr>
              <w:t>4.7%</w:t>
            </w:r>
          </w:p>
        </w:tc>
        <w:tc>
          <w:tcPr>
            <w:tcW w:w="1418" w:type="dxa"/>
          </w:tcPr>
          <w:p w14:paraId="1EB882FF" w14:textId="77777777" w:rsidR="00E9757B" w:rsidRDefault="00E9757B" w:rsidP="00E9757B">
            <w:pPr>
              <w:spacing w:after="0"/>
              <w:jc w:val="right"/>
              <w:rPr>
                <w:rFonts w:cs="Calibri"/>
                <w:color w:val="000000"/>
                <w:sz w:val="22"/>
                <w:szCs w:val="22"/>
                <w:lang w:eastAsia="en-IE"/>
              </w:rPr>
            </w:pPr>
            <w:r>
              <w:rPr>
                <w:rFonts w:cs="Calibri"/>
                <w:color w:val="000000"/>
                <w:sz w:val="22"/>
                <w:szCs w:val="22"/>
              </w:rPr>
              <w:t>654</w:t>
            </w:r>
          </w:p>
          <w:p w14:paraId="2C7E998A" w14:textId="442E5B74" w:rsidR="00E9757B" w:rsidRPr="00E9757B" w:rsidRDefault="00E9757B" w:rsidP="00E9757B">
            <w:pPr>
              <w:jc w:val="right"/>
              <w:rPr>
                <w:sz w:val="22"/>
                <w:szCs w:val="22"/>
              </w:rPr>
            </w:pPr>
          </w:p>
        </w:tc>
        <w:tc>
          <w:tcPr>
            <w:tcW w:w="1559" w:type="dxa"/>
          </w:tcPr>
          <w:p w14:paraId="546D1C9B" w14:textId="77777777" w:rsidR="00B810CC" w:rsidRDefault="00B810CC" w:rsidP="00B810CC">
            <w:pPr>
              <w:spacing w:after="0"/>
              <w:jc w:val="right"/>
              <w:rPr>
                <w:rFonts w:cs="Calibri"/>
                <w:color w:val="000000"/>
                <w:sz w:val="22"/>
                <w:szCs w:val="22"/>
                <w:lang w:eastAsia="en-IE"/>
              </w:rPr>
            </w:pPr>
            <w:r>
              <w:rPr>
                <w:rFonts w:cs="Calibri"/>
                <w:color w:val="000000"/>
                <w:sz w:val="22"/>
                <w:szCs w:val="22"/>
              </w:rPr>
              <w:t>31</w:t>
            </w:r>
          </w:p>
          <w:p w14:paraId="0FD5096B" w14:textId="718CDE05" w:rsidR="00E9757B" w:rsidRPr="00E9757B" w:rsidRDefault="00E9757B" w:rsidP="00E9757B">
            <w:pPr>
              <w:jc w:val="right"/>
              <w:rPr>
                <w:sz w:val="22"/>
                <w:szCs w:val="22"/>
              </w:rPr>
            </w:pPr>
          </w:p>
        </w:tc>
        <w:tc>
          <w:tcPr>
            <w:tcW w:w="1417" w:type="dxa"/>
          </w:tcPr>
          <w:p w14:paraId="0C785082" w14:textId="77777777" w:rsidR="00B810CC" w:rsidRDefault="00B810CC" w:rsidP="00B810CC">
            <w:pPr>
              <w:spacing w:after="0"/>
              <w:jc w:val="right"/>
              <w:rPr>
                <w:rFonts w:cs="Calibri"/>
                <w:color w:val="000000"/>
                <w:sz w:val="22"/>
                <w:szCs w:val="22"/>
                <w:lang w:eastAsia="en-IE"/>
              </w:rPr>
            </w:pPr>
            <w:r>
              <w:rPr>
                <w:rFonts w:cs="Calibri"/>
                <w:color w:val="000000"/>
                <w:sz w:val="22"/>
                <w:szCs w:val="22"/>
              </w:rPr>
              <w:t>4.7%</w:t>
            </w:r>
          </w:p>
          <w:p w14:paraId="7AD70FE1" w14:textId="5131761C" w:rsidR="00E9757B" w:rsidRPr="00E9757B" w:rsidRDefault="00E9757B" w:rsidP="00E9757B">
            <w:pPr>
              <w:jc w:val="right"/>
              <w:rPr>
                <w:sz w:val="22"/>
                <w:szCs w:val="22"/>
              </w:rPr>
            </w:pPr>
          </w:p>
        </w:tc>
      </w:tr>
      <w:tr w:rsidR="00E9757B" w:rsidRPr="00E9757B" w14:paraId="67ABA0BB" w14:textId="77777777" w:rsidTr="00D53074">
        <w:tc>
          <w:tcPr>
            <w:tcW w:w="2415" w:type="dxa"/>
          </w:tcPr>
          <w:p w14:paraId="54668F8A" w14:textId="77777777" w:rsidR="00E9757B" w:rsidRPr="00E9757B" w:rsidRDefault="00E9757B" w:rsidP="00E9757B">
            <w:pPr>
              <w:rPr>
                <w:sz w:val="22"/>
                <w:szCs w:val="22"/>
              </w:rPr>
            </w:pPr>
            <w:r w:rsidRPr="00E9757B">
              <w:rPr>
                <w:rFonts w:cs="Calibri"/>
                <w:color w:val="000000"/>
                <w:sz w:val="22"/>
                <w:szCs w:val="22"/>
              </w:rPr>
              <w:t>Health &amp; Safety Authority</w:t>
            </w:r>
          </w:p>
        </w:tc>
        <w:tc>
          <w:tcPr>
            <w:tcW w:w="1559" w:type="dxa"/>
          </w:tcPr>
          <w:p w14:paraId="7D9D91AC" w14:textId="454457B0" w:rsidR="00E9757B" w:rsidRPr="00E9757B" w:rsidRDefault="00E9757B" w:rsidP="00E9757B">
            <w:pPr>
              <w:spacing w:after="0"/>
              <w:jc w:val="right"/>
              <w:rPr>
                <w:sz w:val="22"/>
                <w:szCs w:val="22"/>
              </w:rPr>
            </w:pPr>
            <w:r w:rsidRPr="00E9757B">
              <w:rPr>
                <w:rFonts w:cs="Calibri"/>
                <w:color w:val="000000"/>
                <w:sz w:val="22"/>
                <w:szCs w:val="22"/>
              </w:rPr>
              <w:t>210</w:t>
            </w:r>
          </w:p>
        </w:tc>
        <w:tc>
          <w:tcPr>
            <w:tcW w:w="1560" w:type="dxa"/>
          </w:tcPr>
          <w:p w14:paraId="20EA6CF2" w14:textId="5338E037" w:rsidR="00E9757B" w:rsidRPr="00E9757B" w:rsidRDefault="00E9757B" w:rsidP="00E9757B">
            <w:pPr>
              <w:spacing w:after="0"/>
              <w:jc w:val="right"/>
              <w:rPr>
                <w:sz w:val="22"/>
                <w:szCs w:val="22"/>
              </w:rPr>
            </w:pPr>
            <w:r w:rsidRPr="00E9757B">
              <w:rPr>
                <w:rFonts w:cs="Calibri"/>
                <w:color w:val="000000"/>
                <w:sz w:val="22"/>
                <w:szCs w:val="22"/>
              </w:rPr>
              <w:t>16</w:t>
            </w:r>
          </w:p>
        </w:tc>
        <w:tc>
          <w:tcPr>
            <w:tcW w:w="1417" w:type="dxa"/>
          </w:tcPr>
          <w:p w14:paraId="5C624452" w14:textId="0545C73A" w:rsidR="00E9757B" w:rsidRPr="00E9757B" w:rsidRDefault="00E9757B" w:rsidP="00E9757B">
            <w:pPr>
              <w:spacing w:after="0"/>
              <w:jc w:val="right"/>
              <w:rPr>
                <w:sz w:val="22"/>
                <w:szCs w:val="22"/>
              </w:rPr>
            </w:pPr>
            <w:r w:rsidRPr="00E9757B">
              <w:rPr>
                <w:rFonts w:cs="Calibri"/>
                <w:color w:val="000000"/>
                <w:sz w:val="22"/>
                <w:szCs w:val="22"/>
              </w:rPr>
              <w:t>7.6%</w:t>
            </w:r>
          </w:p>
        </w:tc>
        <w:tc>
          <w:tcPr>
            <w:tcW w:w="1418" w:type="dxa"/>
          </w:tcPr>
          <w:p w14:paraId="6C05A200" w14:textId="77777777" w:rsidR="00E9757B" w:rsidRDefault="00E9757B" w:rsidP="00E9757B">
            <w:pPr>
              <w:spacing w:after="0"/>
              <w:jc w:val="right"/>
              <w:rPr>
                <w:rFonts w:cs="Calibri"/>
                <w:color w:val="000000"/>
                <w:sz w:val="22"/>
                <w:szCs w:val="22"/>
                <w:lang w:eastAsia="en-IE"/>
              </w:rPr>
            </w:pPr>
            <w:r>
              <w:rPr>
                <w:rFonts w:cs="Calibri"/>
                <w:color w:val="000000"/>
                <w:sz w:val="22"/>
                <w:szCs w:val="22"/>
              </w:rPr>
              <w:t>232</w:t>
            </w:r>
          </w:p>
          <w:p w14:paraId="40E3F7C6" w14:textId="486CC8E4" w:rsidR="00E9757B" w:rsidRPr="00E9757B" w:rsidRDefault="00E9757B" w:rsidP="00E9757B">
            <w:pPr>
              <w:jc w:val="right"/>
              <w:rPr>
                <w:sz w:val="22"/>
                <w:szCs w:val="22"/>
              </w:rPr>
            </w:pPr>
          </w:p>
        </w:tc>
        <w:tc>
          <w:tcPr>
            <w:tcW w:w="1559" w:type="dxa"/>
          </w:tcPr>
          <w:p w14:paraId="4904D10D" w14:textId="77777777" w:rsidR="00B810CC" w:rsidRDefault="00B810CC" w:rsidP="00B810CC">
            <w:pPr>
              <w:spacing w:after="0"/>
              <w:jc w:val="right"/>
              <w:rPr>
                <w:rFonts w:cs="Calibri"/>
                <w:color w:val="000000"/>
                <w:sz w:val="22"/>
                <w:szCs w:val="22"/>
                <w:lang w:eastAsia="en-IE"/>
              </w:rPr>
            </w:pPr>
            <w:r>
              <w:rPr>
                <w:rFonts w:cs="Calibri"/>
                <w:color w:val="000000"/>
                <w:sz w:val="22"/>
                <w:szCs w:val="22"/>
              </w:rPr>
              <w:t>12</w:t>
            </w:r>
          </w:p>
          <w:p w14:paraId="04A535AF" w14:textId="198CC4F6" w:rsidR="00E9757B" w:rsidRPr="00E9757B" w:rsidRDefault="00E9757B" w:rsidP="00E9757B">
            <w:pPr>
              <w:jc w:val="right"/>
              <w:rPr>
                <w:sz w:val="22"/>
                <w:szCs w:val="22"/>
              </w:rPr>
            </w:pPr>
          </w:p>
        </w:tc>
        <w:tc>
          <w:tcPr>
            <w:tcW w:w="1417" w:type="dxa"/>
          </w:tcPr>
          <w:p w14:paraId="48629FBC" w14:textId="77777777" w:rsidR="00B810CC" w:rsidRDefault="00B810CC" w:rsidP="00B810CC">
            <w:pPr>
              <w:spacing w:after="0"/>
              <w:jc w:val="right"/>
              <w:rPr>
                <w:rFonts w:cs="Calibri"/>
                <w:color w:val="000000"/>
                <w:sz w:val="22"/>
                <w:szCs w:val="22"/>
                <w:lang w:eastAsia="en-IE"/>
              </w:rPr>
            </w:pPr>
            <w:r>
              <w:rPr>
                <w:rFonts w:cs="Calibri"/>
                <w:color w:val="000000"/>
                <w:sz w:val="22"/>
                <w:szCs w:val="22"/>
              </w:rPr>
              <w:t>5.2%</w:t>
            </w:r>
          </w:p>
          <w:p w14:paraId="51092A61" w14:textId="417751E0" w:rsidR="00E9757B" w:rsidRPr="00E9757B" w:rsidRDefault="00E9757B" w:rsidP="00E9757B">
            <w:pPr>
              <w:jc w:val="right"/>
              <w:rPr>
                <w:sz w:val="22"/>
                <w:szCs w:val="22"/>
              </w:rPr>
            </w:pPr>
          </w:p>
        </w:tc>
      </w:tr>
      <w:tr w:rsidR="00E9757B" w:rsidRPr="00E9757B" w14:paraId="3F2E65BB" w14:textId="77777777" w:rsidTr="00D53074">
        <w:tc>
          <w:tcPr>
            <w:tcW w:w="2415" w:type="dxa"/>
          </w:tcPr>
          <w:p w14:paraId="3E420970" w14:textId="77777777" w:rsidR="00E9757B" w:rsidRPr="00E9757B" w:rsidRDefault="00E9757B" w:rsidP="00E9757B">
            <w:pPr>
              <w:spacing w:after="0"/>
              <w:rPr>
                <w:sz w:val="22"/>
                <w:szCs w:val="22"/>
              </w:rPr>
            </w:pPr>
            <w:r w:rsidRPr="00E9757B">
              <w:rPr>
                <w:rFonts w:cs="Calibri"/>
                <w:color w:val="000000"/>
                <w:sz w:val="22"/>
                <w:szCs w:val="22"/>
              </w:rPr>
              <w:t>IDA Ireland</w:t>
            </w:r>
          </w:p>
        </w:tc>
        <w:tc>
          <w:tcPr>
            <w:tcW w:w="1559" w:type="dxa"/>
          </w:tcPr>
          <w:p w14:paraId="0670EFEC" w14:textId="0D27FACF" w:rsidR="00E9757B" w:rsidRPr="00E9757B" w:rsidRDefault="00E9757B" w:rsidP="00E9757B">
            <w:pPr>
              <w:spacing w:after="0"/>
              <w:jc w:val="right"/>
              <w:rPr>
                <w:sz w:val="22"/>
                <w:szCs w:val="22"/>
              </w:rPr>
            </w:pPr>
            <w:r w:rsidRPr="00E9757B">
              <w:rPr>
                <w:rFonts w:cs="Calibri"/>
                <w:color w:val="000000"/>
                <w:sz w:val="22"/>
                <w:szCs w:val="22"/>
              </w:rPr>
              <w:t>354</w:t>
            </w:r>
          </w:p>
        </w:tc>
        <w:tc>
          <w:tcPr>
            <w:tcW w:w="1560" w:type="dxa"/>
          </w:tcPr>
          <w:p w14:paraId="35B0E93B" w14:textId="098F3639" w:rsidR="00E9757B" w:rsidRPr="00E9757B" w:rsidRDefault="00E9757B" w:rsidP="00E9757B">
            <w:pPr>
              <w:spacing w:after="0"/>
              <w:jc w:val="right"/>
              <w:rPr>
                <w:sz w:val="22"/>
                <w:szCs w:val="22"/>
              </w:rPr>
            </w:pPr>
            <w:r w:rsidRPr="00E9757B">
              <w:rPr>
                <w:rFonts w:cs="Calibri"/>
                <w:color w:val="000000"/>
                <w:sz w:val="22"/>
                <w:szCs w:val="22"/>
              </w:rPr>
              <w:t>26</w:t>
            </w:r>
          </w:p>
        </w:tc>
        <w:tc>
          <w:tcPr>
            <w:tcW w:w="1417" w:type="dxa"/>
          </w:tcPr>
          <w:p w14:paraId="5EF0549F" w14:textId="3FBE1C2B" w:rsidR="00E9757B" w:rsidRPr="00E9757B" w:rsidRDefault="00E9757B" w:rsidP="00E9757B">
            <w:pPr>
              <w:spacing w:after="0"/>
              <w:jc w:val="right"/>
              <w:rPr>
                <w:sz w:val="22"/>
                <w:szCs w:val="22"/>
              </w:rPr>
            </w:pPr>
            <w:r w:rsidRPr="00E9757B">
              <w:rPr>
                <w:rFonts w:cs="Calibri"/>
                <w:color w:val="000000"/>
                <w:sz w:val="22"/>
                <w:szCs w:val="22"/>
              </w:rPr>
              <w:t>7.3%</w:t>
            </w:r>
          </w:p>
        </w:tc>
        <w:tc>
          <w:tcPr>
            <w:tcW w:w="1418" w:type="dxa"/>
          </w:tcPr>
          <w:p w14:paraId="4C3100D2" w14:textId="77777777" w:rsidR="00E9757B" w:rsidRDefault="00E9757B" w:rsidP="00E9757B">
            <w:pPr>
              <w:spacing w:after="0"/>
              <w:jc w:val="right"/>
              <w:rPr>
                <w:rFonts w:cs="Calibri"/>
                <w:color w:val="000000"/>
                <w:sz w:val="22"/>
                <w:szCs w:val="22"/>
                <w:lang w:eastAsia="en-IE"/>
              </w:rPr>
            </w:pPr>
            <w:r>
              <w:rPr>
                <w:rFonts w:cs="Calibri"/>
                <w:color w:val="000000"/>
                <w:sz w:val="22"/>
                <w:szCs w:val="22"/>
              </w:rPr>
              <w:t>360</w:t>
            </w:r>
          </w:p>
          <w:p w14:paraId="44EB4FF2" w14:textId="4A36BEC5" w:rsidR="00E9757B" w:rsidRPr="00E9757B" w:rsidRDefault="00E9757B" w:rsidP="00E9757B">
            <w:pPr>
              <w:jc w:val="right"/>
              <w:rPr>
                <w:sz w:val="22"/>
                <w:szCs w:val="22"/>
              </w:rPr>
            </w:pPr>
          </w:p>
        </w:tc>
        <w:tc>
          <w:tcPr>
            <w:tcW w:w="1559" w:type="dxa"/>
          </w:tcPr>
          <w:p w14:paraId="3A5B26EB" w14:textId="77777777" w:rsidR="00B810CC" w:rsidRDefault="00B810CC" w:rsidP="00B810CC">
            <w:pPr>
              <w:spacing w:after="0"/>
              <w:jc w:val="right"/>
              <w:rPr>
                <w:rFonts w:cs="Calibri"/>
                <w:color w:val="000000"/>
                <w:sz w:val="22"/>
                <w:szCs w:val="22"/>
                <w:lang w:eastAsia="en-IE"/>
              </w:rPr>
            </w:pPr>
            <w:r>
              <w:rPr>
                <w:rFonts w:cs="Calibri"/>
                <w:color w:val="000000"/>
                <w:sz w:val="22"/>
                <w:szCs w:val="22"/>
              </w:rPr>
              <w:t>26</w:t>
            </w:r>
          </w:p>
          <w:p w14:paraId="1266DE3E" w14:textId="5890E890" w:rsidR="00E9757B" w:rsidRPr="00E9757B" w:rsidRDefault="00E9757B" w:rsidP="00E9757B">
            <w:pPr>
              <w:jc w:val="right"/>
              <w:rPr>
                <w:sz w:val="22"/>
                <w:szCs w:val="22"/>
              </w:rPr>
            </w:pPr>
          </w:p>
        </w:tc>
        <w:tc>
          <w:tcPr>
            <w:tcW w:w="1417" w:type="dxa"/>
          </w:tcPr>
          <w:p w14:paraId="0B6EE961" w14:textId="77777777" w:rsidR="00B810CC" w:rsidRDefault="00B810CC" w:rsidP="00B810CC">
            <w:pPr>
              <w:spacing w:after="0"/>
              <w:jc w:val="right"/>
              <w:rPr>
                <w:rFonts w:cs="Calibri"/>
                <w:color w:val="000000"/>
                <w:sz w:val="22"/>
                <w:szCs w:val="22"/>
                <w:lang w:eastAsia="en-IE"/>
              </w:rPr>
            </w:pPr>
            <w:r>
              <w:rPr>
                <w:rFonts w:cs="Calibri"/>
                <w:color w:val="000000"/>
                <w:sz w:val="22"/>
                <w:szCs w:val="22"/>
              </w:rPr>
              <w:t>7.2%</w:t>
            </w:r>
          </w:p>
          <w:p w14:paraId="0F68B682" w14:textId="10639D29" w:rsidR="00E9757B" w:rsidRPr="00E9757B" w:rsidRDefault="00E9757B" w:rsidP="00E9757B">
            <w:pPr>
              <w:jc w:val="right"/>
              <w:rPr>
                <w:sz w:val="22"/>
                <w:szCs w:val="22"/>
              </w:rPr>
            </w:pPr>
          </w:p>
        </w:tc>
      </w:tr>
      <w:tr w:rsidR="00E9757B" w:rsidRPr="00E9757B" w14:paraId="430EF502" w14:textId="77777777" w:rsidTr="00D53074">
        <w:tc>
          <w:tcPr>
            <w:tcW w:w="2415" w:type="dxa"/>
          </w:tcPr>
          <w:p w14:paraId="72017BDD" w14:textId="77777777" w:rsidR="00E9757B" w:rsidRPr="00E9757B" w:rsidRDefault="00E9757B" w:rsidP="00E9757B">
            <w:pPr>
              <w:rPr>
                <w:sz w:val="22"/>
                <w:szCs w:val="22"/>
              </w:rPr>
            </w:pPr>
            <w:r w:rsidRPr="00E9757B">
              <w:rPr>
                <w:rFonts w:cs="Calibri"/>
                <w:color w:val="000000"/>
                <w:sz w:val="22"/>
                <w:szCs w:val="22"/>
              </w:rPr>
              <w:t>InterTrade Ireland</w:t>
            </w:r>
          </w:p>
        </w:tc>
        <w:tc>
          <w:tcPr>
            <w:tcW w:w="1559" w:type="dxa"/>
          </w:tcPr>
          <w:p w14:paraId="3DF9D1AF" w14:textId="553401AF" w:rsidR="00E9757B" w:rsidRPr="00E9757B" w:rsidRDefault="00E9757B" w:rsidP="00E9757B">
            <w:pPr>
              <w:spacing w:after="0"/>
              <w:jc w:val="right"/>
              <w:rPr>
                <w:sz w:val="22"/>
                <w:szCs w:val="22"/>
              </w:rPr>
            </w:pPr>
            <w:r w:rsidRPr="00E9757B">
              <w:rPr>
                <w:rFonts w:cs="Calibri"/>
                <w:color w:val="000000"/>
                <w:sz w:val="22"/>
                <w:szCs w:val="22"/>
              </w:rPr>
              <w:t>56</w:t>
            </w:r>
          </w:p>
        </w:tc>
        <w:tc>
          <w:tcPr>
            <w:tcW w:w="1560" w:type="dxa"/>
          </w:tcPr>
          <w:p w14:paraId="33EDFEEA" w14:textId="1DD359D2" w:rsidR="00E9757B" w:rsidRPr="00E9757B" w:rsidRDefault="00E9757B" w:rsidP="00E9757B">
            <w:pPr>
              <w:spacing w:after="0"/>
              <w:jc w:val="right"/>
              <w:rPr>
                <w:sz w:val="22"/>
                <w:szCs w:val="22"/>
              </w:rPr>
            </w:pPr>
            <w:r w:rsidRPr="00E9757B">
              <w:rPr>
                <w:rFonts w:cs="Calibri"/>
                <w:color w:val="000000"/>
                <w:sz w:val="22"/>
                <w:szCs w:val="22"/>
              </w:rPr>
              <w:t>3</w:t>
            </w:r>
          </w:p>
        </w:tc>
        <w:tc>
          <w:tcPr>
            <w:tcW w:w="1417" w:type="dxa"/>
          </w:tcPr>
          <w:p w14:paraId="4C5936C4" w14:textId="1A522E9C" w:rsidR="00E9757B" w:rsidRPr="00E9757B" w:rsidRDefault="00E9757B" w:rsidP="00E9757B">
            <w:pPr>
              <w:spacing w:after="0"/>
              <w:jc w:val="right"/>
              <w:rPr>
                <w:sz w:val="22"/>
                <w:szCs w:val="22"/>
              </w:rPr>
            </w:pPr>
            <w:r w:rsidRPr="00E9757B">
              <w:rPr>
                <w:rFonts w:cs="Calibri"/>
                <w:color w:val="000000"/>
                <w:sz w:val="22"/>
                <w:szCs w:val="22"/>
              </w:rPr>
              <w:t>5.4%</w:t>
            </w:r>
          </w:p>
        </w:tc>
        <w:tc>
          <w:tcPr>
            <w:tcW w:w="1418" w:type="dxa"/>
          </w:tcPr>
          <w:p w14:paraId="780D8963" w14:textId="77777777" w:rsidR="00E9757B" w:rsidRDefault="00E9757B" w:rsidP="00E9757B">
            <w:pPr>
              <w:spacing w:after="0"/>
              <w:jc w:val="right"/>
              <w:rPr>
                <w:rFonts w:cs="Calibri"/>
                <w:color w:val="000000"/>
                <w:sz w:val="22"/>
                <w:szCs w:val="22"/>
                <w:lang w:eastAsia="en-IE"/>
              </w:rPr>
            </w:pPr>
            <w:r>
              <w:rPr>
                <w:rFonts w:cs="Calibri"/>
                <w:color w:val="000000"/>
                <w:sz w:val="22"/>
                <w:szCs w:val="22"/>
              </w:rPr>
              <w:t>47</w:t>
            </w:r>
          </w:p>
          <w:p w14:paraId="1596DC4A" w14:textId="78FA49AD" w:rsidR="00E9757B" w:rsidRPr="00E9757B" w:rsidRDefault="00E9757B" w:rsidP="00E9757B">
            <w:pPr>
              <w:jc w:val="right"/>
              <w:rPr>
                <w:sz w:val="22"/>
                <w:szCs w:val="22"/>
              </w:rPr>
            </w:pPr>
          </w:p>
        </w:tc>
        <w:tc>
          <w:tcPr>
            <w:tcW w:w="1559" w:type="dxa"/>
          </w:tcPr>
          <w:p w14:paraId="042132BC" w14:textId="77777777" w:rsidR="00B810CC" w:rsidRDefault="00B810CC" w:rsidP="00B810CC">
            <w:pPr>
              <w:spacing w:after="0"/>
              <w:jc w:val="right"/>
              <w:rPr>
                <w:rFonts w:cs="Calibri"/>
                <w:color w:val="000000"/>
                <w:sz w:val="22"/>
                <w:szCs w:val="22"/>
                <w:lang w:eastAsia="en-IE"/>
              </w:rPr>
            </w:pPr>
            <w:r>
              <w:rPr>
                <w:rFonts w:cs="Calibri"/>
                <w:color w:val="000000"/>
                <w:sz w:val="22"/>
                <w:szCs w:val="22"/>
              </w:rPr>
              <w:t>3</w:t>
            </w:r>
          </w:p>
          <w:p w14:paraId="578DC99D" w14:textId="32FEEDEC" w:rsidR="00E9757B" w:rsidRPr="00E9757B" w:rsidRDefault="00E9757B" w:rsidP="00E9757B">
            <w:pPr>
              <w:jc w:val="right"/>
              <w:rPr>
                <w:sz w:val="22"/>
                <w:szCs w:val="22"/>
              </w:rPr>
            </w:pPr>
          </w:p>
        </w:tc>
        <w:tc>
          <w:tcPr>
            <w:tcW w:w="1417" w:type="dxa"/>
          </w:tcPr>
          <w:p w14:paraId="316D3EA2" w14:textId="77777777" w:rsidR="00B810CC" w:rsidRDefault="00B810CC" w:rsidP="00B810CC">
            <w:pPr>
              <w:spacing w:after="0"/>
              <w:jc w:val="right"/>
              <w:rPr>
                <w:rFonts w:cs="Calibri"/>
                <w:color w:val="000000"/>
                <w:sz w:val="22"/>
                <w:szCs w:val="22"/>
                <w:lang w:eastAsia="en-IE"/>
              </w:rPr>
            </w:pPr>
            <w:r>
              <w:rPr>
                <w:rFonts w:cs="Calibri"/>
                <w:color w:val="000000"/>
                <w:sz w:val="22"/>
                <w:szCs w:val="22"/>
              </w:rPr>
              <w:t>6.4%</w:t>
            </w:r>
          </w:p>
          <w:p w14:paraId="757C77DB" w14:textId="314158F8" w:rsidR="00E9757B" w:rsidRPr="00E9757B" w:rsidRDefault="00E9757B" w:rsidP="00E9757B">
            <w:pPr>
              <w:jc w:val="right"/>
              <w:rPr>
                <w:sz w:val="22"/>
                <w:szCs w:val="22"/>
              </w:rPr>
            </w:pPr>
          </w:p>
        </w:tc>
      </w:tr>
      <w:tr w:rsidR="00E9757B" w:rsidRPr="00E9757B" w14:paraId="46E15B25" w14:textId="77777777" w:rsidTr="00D53074">
        <w:tc>
          <w:tcPr>
            <w:tcW w:w="2415" w:type="dxa"/>
          </w:tcPr>
          <w:p w14:paraId="2FDA2FA9" w14:textId="77777777" w:rsidR="00E9757B" w:rsidRPr="00E9757B" w:rsidRDefault="00E9757B" w:rsidP="00E9757B">
            <w:pPr>
              <w:rPr>
                <w:sz w:val="22"/>
                <w:szCs w:val="22"/>
              </w:rPr>
            </w:pPr>
            <w:r w:rsidRPr="00E9757B">
              <w:rPr>
                <w:rFonts w:cs="Calibri"/>
                <w:color w:val="000000"/>
                <w:sz w:val="22"/>
                <w:szCs w:val="22"/>
              </w:rPr>
              <w:t>National Standards Authority of Ireland</w:t>
            </w:r>
          </w:p>
        </w:tc>
        <w:tc>
          <w:tcPr>
            <w:tcW w:w="1559" w:type="dxa"/>
          </w:tcPr>
          <w:p w14:paraId="60632961" w14:textId="4E704727" w:rsidR="00E9757B" w:rsidRPr="00E9757B" w:rsidRDefault="00E9757B" w:rsidP="00E9757B">
            <w:pPr>
              <w:spacing w:after="0"/>
              <w:jc w:val="right"/>
              <w:rPr>
                <w:sz w:val="22"/>
                <w:szCs w:val="22"/>
              </w:rPr>
            </w:pPr>
            <w:r w:rsidRPr="00E9757B">
              <w:rPr>
                <w:rFonts w:cs="Calibri"/>
                <w:color w:val="000000"/>
                <w:sz w:val="22"/>
                <w:szCs w:val="22"/>
              </w:rPr>
              <w:t>177</w:t>
            </w:r>
          </w:p>
        </w:tc>
        <w:tc>
          <w:tcPr>
            <w:tcW w:w="1560" w:type="dxa"/>
          </w:tcPr>
          <w:p w14:paraId="573756E9" w14:textId="6434E5C0" w:rsidR="00E9757B" w:rsidRPr="00E9757B" w:rsidRDefault="00E9757B" w:rsidP="00E9757B">
            <w:pPr>
              <w:spacing w:after="0"/>
              <w:jc w:val="right"/>
              <w:rPr>
                <w:sz w:val="22"/>
                <w:szCs w:val="22"/>
              </w:rPr>
            </w:pPr>
            <w:r w:rsidRPr="00E9757B">
              <w:rPr>
                <w:rFonts w:cs="Calibri"/>
                <w:color w:val="000000"/>
                <w:sz w:val="22"/>
                <w:szCs w:val="22"/>
              </w:rPr>
              <w:t>6</w:t>
            </w:r>
          </w:p>
        </w:tc>
        <w:tc>
          <w:tcPr>
            <w:tcW w:w="1417" w:type="dxa"/>
          </w:tcPr>
          <w:p w14:paraId="010E1F56" w14:textId="7C11D4EB" w:rsidR="00E9757B" w:rsidRPr="00E9757B" w:rsidRDefault="00E9757B" w:rsidP="00E9757B">
            <w:pPr>
              <w:spacing w:after="0"/>
              <w:jc w:val="right"/>
              <w:rPr>
                <w:sz w:val="22"/>
                <w:szCs w:val="22"/>
              </w:rPr>
            </w:pPr>
            <w:r w:rsidRPr="00E9757B">
              <w:rPr>
                <w:rFonts w:cs="Calibri"/>
                <w:color w:val="000000"/>
                <w:sz w:val="22"/>
                <w:szCs w:val="22"/>
              </w:rPr>
              <w:t>3.4%</w:t>
            </w:r>
          </w:p>
        </w:tc>
        <w:tc>
          <w:tcPr>
            <w:tcW w:w="1418" w:type="dxa"/>
          </w:tcPr>
          <w:p w14:paraId="1FAFAD73" w14:textId="77777777" w:rsidR="00E9757B" w:rsidRDefault="00E9757B" w:rsidP="00E9757B">
            <w:pPr>
              <w:spacing w:after="0"/>
              <w:jc w:val="right"/>
              <w:rPr>
                <w:rFonts w:cs="Calibri"/>
                <w:color w:val="000000"/>
                <w:sz w:val="22"/>
                <w:szCs w:val="22"/>
                <w:lang w:eastAsia="en-IE"/>
              </w:rPr>
            </w:pPr>
            <w:r>
              <w:rPr>
                <w:rFonts w:cs="Calibri"/>
                <w:color w:val="000000"/>
                <w:sz w:val="22"/>
                <w:szCs w:val="22"/>
              </w:rPr>
              <w:t>196</w:t>
            </w:r>
          </w:p>
          <w:p w14:paraId="15D4CEEE" w14:textId="5FC5938E" w:rsidR="00E9757B" w:rsidRPr="00E9757B" w:rsidRDefault="00E9757B" w:rsidP="00E9757B">
            <w:pPr>
              <w:jc w:val="right"/>
              <w:rPr>
                <w:sz w:val="22"/>
                <w:szCs w:val="22"/>
              </w:rPr>
            </w:pPr>
          </w:p>
        </w:tc>
        <w:tc>
          <w:tcPr>
            <w:tcW w:w="1559" w:type="dxa"/>
          </w:tcPr>
          <w:p w14:paraId="6A73688C" w14:textId="77777777" w:rsidR="00B810CC" w:rsidRDefault="00B810CC" w:rsidP="00B810CC">
            <w:pPr>
              <w:spacing w:after="0"/>
              <w:jc w:val="right"/>
              <w:rPr>
                <w:rFonts w:cs="Calibri"/>
                <w:color w:val="000000"/>
                <w:sz w:val="22"/>
                <w:szCs w:val="22"/>
                <w:lang w:eastAsia="en-IE"/>
              </w:rPr>
            </w:pPr>
            <w:r>
              <w:rPr>
                <w:rFonts w:cs="Calibri"/>
                <w:color w:val="000000"/>
                <w:sz w:val="22"/>
                <w:szCs w:val="22"/>
              </w:rPr>
              <w:t>12</w:t>
            </w:r>
          </w:p>
          <w:p w14:paraId="20134C24" w14:textId="7B39497F" w:rsidR="00E9757B" w:rsidRPr="00E9757B" w:rsidRDefault="00E9757B" w:rsidP="00E9757B">
            <w:pPr>
              <w:jc w:val="right"/>
              <w:rPr>
                <w:sz w:val="22"/>
                <w:szCs w:val="22"/>
              </w:rPr>
            </w:pPr>
          </w:p>
        </w:tc>
        <w:tc>
          <w:tcPr>
            <w:tcW w:w="1417" w:type="dxa"/>
          </w:tcPr>
          <w:p w14:paraId="2C04866C" w14:textId="77777777" w:rsidR="00B810CC" w:rsidRDefault="00B810CC" w:rsidP="00B810CC">
            <w:pPr>
              <w:spacing w:after="0"/>
              <w:jc w:val="right"/>
              <w:rPr>
                <w:rFonts w:cs="Calibri"/>
                <w:color w:val="000000"/>
                <w:sz w:val="22"/>
                <w:szCs w:val="22"/>
                <w:lang w:eastAsia="en-IE"/>
              </w:rPr>
            </w:pPr>
            <w:r>
              <w:rPr>
                <w:rFonts w:cs="Calibri"/>
                <w:color w:val="000000"/>
                <w:sz w:val="22"/>
                <w:szCs w:val="22"/>
              </w:rPr>
              <w:t>6.1%</w:t>
            </w:r>
          </w:p>
          <w:p w14:paraId="1F5CD197" w14:textId="34E974F9" w:rsidR="00E9757B" w:rsidRPr="00E9757B" w:rsidRDefault="00E9757B" w:rsidP="00E9757B">
            <w:pPr>
              <w:jc w:val="right"/>
              <w:rPr>
                <w:sz w:val="22"/>
                <w:szCs w:val="22"/>
              </w:rPr>
            </w:pPr>
          </w:p>
        </w:tc>
      </w:tr>
      <w:tr w:rsidR="00E9757B" w:rsidRPr="00E9757B" w14:paraId="18EF3063" w14:textId="77777777" w:rsidTr="00D53074">
        <w:tc>
          <w:tcPr>
            <w:tcW w:w="2415" w:type="dxa"/>
          </w:tcPr>
          <w:p w14:paraId="4E726EFF" w14:textId="77777777" w:rsidR="00E9757B" w:rsidRPr="00E9757B" w:rsidRDefault="00E9757B" w:rsidP="00E9757B">
            <w:pPr>
              <w:rPr>
                <w:sz w:val="22"/>
                <w:szCs w:val="22"/>
              </w:rPr>
            </w:pPr>
            <w:r w:rsidRPr="00E9757B">
              <w:rPr>
                <w:rFonts w:cs="Calibri"/>
                <w:color w:val="000000"/>
                <w:sz w:val="22"/>
                <w:szCs w:val="22"/>
              </w:rPr>
              <w:t>Personal Injuries Assessment Board</w:t>
            </w:r>
          </w:p>
        </w:tc>
        <w:tc>
          <w:tcPr>
            <w:tcW w:w="1559" w:type="dxa"/>
          </w:tcPr>
          <w:p w14:paraId="171918FC" w14:textId="2D7A0902" w:rsidR="00E9757B" w:rsidRPr="00E9757B" w:rsidRDefault="00E9757B" w:rsidP="00E9757B">
            <w:pPr>
              <w:spacing w:after="0"/>
              <w:jc w:val="right"/>
              <w:rPr>
                <w:sz w:val="22"/>
                <w:szCs w:val="22"/>
              </w:rPr>
            </w:pPr>
            <w:r w:rsidRPr="00E9757B">
              <w:rPr>
                <w:rFonts w:cs="Calibri"/>
                <w:color w:val="000000"/>
                <w:sz w:val="22"/>
                <w:szCs w:val="22"/>
              </w:rPr>
              <w:t>77</w:t>
            </w:r>
          </w:p>
        </w:tc>
        <w:tc>
          <w:tcPr>
            <w:tcW w:w="1560" w:type="dxa"/>
          </w:tcPr>
          <w:p w14:paraId="38E0480D" w14:textId="40C4D0DE" w:rsidR="00E9757B" w:rsidRPr="00E9757B" w:rsidRDefault="00E9757B" w:rsidP="00E9757B">
            <w:pPr>
              <w:spacing w:after="0"/>
              <w:jc w:val="right"/>
              <w:rPr>
                <w:sz w:val="22"/>
                <w:szCs w:val="22"/>
              </w:rPr>
            </w:pPr>
            <w:r w:rsidRPr="00E9757B">
              <w:rPr>
                <w:rFonts w:cs="Calibri"/>
                <w:color w:val="000000"/>
                <w:sz w:val="22"/>
                <w:szCs w:val="22"/>
              </w:rPr>
              <w:t>9</w:t>
            </w:r>
          </w:p>
        </w:tc>
        <w:tc>
          <w:tcPr>
            <w:tcW w:w="1417" w:type="dxa"/>
          </w:tcPr>
          <w:p w14:paraId="0F38DFA9" w14:textId="64B2F85F" w:rsidR="00E9757B" w:rsidRPr="00E9757B" w:rsidRDefault="00E9757B" w:rsidP="00E9757B">
            <w:pPr>
              <w:spacing w:after="0"/>
              <w:jc w:val="right"/>
              <w:rPr>
                <w:sz w:val="22"/>
                <w:szCs w:val="22"/>
              </w:rPr>
            </w:pPr>
            <w:r w:rsidRPr="00E9757B">
              <w:rPr>
                <w:rFonts w:cs="Calibri"/>
                <w:color w:val="000000"/>
                <w:sz w:val="22"/>
                <w:szCs w:val="22"/>
              </w:rPr>
              <w:t>11.7%</w:t>
            </w:r>
          </w:p>
        </w:tc>
        <w:tc>
          <w:tcPr>
            <w:tcW w:w="1418" w:type="dxa"/>
          </w:tcPr>
          <w:p w14:paraId="52D62D30" w14:textId="77777777" w:rsidR="00E9757B" w:rsidRDefault="00E9757B" w:rsidP="00E9757B">
            <w:pPr>
              <w:spacing w:after="0"/>
              <w:jc w:val="right"/>
              <w:rPr>
                <w:rFonts w:cs="Calibri"/>
                <w:color w:val="000000"/>
                <w:sz w:val="22"/>
                <w:szCs w:val="22"/>
                <w:lang w:eastAsia="en-IE"/>
              </w:rPr>
            </w:pPr>
            <w:r>
              <w:rPr>
                <w:rFonts w:cs="Calibri"/>
                <w:color w:val="000000"/>
                <w:sz w:val="22"/>
                <w:szCs w:val="22"/>
              </w:rPr>
              <w:t>74</w:t>
            </w:r>
          </w:p>
          <w:p w14:paraId="13E90E12" w14:textId="0C74CAEA" w:rsidR="00E9757B" w:rsidRPr="00E9757B" w:rsidRDefault="00E9757B" w:rsidP="00E9757B">
            <w:pPr>
              <w:jc w:val="right"/>
              <w:rPr>
                <w:sz w:val="22"/>
                <w:szCs w:val="22"/>
              </w:rPr>
            </w:pPr>
          </w:p>
        </w:tc>
        <w:tc>
          <w:tcPr>
            <w:tcW w:w="1559" w:type="dxa"/>
          </w:tcPr>
          <w:p w14:paraId="61B2C905" w14:textId="77777777" w:rsidR="00B810CC" w:rsidRDefault="00B810CC" w:rsidP="00B810CC">
            <w:pPr>
              <w:spacing w:after="0"/>
              <w:jc w:val="right"/>
              <w:rPr>
                <w:rFonts w:cs="Calibri"/>
                <w:color w:val="000000"/>
                <w:sz w:val="22"/>
                <w:szCs w:val="22"/>
                <w:lang w:eastAsia="en-IE"/>
              </w:rPr>
            </w:pPr>
            <w:r>
              <w:rPr>
                <w:rFonts w:cs="Calibri"/>
                <w:color w:val="000000"/>
                <w:sz w:val="22"/>
                <w:szCs w:val="22"/>
              </w:rPr>
              <w:t>12</w:t>
            </w:r>
          </w:p>
          <w:p w14:paraId="6ECD7A70" w14:textId="490CD5D9" w:rsidR="00E9757B" w:rsidRPr="00E9757B" w:rsidRDefault="00E9757B" w:rsidP="00E9757B">
            <w:pPr>
              <w:jc w:val="right"/>
              <w:rPr>
                <w:sz w:val="22"/>
                <w:szCs w:val="22"/>
              </w:rPr>
            </w:pPr>
          </w:p>
        </w:tc>
        <w:tc>
          <w:tcPr>
            <w:tcW w:w="1417" w:type="dxa"/>
          </w:tcPr>
          <w:p w14:paraId="0289D0CE" w14:textId="77777777" w:rsidR="00B810CC" w:rsidRDefault="00B810CC" w:rsidP="00B810CC">
            <w:pPr>
              <w:spacing w:after="0"/>
              <w:jc w:val="right"/>
              <w:rPr>
                <w:rFonts w:cs="Calibri"/>
                <w:color w:val="000000"/>
                <w:sz w:val="22"/>
                <w:szCs w:val="22"/>
                <w:lang w:eastAsia="en-IE"/>
              </w:rPr>
            </w:pPr>
            <w:r>
              <w:rPr>
                <w:rFonts w:cs="Calibri"/>
                <w:color w:val="000000"/>
                <w:sz w:val="22"/>
                <w:szCs w:val="22"/>
              </w:rPr>
              <w:t>16.2%</w:t>
            </w:r>
          </w:p>
          <w:p w14:paraId="5BDF19D7" w14:textId="39BAA9B2" w:rsidR="00E9757B" w:rsidRPr="00E9757B" w:rsidRDefault="00E9757B" w:rsidP="00E9757B">
            <w:pPr>
              <w:jc w:val="right"/>
              <w:rPr>
                <w:sz w:val="22"/>
                <w:szCs w:val="22"/>
              </w:rPr>
            </w:pPr>
          </w:p>
        </w:tc>
      </w:tr>
      <w:tr w:rsidR="00E9757B" w:rsidRPr="00611BF3" w14:paraId="6CFBC120" w14:textId="77777777" w:rsidTr="00D53074">
        <w:tc>
          <w:tcPr>
            <w:tcW w:w="2415" w:type="dxa"/>
          </w:tcPr>
          <w:p w14:paraId="4418ACBE" w14:textId="77777777" w:rsidR="00E9757B" w:rsidRPr="00E9757B" w:rsidRDefault="00E9757B" w:rsidP="00E9757B">
            <w:pPr>
              <w:pStyle w:val="TableHead"/>
              <w:spacing w:after="240"/>
              <w:rPr>
                <w:sz w:val="22"/>
                <w:szCs w:val="22"/>
              </w:rPr>
            </w:pPr>
            <w:r w:rsidRPr="00E9757B">
              <w:rPr>
                <w:sz w:val="22"/>
                <w:szCs w:val="22"/>
              </w:rPr>
              <w:t>Grand Total</w:t>
            </w:r>
          </w:p>
        </w:tc>
        <w:tc>
          <w:tcPr>
            <w:tcW w:w="1559" w:type="dxa"/>
          </w:tcPr>
          <w:p w14:paraId="5E6064EC" w14:textId="77777777" w:rsidR="00E9757B" w:rsidRDefault="00E9757B" w:rsidP="00E9757B">
            <w:pPr>
              <w:spacing w:after="0"/>
              <w:jc w:val="right"/>
              <w:rPr>
                <w:rFonts w:cs="Calibri"/>
                <w:b/>
                <w:bCs/>
                <w:color w:val="000000"/>
                <w:sz w:val="22"/>
                <w:szCs w:val="22"/>
                <w:lang w:eastAsia="en-IE"/>
              </w:rPr>
            </w:pPr>
            <w:r>
              <w:rPr>
                <w:rFonts w:cs="Calibri"/>
                <w:b/>
                <w:bCs/>
                <w:color w:val="000000"/>
                <w:sz w:val="22"/>
                <w:szCs w:val="22"/>
              </w:rPr>
              <w:t>1673</w:t>
            </w:r>
          </w:p>
          <w:p w14:paraId="1CD1D04E" w14:textId="77777777" w:rsidR="00E9757B" w:rsidRPr="00E9757B" w:rsidRDefault="00E9757B" w:rsidP="00E9757B">
            <w:pPr>
              <w:spacing w:after="0"/>
              <w:jc w:val="right"/>
              <w:rPr>
                <w:sz w:val="22"/>
                <w:szCs w:val="22"/>
              </w:rPr>
            </w:pPr>
          </w:p>
        </w:tc>
        <w:tc>
          <w:tcPr>
            <w:tcW w:w="1560" w:type="dxa"/>
          </w:tcPr>
          <w:p w14:paraId="598DA472" w14:textId="77777777" w:rsidR="00E9757B" w:rsidRPr="00E9757B" w:rsidRDefault="00E9757B" w:rsidP="00E9757B">
            <w:pPr>
              <w:spacing w:after="0"/>
              <w:jc w:val="right"/>
              <w:rPr>
                <w:rFonts w:cs="Calibri"/>
                <w:b/>
                <w:bCs/>
                <w:color w:val="000000"/>
                <w:sz w:val="22"/>
                <w:szCs w:val="22"/>
                <w:lang w:eastAsia="en-IE"/>
              </w:rPr>
            </w:pPr>
            <w:r w:rsidRPr="00E9757B">
              <w:rPr>
                <w:rFonts w:cs="Calibri"/>
                <w:b/>
                <w:bCs/>
                <w:color w:val="000000"/>
                <w:sz w:val="22"/>
                <w:szCs w:val="22"/>
              </w:rPr>
              <w:t>101</w:t>
            </w:r>
          </w:p>
          <w:p w14:paraId="4C5EE932" w14:textId="77777777" w:rsidR="00E9757B" w:rsidRPr="00E9757B" w:rsidRDefault="00E9757B" w:rsidP="00E9757B">
            <w:pPr>
              <w:pStyle w:val="TableHead"/>
              <w:spacing w:after="240"/>
              <w:jc w:val="right"/>
              <w:rPr>
                <w:sz w:val="22"/>
                <w:szCs w:val="22"/>
              </w:rPr>
            </w:pPr>
          </w:p>
        </w:tc>
        <w:tc>
          <w:tcPr>
            <w:tcW w:w="1417" w:type="dxa"/>
          </w:tcPr>
          <w:p w14:paraId="60C51603" w14:textId="77777777" w:rsidR="00E9757B" w:rsidRDefault="00E9757B" w:rsidP="00E9757B">
            <w:pPr>
              <w:spacing w:after="0"/>
              <w:jc w:val="right"/>
              <w:rPr>
                <w:rFonts w:cs="Calibri"/>
                <w:b/>
                <w:bCs/>
                <w:color w:val="000000"/>
                <w:sz w:val="22"/>
                <w:szCs w:val="22"/>
                <w:lang w:eastAsia="en-IE"/>
              </w:rPr>
            </w:pPr>
            <w:r>
              <w:rPr>
                <w:rFonts w:cs="Calibri"/>
                <w:b/>
                <w:bCs/>
                <w:color w:val="000000"/>
                <w:sz w:val="22"/>
                <w:szCs w:val="22"/>
              </w:rPr>
              <w:t>6.0%</w:t>
            </w:r>
          </w:p>
          <w:p w14:paraId="70250AB6" w14:textId="0EE76D58" w:rsidR="00E9757B" w:rsidRPr="00E9757B" w:rsidRDefault="00E9757B" w:rsidP="00E9757B">
            <w:pPr>
              <w:spacing w:after="0"/>
              <w:jc w:val="right"/>
              <w:rPr>
                <w:sz w:val="22"/>
                <w:szCs w:val="22"/>
              </w:rPr>
            </w:pPr>
          </w:p>
        </w:tc>
        <w:tc>
          <w:tcPr>
            <w:tcW w:w="1418" w:type="dxa"/>
          </w:tcPr>
          <w:p w14:paraId="4455F495" w14:textId="77777777" w:rsidR="00B810CC" w:rsidRDefault="00B810CC" w:rsidP="00B810CC">
            <w:pPr>
              <w:spacing w:after="0"/>
              <w:jc w:val="right"/>
              <w:rPr>
                <w:rFonts w:cs="Calibri"/>
                <w:b/>
                <w:bCs/>
                <w:color w:val="000000"/>
                <w:sz w:val="22"/>
                <w:szCs w:val="22"/>
                <w:lang w:eastAsia="en-IE"/>
              </w:rPr>
            </w:pPr>
            <w:r>
              <w:rPr>
                <w:rFonts w:cs="Calibri"/>
                <w:b/>
                <w:bCs/>
                <w:color w:val="000000"/>
                <w:sz w:val="22"/>
                <w:szCs w:val="22"/>
              </w:rPr>
              <w:t>1708</w:t>
            </w:r>
          </w:p>
          <w:p w14:paraId="4EBDA1BA" w14:textId="77777777" w:rsidR="00E9757B" w:rsidRPr="00E9757B" w:rsidRDefault="00E9757B" w:rsidP="00E9757B">
            <w:pPr>
              <w:pStyle w:val="TableHead"/>
              <w:spacing w:after="240"/>
              <w:jc w:val="right"/>
              <w:rPr>
                <w:sz w:val="22"/>
                <w:szCs w:val="22"/>
              </w:rPr>
            </w:pPr>
          </w:p>
        </w:tc>
        <w:tc>
          <w:tcPr>
            <w:tcW w:w="1559" w:type="dxa"/>
          </w:tcPr>
          <w:p w14:paraId="509390D7" w14:textId="77777777" w:rsidR="00B810CC" w:rsidRDefault="00B810CC" w:rsidP="00B810CC">
            <w:pPr>
              <w:spacing w:after="0"/>
              <w:jc w:val="right"/>
              <w:rPr>
                <w:rFonts w:cs="Calibri"/>
                <w:b/>
                <w:bCs/>
                <w:color w:val="000000"/>
                <w:sz w:val="22"/>
                <w:szCs w:val="22"/>
                <w:lang w:eastAsia="en-IE"/>
              </w:rPr>
            </w:pPr>
            <w:r>
              <w:rPr>
                <w:rFonts w:cs="Calibri"/>
                <w:b/>
                <w:bCs/>
                <w:color w:val="000000"/>
                <w:sz w:val="22"/>
                <w:szCs w:val="22"/>
              </w:rPr>
              <w:t>107</w:t>
            </w:r>
          </w:p>
          <w:p w14:paraId="7432A1EE" w14:textId="77777777" w:rsidR="00E9757B" w:rsidRPr="00E9757B" w:rsidRDefault="00E9757B" w:rsidP="00E9757B">
            <w:pPr>
              <w:pStyle w:val="TableHead"/>
              <w:spacing w:after="240"/>
              <w:jc w:val="right"/>
              <w:rPr>
                <w:sz w:val="22"/>
                <w:szCs w:val="22"/>
              </w:rPr>
            </w:pPr>
          </w:p>
        </w:tc>
        <w:tc>
          <w:tcPr>
            <w:tcW w:w="1417" w:type="dxa"/>
          </w:tcPr>
          <w:p w14:paraId="5C880E91" w14:textId="77777777" w:rsidR="00E9757B" w:rsidRDefault="00E9757B" w:rsidP="00E9757B">
            <w:pPr>
              <w:spacing w:after="0"/>
              <w:jc w:val="right"/>
              <w:rPr>
                <w:rFonts w:cs="Calibri"/>
                <w:b/>
                <w:bCs/>
                <w:color w:val="000000"/>
                <w:sz w:val="22"/>
                <w:szCs w:val="22"/>
                <w:lang w:eastAsia="en-IE"/>
              </w:rPr>
            </w:pPr>
            <w:r>
              <w:rPr>
                <w:rFonts w:cs="Calibri"/>
                <w:b/>
                <w:bCs/>
                <w:color w:val="000000"/>
                <w:sz w:val="22"/>
                <w:szCs w:val="22"/>
              </w:rPr>
              <w:t>6.3%</w:t>
            </w:r>
          </w:p>
          <w:p w14:paraId="557B0F03" w14:textId="779927C1" w:rsidR="00E9757B" w:rsidRPr="00E9757B" w:rsidRDefault="00E9757B" w:rsidP="00E9757B">
            <w:pPr>
              <w:pStyle w:val="TableHead"/>
              <w:spacing w:after="240"/>
              <w:jc w:val="right"/>
              <w:rPr>
                <w:sz w:val="22"/>
                <w:szCs w:val="22"/>
              </w:rPr>
            </w:pPr>
          </w:p>
        </w:tc>
      </w:tr>
    </w:tbl>
    <w:p w14:paraId="564B1248" w14:textId="4BE5B69B" w:rsidR="00E46650" w:rsidRDefault="00E46650" w:rsidP="00EF2C8B">
      <w:pPr>
        <w:pStyle w:val="TableSummary"/>
        <w:ind w:left="0"/>
        <w:jc w:val="left"/>
        <w:rPr>
          <w:i w:val="0"/>
        </w:rPr>
      </w:pPr>
    </w:p>
    <w:p w14:paraId="469B3272" w14:textId="77777777" w:rsidR="00E46650" w:rsidRDefault="00E46650">
      <w:pPr>
        <w:spacing w:after="0"/>
      </w:pPr>
      <w:r>
        <w:rPr>
          <w:i/>
        </w:rPr>
        <w:br w:type="page"/>
      </w:r>
    </w:p>
    <w:p w14:paraId="0DBE33F1" w14:textId="77777777" w:rsidR="00674AB0" w:rsidRPr="00B810CC" w:rsidRDefault="00674AB0" w:rsidP="00DA2B08"/>
    <w:p w14:paraId="0D6A4AD0" w14:textId="71135559" w:rsidR="001B6E03" w:rsidRPr="00B810CC" w:rsidRDefault="001B6E03" w:rsidP="001624B2">
      <w:pPr>
        <w:pStyle w:val="Heading2"/>
        <w:jc w:val="center"/>
        <w:rPr>
          <w:color w:val="000000" w:themeColor="text1"/>
        </w:rPr>
      </w:pPr>
      <w:bookmarkStart w:id="73" w:name="_Toc146113878"/>
      <w:r w:rsidRPr="00B810CC">
        <w:rPr>
          <w:color w:val="000000" w:themeColor="text1"/>
        </w:rPr>
        <w:t>Department of Finance</w:t>
      </w:r>
      <w:bookmarkEnd w:id="73"/>
    </w:p>
    <w:tbl>
      <w:tblPr>
        <w:tblStyle w:val="TableGrid"/>
        <w:tblpPr w:leftFromText="180" w:rightFromText="180" w:vertAnchor="text" w:horzAnchor="margin" w:tblpXSpec="center" w:tblpY="209"/>
        <w:tblW w:w="11345" w:type="dxa"/>
        <w:tblLayout w:type="fixed"/>
        <w:tblLook w:val="04A0" w:firstRow="1" w:lastRow="0" w:firstColumn="1" w:lastColumn="0" w:noHBand="0" w:noVBand="1"/>
        <w:tblCaption w:val="Department of Finance "/>
      </w:tblPr>
      <w:tblGrid>
        <w:gridCol w:w="2415"/>
        <w:gridCol w:w="1559"/>
        <w:gridCol w:w="1560"/>
        <w:gridCol w:w="1417"/>
        <w:gridCol w:w="1418"/>
        <w:gridCol w:w="1559"/>
        <w:gridCol w:w="1417"/>
      </w:tblGrid>
      <w:tr w:rsidR="00EF2C8B" w:rsidRPr="00B810CC" w14:paraId="45A6D92E" w14:textId="77777777" w:rsidTr="00D53074">
        <w:trPr>
          <w:tblHeader/>
        </w:trPr>
        <w:tc>
          <w:tcPr>
            <w:tcW w:w="2415" w:type="dxa"/>
          </w:tcPr>
          <w:p w14:paraId="698F80E9" w14:textId="77777777" w:rsidR="00EF2C8B" w:rsidRPr="00B810CC" w:rsidRDefault="00EF2C8B" w:rsidP="00EF2C8B">
            <w:pPr>
              <w:pStyle w:val="TableHead"/>
              <w:rPr>
                <w:sz w:val="22"/>
                <w:szCs w:val="22"/>
              </w:rPr>
            </w:pPr>
            <w:r w:rsidRPr="00B810CC">
              <w:rPr>
                <w:sz w:val="22"/>
                <w:szCs w:val="22"/>
              </w:rPr>
              <w:t>Public Body</w:t>
            </w:r>
          </w:p>
        </w:tc>
        <w:tc>
          <w:tcPr>
            <w:tcW w:w="1559" w:type="dxa"/>
          </w:tcPr>
          <w:p w14:paraId="4DCB07F3" w14:textId="77777777" w:rsidR="00F516FE" w:rsidRPr="00B810CC" w:rsidRDefault="00EF2C8B" w:rsidP="00EF2C8B">
            <w:pPr>
              <w:pStyle w:val="TableHead"/>
              <w:rPr>
                <w:sz w:val="22"/>
                <w:szCs w:val="22"/>
              </w:rPr>
            </w:pPr>
            <w:r w:rsidRPr="00B810CC">
              <w:rPr>
                <w:sz w:val="22"/>
                <w:szCs w:val="22"/>
              </w:rPr>
              <w:t xml:space="preserve">Total number </w:t>
            </w:r>
          </w:p>
          <w:p w14:paraId="41516514" w14:textId="70EE4E9B" w:rsidR="00EF2C8B" w:rsidRPr="00B810CC" w:rsidRDefault="00EF2C8B" w:rsidP="00EF2C8B">
            <w:pPr>
              <w:pStyle w:val="TableHead"/>
              <w:rPr>
                <w:sz w:val="22"/>
                <w:szCs w:val="22"/>
              </w:rPr>
            </w:pPr>
            <w:r w:rsidRPr="00B810CC">
              <w:rPr>
                <w:sz w:val="22"/>
                <w:szCs w:val="22"/>
              </w:rPr>
              <w:t>of employees  202</w:t>
            </w:r>
            <w:r w:rsidR="00B810CC" w:rsidRPr="00B810CC">
              <w:rPr>
                <w:sz w:val="22"/>
                <w:szCs w:val="22"/>
              </w:rPr>
              <w:t>1</w:t>
            </w:r>
          </w:p>
        </w:tc>
        <w:tc>
          <w:tcPr>
            <w:tcW w:w="1560" w:type="dxa"/>
          </w:tcPr>
          <w:p w14:paraId="6A9F8276" w14:textId="3BAD8B7D" w:rsidR="00EF2C8B" w:rsidRPr="00B810CC" w:rsidRDefault="00EF2C8B" w:rsidP="00EF2C8B">
            <w:pPr>
              <w:pStyle w:val="TableHead"/>
              <w:rPr>
                <w:sz w:val="22"/>
                <w:szCs w:val="22"/>
              </w:rPr>
            </w:pPr>
            <w:r w:rsidRPr="00B810CC">
              <w:rPr>
                <w:sz w:val="22"/>
                <w:szCs w:val="22"/>
              </w:rPr>
              <w:t xml:space="preserve">Number of employees reporting </w:t>
            </w:r>
            <w:r w:rsidR="00A93CE9" w:rsidRPr="00B810CC">
              <w:rPr>
                <w:sz w:val="22"/>
                <w:szCs w:val="22"/>
              </w:rPr>
              <w:t>a disability</w:t>
            </w:r>
            <w:r w:rsidRPr="00B810CC">
              <w:rPr>
                <w:sz w:val="22"/>
                <w:szCs w:val="22"/>
              </w:rPr>
              <w:t xml:space="preserve"> </w:t>
            </w:r>
          </w:p>
          <w:p w14:paraId="045CCCAD" w14:textId="233AF310" w:rsidR="00EF2C8B" w:rsidRPr="00B810CC" w:rsidRDefault="00EF2C8B" w:rsidP="00EF2C8B">
            <w:pPr>
              <w:pStyle w:val="TableHead"/>
              <w:rPr>
                <w:sz w:val="22"/>
                <w:szCs w:val="22"/>
              </w:rPr>
            </w:pPr>
            <w:r w:rsidRPr="00B810CC">
              <w:rPr>
                <w:sz w:val="22"/>
                <w:szCs w:val="22"/>
              </w:rPr>
              <w:t>202</w:t>
            </w:r>
            <w:r w:rsidR="00B810CC" w:rsidRPr="00B810CC">
              <w:rPr>
                <w:sz w:val="22"/>
                <w:szCs w:val="22"/>
              </w:rPr>
              <w:t>1</w:t>
            </w:r>
          </w:p>
        </w:tc>
        <w:tc>
          <w:tcPr>
            <w:tcW w:w="1417" w:type="dxa"/>
          </w:tcPr>
          <w:p w14:paraId="7724BA39" w14:textId="77777777" w:rsidR="00EF2C8B" w:rsidRPr="00B810CC" w:rsidRDefault="00EF2C8B" w:rsidP="00EF2C8B">
            <w:pPr>
              <w:pStyle w:val="TableHead"/>
              <w:rPr>
                <w:sz w:val="22"/>
                <w:szCs w:val="22"/>
              </w:rPr>
            </w:pPr>
            <w:r w:rsidRPr="00B810CC">
              <w:rPr>
                <w:sz w:val="22"/>
                <w:szCs w:val="22"/>
              </w:rPr>
              <w:t>% of employees reporting a</w:t>
            </w:r>
          </w:p>
          <w:p w14:paraId="57091172" w14:textId="2AFC5CE9" w:rsidR="00EF2C8B" w:rsidRPr="00B810CC" w:rsidRDefault="00EF2C8B" w:rsidP="00EF2C8B">
            <w:pPr>
              <w:pStyle w:val="TableHead"/>
              <w:rPr>
                <w:sz w:val="22"/>
                <w:szCs w:val="22"/>
              </w:rPr>
            </w:pPr>
            <w:r w:rsidRPr="00B810CC">
              <w:rPr>
                <w:sz w:val="22"/>
                <w:szCs w:val="22"/>
              </w:rPr>
              <w:t>disability 202</w:t>
            </w:r>
            <w:r w:rsidR="00B810CC" w:rsidRPr="00B810CC">
              <w:rPr>
                <w:sz w:val="22"/>
                <w:szCs w:val="22"/>
              </w:rPr>
              <w:t>1</w:t>
            </w:r>
          </w:p>
        </w:tc>
        <w:tc>
          <w:tcPr>
            <w:tcW w:w="1418" w:type="dxa"/>
          </w:tcPr>
          <w:p w14:paraId="431238F1" w14:textId="77777777" w:rsidR="00F516FE" w:rsidRPr="00B810CC" w:rsidRDefault="00EF2C8B" w:rsidP="00EF2C8B">
            <w:pPr>
              <w:pStyle w:val="TableHead"/>
              <w:rPr>
                <w:sz w:val="22"/>
                <w:szCs w:val="22"/>
              </w:rPr>
            </w:pPr>
            <w:r w:rsidRPr="00B810CC">
              <w:rPr>
                <w:sz w:val="22"/>
                <w:szCs w:val="22"/>
              </w:rPr>
              <w:t xml:space="preserve">Total number </w:t>
            </w:r>
          </w:p>
          <w:p w14:paraId="11EF1C42" w14:textId="41B27F8F" w:rsidR="00EF2C8B" w:rsidRPr="00B810CC" w:rsidRDefault="00EF2C8B" w:rsidP="00EF2C8B">
            <w:pPr>
              <w:pStyle w:val="TableHead"/>
              <w:rPr>
                <w:sz w:val="22"/>
                <w:szCs w:val="22"/>
              </w:rPr>
            </w:pPr>
            <w:r w:rsidRPr="00B810CC">
              <w:rPr>
                <w:sz w:val="22"/>
                <w:szCs w:val="22"/>
              </w:rPr>
              <w:t>of employees  202</w:t>
            </w:r>
            <w:r w:rsidR="00B810CC" w:rsidRPr="00B810CC">
              <w:rPr>
                <w:sz w:val="22"/>
                <w:szCs w:val="22"/>
              </w:rPr>
              <w:t>2</w:t>
            </w:r>
          </w:p>
        </w:tc>
        <w:tc>
          <w:tcPr>
            <w:tcW w:w="1559" w:type="dxa"/>
          </w:tcPr>
          <w:p w14:paraId="1D1BBB4A" w14:textId="77777777" w:rsidR="00EF2C8B" w:rsidRPr="00B810CC" w:rsidRDefault="00EF2C8B" w:rsidP="00EF2C8B">
            <w:pPr>
              <w:pStyle w:val="TableHead"/>
              <w:rPr>
                <w:sz w:val="22"/>
                <w:szCs w:val="22"/>
              </w:rPr>
            </w:pPr>
            <w:r w:rsidRPr="00B810CC">
              <w:rPr>
                <w:sz w:val="22"/>
                <w:szCs w:val="22"/>
              </w:rPr>
              <w:t>Number of employees reporting a disability</w:t>
            </w:r>
          </w:p>
          <w:p w14:paraId="4BECB8E9" w14:textId="29585CDF" w:rsidR="00EF2C8B" w:rsidRPr="00B810CC" w:rsidRDefault="00EF2C8B" w:rsidP="00EF2C8B">
            <w:pPr>
              <w:pStyle w:val="TableHead"/>
              <w:rPr>
                <w:sz w:val="22"/>
                <w:szCs w:val="22"/>
              </w:rPr>
            </w:pPr>
            <w:r w:rsidRPr="00B810CC">
              <w:rPr>
                <w:sz w:val="22"/>
                <w:szCs w:val="22"/>
              </w:rPr>
              <w:t>202</w:t>
            </w:r>
            <w:r w:rsidR="00B810CC" w:rsidRPr="00B810CC">
              <w:rPr>
                <w:sz w:val="22"/>
                <w:szCs w:val="22"/>
              </w:rPr>
              <w:t>2</w:t>
            </w:r>
          </w:p>
        </w:tc>
        <w:tc>
          <w:tcPr>
            <w:tcW w:w="1417" w:type="dxa"/>
          </w:tcPr>
          <w:p w14:paraId="537E90DE" w14:textId="77777777" w:rsidR="00EF2C8B" w:rsidRPr="00B810CC" w:rsidRDefault="00EF2C8B" w:rsidP="00EF2C8B">
            <w:pPr>
              <w:pStyle w:val="TableHead"/>
              <w:rPr>
                <w:sz w:val="22"/>
                <w:szCs w:val="22"/>
              </w:rPr>
            </w:pPr>
            <w:r w:rsidRPr="00B810CC">
              <w:rPr>
                <w:sz w:val="22"/>
                <w:szCs w:val="22"/>
              </w:rPr>
              <w:t>% of employees reporting a</w:t>
            </w:r>
          </w:p>
          <w:p w14:paraId="398886C4" w14:textId="2BDF9538" w:rsidR="00EF2C8B" w:rsidRPr="00B810CC" w:rsidRDefault="00EF2C8B" w:rsidP="00EF2C8B">
            <w:pPr>
              <w:pStyle w:val="TableHead"/>
              <w:rPr>
                <w:sz w:val="24"/>
              </w:rPr>
            </w:pPr>
            <w:r w:rsidRPr="00B810CC">
              <w:rPr>
                <w:sz w:val="22"/>
                <w:szCs w:val="22"/>
              </w:rPr>
              <w:t>disability 202</w:t>
            </w:r>
            <w:r w:rsidR="00B810CC" w:rsidRPr="00B810CC">
              <w:rPr>
                <w:sz w:val="22"/>
                <w:szCs w:val="22"/>
              </w:rPr>
              <w:t>2</w:t>
            </w:r>
          </w:p>
        </w:tc>
      </w:tr>
      <w:tr w:rsidR="00B810CC" w:rsidRPr="00B810CC" w14:paraId="2A581A55" w14:textId="77777777" w:rsidTr="00D53074">
        <w:tc>
          <w:tcPr>
            <w:tcW w:w="2415" w:type="dxa"/>
          </w:tcPr>
          <w:p w14:paraId="2CE69A98" w14:textId="77777777" w:rsidR="00B810CC" w:rsidRPr="00B810CC" w:rsidRDefault="00B810CC" w:rsidP="00B810CC">
            <w:pPr>
              <w:spacing w:after="0"/>
              <w:rPr>
                <w:rFonts w:cs="Calibri"/>
                <w:color w:val="000000"/>
                <w:sz w:val="22"/>
                <w:szCs w:val="22"/>
                <w:lang w:eastAsia="en-IE"/>
              </w:rPr>
            </w:pPr>
            <w:r w:rsidRPr="00B810CC">
              <w:rPr>
                <w:rFonts w:cs="Calibri"/>
                <w:color w:val="000000"/>
                <w:sz w:val="22"/>
                <w:szCs w:val="22"/>
              </w:rPr>
              <w:t>National Treasury Management Agency</w:t>
            </w:r>
          </w:p>
          <w:p w14:paraId="25C58DBD" w14:textId="77777777" w:rsidR="00B810CC" w:rsidRPr="00B810CC" w:rsidRDefault="00B810CC" w:rsidP="00B810CC">
            <w:pPr>
              <w:rPr>
                <w:sz w:val="22"/>
                <w:szCs w:val="22"/>
              </w:rPr>
            </w:pPr>
          </w:p>
        </w:tc>
        <w:tc>
          <w:tcPr>
            <w:tcW w:w="1559" w:type="dxa"/>
          </w:tcPr>
          <w:p w14:paraId="43F4F654" w14:textId="77777777" w:rsidR="00B810CC" w:rsidRPr="00B810CC" w:rsidRDefault="00B810CC" w:rsidP="00B810CC">
            <w:pPr>
              <w:spacing w:after="0"/>
              <w:jc w:val="right"/>
              <w:rPr>
                <w:rFonts w:cs="Calibri"/>
                <w:color w:val="000000"/>
                <w:sz w:val="22"/>
                <w:szCs w:val="22"/>
                <w:lang w:eastAsia="en-IE"/>
              </w:rPr>
            </w:pPr>
            <w:r w:rsidRPr="00B810CC">
              <w:rPr>
                <w:rFonts w:cs="Calibri"/>
                <w:color w:val="000000"/>
                <w:sz w:val="22"/>
                <w:szCs w:val="22"/>
              </w:rPr>
              <w:t>788</w:t>
            </w:r>
          </w:p>
          <w:p w14:paraId="4930B86A" w14:textId="77777777" w:rsidR="00B810CC" w:rsidRPr="00B810CC" w:rsidRDefault="00B810CC" w:rsidP="00B810CC">
            <w:pPr>
              <w:jc w:val="right"/>
              <w:rPr>
                <w:sz w:val="22"/>
                <w:szCs w:val="22"/>
              </w:rPr>
            </w:pPr>
          </w:p>
        </w:tc>
        <w:tc>
          <w:tcPr>
            <w:tcW w:w="1560" w:type="dxa"/>
          </w:tcPr>
          <w:p w14:paraId="279ACE65" w14:textId="77777777" w:rsidR="00B810CC" w:rsidRPr="00B810CC" w:rsidRDefault="00B810CC" w:rsidP="00B810CC">
            <w:pPr>
              <w:spacing w:after="0"/>
              <w:jc w:val="right"/>
              <w:rPr>
                <w:rFonts w:cs="Calibri"/>
                <w:color w:val="000000"/>
                <w:sz w:val="22"/>
                <w:szCs w:val="22"/>
                <w:lang w:eastAsia="en-IE"/>
              </w:rPr>
            </w:pPr>
            <w:r w:rsidRPr="00B810CC">
              <w:rPr>
                <w:rFonts w:cs="Calibri"/>
                <w:color w:val="000000"/>
                <w:sz w:val="22"/>
                <w:szCs w:val="22"/>
              </w:rPr>
              <w:t>33</w:t>
            </w:r>
          </w:p>
          <w:p w14:paraId="6F90ABBE" w14:textId="77777777" w:rsidR="00B810CC" w:rsidRPr="00B810CC" w:rsidRDefault="00B810CC" w:rsidP="00B810CC">
            <w:pPr>
              <w:jc w:val="right"/>
              <w:rPr>
                <w:sz w:val="22"/>
                <w:szCs w:val="22"/>
              </w:rPr>
            </w:pPr>
          </w:p>
        </w:tc>
        <w:tc>
          <w:tcPr>
            <w:tcW w:w="1417" w:type="dxa"/>
          </w:tcPr>
          <w:p w14:paraId="78ECBAA0" w14:textId="77777777" w:rsidR="00B810CC" w:rsidRPr="00B810CC" w:rsidRDefault="00B810CC" w:rsidP="00B810CC">
            <w:pPr>
              <w:spacing w:after="0"/>
              <w:jc w:val="right"/>
              <w:rPr>
                <w:rFonts w:cs="Calibri"/>
                <w:color w:val="000000"/>
                <w:sz w:val="22"/>
                <w:szCs w:val="22"/>
                <w:lang w:eastAsia="en-IE"/>
              </w:rPr>
            </w:pPr>
            <w:r w:rsidRPr="00B810CC">
              <w:rPr>
                <w:rFonts w:cs="Calibri"/>
                <w:color w:val="000000"/>
                <w:sz w:val="22"/>
                <w:szCs w:val="22"/>
              </w:rPr>
              <w:t>4.2%</w:t>
            </w:r>
          </w:p>
          <w:p w14:paraId="1BA449D2" w14:textId="77777777" w:rsidR="00B810CC" w:rsidRPr="00B810CC" w:rsidRDefault="00B810CC" w:rsidP="00B810CC">
            <w:pPr>
              <w:jc w:val="right"/>
              <w:rPr>
                <w:sz w:val="22"/>
                <w:szCs w:val="22"/>
              </w:rPr>
            </w:pPr>
          </w:p>
        </w:tc>
        <w:tc>
          <w:tcPr>
            <w:tcW w:w="1418" w:type="dxa"/>
          </w:tcPr>
          <w:p w14:paraId="16970519" w14:textId="77777777" w:rsidR="00B810CC" w:rsidRPr="00B810CC" w:rsidRDefault="00B810CC" w:rsidP="00B810CC">
            <w:pPr>
              <w:spacing w:after="0"/>
              <w:jc w:val="right"/>
              <w:rPr>
                <w:rFonts w:cs="Calibri"/>
                <w:color w:val="000000"/>
                <w:sz w:val="22"/>
                <w:szCs w:val="22"/>
                <w:lang w:eastAsia="en-IE"/>
              </w:rPr>
            </w:pPr>
            <w:r w:rsidRPr="00B810CC">
              <w:rPr>
                <w:rFonts w:cs="Calibri"/>
                <w:color w:val="000000"/>
                <w:sz w:val="22"/>
                <w:szCs w:val="22"/>
              </w:rPr>
              <w:t>782</w:t>
            </w:r>
          </w:p>
          <w:p w14:paraId="011A971B" w14:textId="77777777" w:rsidR="00B810CC" w:rsidRPr="00B810CC" w:rsidRDefault="00B810CC" w:rsidP="00B810CC">
            <w:pPr>
              <w:jc w:val="right"/>
              <w:rPr>
                <w:sz w:val="22"/>
                <w:szCs w:val="22"/>
              </w:rPr>
            </w:pPr>
          </w:p>
        </w:tc>
        <w:tc>
          <w:tcPr>
            <w:tcW w:w="1559" w:type="dxa"/>
          </w:tcPr>
          <w:p w14:paraId="168E7130" w14:textId="77777777" w:rsidR="00B810CC" w:rsidRPr="00B810CC" w:rsidRDefault="00B810CC" w:rsidP="00B810CC">
            <w:pPr>
              <w:spacing w:after="0"/>
              <w:jc w:val="right"/>
              <w:rPr>
                <w:rFonts w:cs="Calibri"/>
                <w:color w:val="000000"/>
                <w:sz w:val="22"/>
                <w:szCs w:val="22"/>
                <w:lang w:eastAsia="en-IE"/>
              </w:rPr>
            </w:pPr>
            <w:r w:rsidRPr="00B810CC">
              <w:rPr>
                <w:rFonts w:cs="Calibri"/>
                <w:color w:val="000000"/>
                <w:sz w:val="22"/>
                <w:szCs w:val="22"/>
              </w:rPr>
              <w:t>28</w:t>
            </w:r>
          </w:p>
          <w:p w14:paraId="168F00ED" w14:textId="77777777" w:rsidR="00B810CC" w:rsidRPr="00B810CC" w:rsidRDefault="00B810CC" w:rsidP="00B810CC">
            <w:pPr>
              <w:jc w:val="right"/>
              <w:rPr>
                <w:sz w:val="22"/>
                <w:szCs w:val="22"/>
              </w:rPr>
            </w:pPr>
          </w:p>
        </w:tc>
        <w:tc>
          <w:tcPr>
            <w:tcW w:w="1417" w:type="dxa"/>
          </w:tcPr>
          <w:p w14:paraId="4B762624" w14:textId="77777777" w:rsidR="00B810CC" w:rsidRPr="00B810CC" w:rsidRDefault="00B810CC" w:rsidP="00B810CC">
            <w:pPr>
              <w:spacing w:after="0"/>
              <w:jc w:val="right"/>
              <w:rPr>
                <w:rFonts w:cs="Calibri"/>
                <w:color w:val="000000"/>
                <w:sz w:val="22"/>
                <w:szCs w:val="22"/>
                <w:lang w:eastAsia="en-IE"/>
              </w:rPr>
            </w:pPr>
            <w:r w:rsidRPr="00B810CC">
              <w:rPr>
                <w:rFonts w:cs="Calibri"/>
                <w:color w:val="000000"/>
                <w:sz w:val="22"/>
                <w:szCs w:val="22"/>
              </w:rPr>
              <w:t>3.6%</w:t>
            </w:r>
          </w:p>
          <w:p w14:paraId="6EBB8131" w14:textId="77777777" w:rsidR="00B810CC" w:rsidRPr="00B810CC" w:rsidRDefault="00B810CC" w:rsidP="00B810CC">
            <w:pPr>
              <w:jc w:val="right"/>
              <w:rPr>
                <w:sz w:val="22"/>
                <w:szCs w:val="22"/>
              </w:rPr>
            </w:pPr>
          </w:p>
        </w:tc>
      </w:tr>
      <w:tr w:rsidR="00B810CC" w:rsidRPr="00B810CC" w14:paraId="7919C630" w14:textId="77777777" w:rsidTr="00D53074">
        <w:tc>
          <w:tcPr>
            <w:tcW w:w="2415" w:type="dxa"/>
          </w:tcPr>
          <w:p w14:paraId="10F6E727" w14:textId="77777777" w:rsidR="00B810CC" w:rsidRPr="00B810CC" w:rsidRDefault="00B810CC" w:rsidP="00B810CC">
            <w:pPr>
              <w:pStyle w:val="TableHead"/>
              <w:spacing w:after="240"/>
              <w:rPr>
                <w:sz w:val="22"/>
                <w:szCs w:val="22"/>
              </w:rPr>
            </w:pPr>
            <w:r w:rsidRPr="00B810CC">
              <w:rPr>
                <w:sz w:val="22"/>
                <w:szCs w:val="22"/>
              </w:rPr>
              <w:t>Grand Total</w:t>
            </w:r>
          </w:p>
        </w:tc>
        <w:tc>
          <w:tcPr>
            <w:tcW w:w="1559" w:type="dxa"/>
          </w:tcPr>
          <w:p w14:paraId="6B0E8674" w14:textId="6A8499FD" w:rsidR="00B810CC" w:rsidRPr="00B810CC" w:rsidRDefault="00B810CC" w:rsidP="00B810CC">
            <w:pPr>
              <w:pStyle w:val="TableHead"/>
              <w:spacing w:after="240"/>
              <w:jc w:val="right"/>
              <w:rPr>
                <w:sz w:val="22"/>
                <w:szCs w:val="22"/>
              </w:rPr>
            </w:pPr>
            <w:r w:rsidRPr="00B810CC">
              <w:rPr>
                <w:sz w:val="22"/>
                <w:szCs w:val="22"/>
              </w:rPr>
              <w:t>788</w:t>
            </w:r>
          </w:p>
        </w:tc>
        <w:tc>
          <w:tcPr>
            <w:tcW w:w="1560" w:type="dxa"/>
          </w:tcPr>
          <w:p w14:paraId="2748EE54" w14:textId="39AAE9B7" w:rsidR="00B810CC" w:rsidRPr="00B810CC" w:rsidRDefault="00B810CC" w:rsidP="00B810CC">
            <w:pPr>
              <w:pStyle w:val="TableHead"/>
              <w:spacing w:after="240"/>
              <w:jc w:val="right"/>
              <w:rPr>
                <w:sz w:val="22"/>
                <w:szCs w:val="22"/>
              </w:rPr>
            </w:pPr>
            <w:r w:rsidRPr="00B810CC">
              <w:rPr>
                <w:sz w:val="22"/>
                <w:szCs w:val="22"/>
              </w:rPr>
              <w:t>33</w:t>
            </w:r>
          </w:p>
        </w:tc>
        <w:tc>
          <w:tcPr>
            <w:tcW w:w="1417" w:type="dxa"/>
          </w:tcPr>
          <w:p w14:paraId="33EBCC6E" w14:textId="3FD8B483" w:rsidR="00B810CC" w:rsidRPr="00B810CC" w:rsidRDefault="00B810CC" w:rsidP="00B810CC">
            <w:pPr>
              <w:pStyle w:val="TableHead"/>
              <w:spacing w:after="240"/>
              <w:jc w:val="right"/>
              <w:rPr>
                <w:sz w:val="22"/>
                <w:szCs w:val="22"/>
              </w:rPr>
            </w:pPr>
            <w:r w:rsidRPr="00B810CC">
              <w:rPr>
                <w:sz w:val="22"/>
                <w:szCs w:val="22"/>
              </w:rPr>
              <w:t>4.2%</w:t>
            </w:r>
          </w:p>
        </w:tc>
        <w:tc>
          <w:tcPr>
            <w:tcW w:w="1418" w:type="dxa"/>
          </w:tcPr>
          <w:p w14:paraId="233F5913" w14:textId="77777777" w:rsidR="00B810CC" w:rsidRDefault="00B810CC" w:rsidP="00B810CC">
            <w:pPr>
              <w:spacing w:after="0"/>
              <w:jc w:val="right"/>
              <w:rPr>
                <w:rFonts w:cs="Calibri"/>
                <w:b/>
                <w:bCs/>
                <w:color w:val="000000"/>
                <w:sz w:val="22"/>
                <w:szCs w:val="22"/>
                <w:lang w:eastAsia="en-IE"/>
              </w:rPr>
            </w:pPr>
            <w:r>
              <w:rPr>
                <w:rFonts w:cs="Calibri"/>
                <w:b/>
                <w:bCs/>
                <w:color w:val="000000"/>
                <w:sz w:val="22"/>
                <w:szCs w:val="22"/>
              </w:rPr>
              <w:t>782</w:t>
            </w:r>
          </w:p>
          <w:p w14:paraId="780E6F79" w14:textId="18FD1DC5" w:rsidR="00B810CC" w:rsidRPr="00B810CC" w:rsidRDefault="00B810CC" w:rsidP="00B810CC">
            <w:pPr>
              <w:pStyle w:val="TableHead"/>
              <w:spacing w:after="240"/>
              <w:jc w:val="right"/>
              <w:rPr>
                <w:sz w:val="22"/>
                <w:szCs w:val="22"/>
              </w:rPr>
            </w:pPr>
          </w:p>
        </w:tc>
        <w:tc>
          <w:tcPr>
            <w:tcW w:w="1559" w:type="dxa"/>
          </w:tcPr>
          <w:p w14:paraId="2B259732" w14:textId="77777777" w:rsidR="00B810CC" w:rsidRDefault="00B810CC" w:rsidP="00B810CC">
            <w:pPr>
              <w:spacing w:after="0"/>
              <w:jc w:val="right"/>
              <w:rPr>
                <w:rFonts w:cs="Calibri"/>
                <w:b/>
                <w:bCs/>
                <w:color w:val="000000"/>
                <w:sz w:val="22"/>
                <w:szCs w:val="22"/>
                <w:lang w:eastAsia="en-IE"/>
              </w:rPr>
            </w:pPr>
            <w:r>
              <w:rPr>
                <w:rFonts w:cs="Calibri"/>
                <w:b/>
                <w:bCs/>
                <w:color w:val="000000"/>
                <w:sz w:val="22"/>
                <w:szCs w:val="22"/>
              </w:rPr>
              <w:t>28</w:t>
            </w:r>
          </w:p>
          <w:p w14:paraId="5CD77B27" w14:textId="327A4D88" w:rsidR="00B810CC" w:rsidRPr="00B810CC" w:rsidRDefault="00B810CC" w:rsidP="00B810CC">
            <w:pPr>
              <w:pStyle w:val="TableHead"/>
              <w:spacing w:after="240"/>
              <w:jc w:val="right"/>
              <w:rPr>
                <w:sz w:val="22"/>
                <w:szCs w:val="22"/>
              </w:rPr>
            </w:pPr>
          </w:p>
        </w:tc>
        <w:tc>
          <w:tcPr>
            <w:tcW w:w="1417" w:type="dxa"/>
          </w:tcPr>
          <w:p w14:paraId="485E507E" w14:textId="77777777" w:rsidR="00B810CC" w:rsidRDefault="00B810CC" w:rsidP="00B810CC">
            <w:pPr>
              <w:spacing w:after="0"/>
              <w:jc w:val="right"/>
              <w:rPr>
                <w:rFonts w:cs="Calibri"/>
                <w:b/>
                <w:bCs/>
                <w:color w:val="000000"/>
                <w:sz w:val="22"/>
                <w:szCs w:val="22"/>
                <w:lang w:eastAsia="en-IE"/>
              </w:rPr>
            </w:pPr>
            <w:r>
              <w:rPr>
                <w:rFonts w:cs="Calibri"/>
                <w:b/>
                <w:bCs/>
                <w:color w:val="000000"/>
                <w:sz w:val="22"/>
                <w:szCs w:val="22"/>
              </w:rPr>
              <w:t>3.6%</w:t>
            </w:r>
          </w:p>
          <w:p w14:paraId="519C6D4B" w14:textId="7791E139" w:rsidR="00B810CC" w:rsidRPr="00B810CC" w:rsidRDefault="00B810CC" w:rsidP="00B810CC">
            <w:pPr>
              <w:pStyle w:val="TableHead"/>
              <w:spacing w:after="240"/>
              <w:jc w:val="right"/>
              <w:rPr>
                <w:sz w:val="22"/>
                <w:szCs w:val="22"/>
              </w:rPr>
            </w:pPr>
          </w:p>
        </w:tc>
      </w:tr>
    </w:tbl>
    <w:p w14:paraId="2DE512F2" w14:textId="296C1ABD" w:rsidR="00634303" w:rsidRPr="00611BF3" w:rsidRDefault="00634303" w:rsidP="00F051FF">
      <w:pPr>
        <w:pStyle w:val="TableSummary"/>
        <w:ind w:left="0"/>
        <w:jc w:val="left"/>
        <w:rPr>
          <w:highlight w:val="green"/>
        </w:rPr>
      </w:pPr>
    </w:p>
    <w:p w14:paraId="5699D00A" w14:textId="77777777" w:rsidR="00D53074" w:rsidRPr="00611BF3" w:rsidRDefault="00D53074">
      <w:pPr>
        <w:spacing w:after="0"/>
        <w:rPr>
          <w:rFonts w:ascii="Rockwell" w:hAnsi="Rockwell"/>
          <w:b/>
          <w:color w:val="000000" w:themeColor="text1"/>
          <w:sz w:val="32"/>
          <w:szCs w:val="32"/>
          <w:highlight w:val="green"/>
        </w:rPr>
      </w:pPr>
      <w:r w:rsidRPr="00611BF3">
        <w:rPr>
          <w:color w:val="000000" w:themeColor="text1"/>
          <w:highlight w:val="green"/>
        </w:rPr>
        <w:br w:type="page"/>
      </w:r>
    </w:p>
    <w:p w14:paraId="17469C69" w14:textId="79A647E3" w:rsidR="008A4345" w:rsidRDefault="007E64ED" w:rsidP="008A4345">
      <w:pPr>
        <w:pStyle w:val="Heading2"/>
        <w:spacing w:after="120"/>
        <w:jc w:val="center"/>
        <w:rPr>
          <w:color w:val="000000" w:themeColor="text1"/>
        </w:rPr>
      </w:pPr>
      <w:bookmarkStart w:id="74" w:name="_Toc146113879"/>
      <w:r w:rsidRPr="00B810CC">
        <w:rPr>
          <w:color w:val="000000" w:themeColor="text1"/>
        </w:rPr>
        <w:lastRenderedPageBreak/>
        <w:t>Department of Further &amp;</w:t>
      </w:r>
      <w:r w:rsidR="00624403" w:rsidRPr="00B810CC">
        <w:rPr>
          <w:color w:val="000000" w:themeColor="text1"/>
        </w:rPr>
        <w:t xml:space="preserve"> Higher Education, Res</w:t>
      </w:r>
      <w:r w:rsidRPr="00B810CC">
        <w:rPr>
          <w:color w:val="000000" w:themeColor="text1"/>
        </w:rPr>
        <w:t>earch</w:t>
      </w:r>
      <w:r w:rsidR="00DA7F72" w:rsidRPr="00B810CC">
        <w:rPr>
          <w:color w:val="000000" w:themeColor="text1"/>
        </w:rPr>
        <w:t>,</w:t>
      </w:r>
      <w:r w:rsidRPr="00B810CC">
        <w:rPr>
          <w:color w:val="000000" w:themeColor="text1"/>
        </w:rPr>
        <w:t xml:space="preserve"> Innovation &amp;</w:t>
      </w:r>
      <w:r w:rsidR="00624403" w:rsidRPr="00B810CC">
        <w:rPr>
          <w:color w:val="000000" w:themeColor="text1"/>
        </w:rPr>
        <w:t xml:space="preserve"> </w:t>
      </w:r>
      <w:r w:rsidR="00046B63" w:rsidRPr="00B810CC">
        <w:rPr>
          <w:color w:val="000000" w:themeColor="text1"/>
        </w:rPr>
        <w:t>Science</w:t>
      </w:r>
      <w:bookmarkEnd w:id="74"/>
    </w:p>
    <w:p w14:paraId="6309F7AB" w14:textId="16151541" w:rsidR="008A4345" w:rsidRPr="00FB47DE" w:rsidRDefault="008A4345" w:rsidP="008A4345">
      <w:pPr>
        <w:rPr>
          <w:b/>
          <w:bCs/>
        </w:rPr>
      </w:pPr>
      <w:r w:rsidRPr="00FB47DE">
        <w:rPr>
          <w:b/>
          <w:bCs/>
        </w:rPr>
        <w:t>*</w:t>
      </w:r>
      <w:r w:rsidRPr="00FB47DE">
        <w:rPr>
          <w:b/>
          <w:bCs/>
          <w:sz w:val="22"/>
          <w:szCs w:val="22"/>
        </w:rPr>
        <w:t>In 2022,  IT Carlow and IT Waterford merged to become</w:t>
      </w:r>
      <w:r w:rsidRPr="00FB47DE">
        <w:rPr>
          <w:b/>
          <w:bCs/>
        </w:rPr>
        <w:t xml:space="preserve"> </w:t>
      </w:r>
      <w:r w:rsidRPr="00FB47DE">
        <w:rPr>
          <w:b/>
          <w:bCs/>
          <w:sz w:val="22"/>
          <w:szCs w:val="22"/>
        </w:rPr>
        <w:t xml:space="preserve">South East Technological University (SETU).  The 2021 data for IT Carlow and the 2021 data for IT Waterford is on page 37 of this report. The 2022 data for South East Technological University (SETU) is also on </w:t>
      </w:r>
      <w:r w:rsidR="00FB47DE">
        <w:rPr>
          <w:b/>
          <w:bCs/>
          <w:sz w:val="22"/>
          <w:szCs w:val="22"/>
        </w:rPr>
        <w:t>p</w:t>
      </w:r>
      <w:r w:rsidRPr="00FB47DE">
        <w:rPr>
          <w:b/>
          <w:bCs/>
          <w:sz w:val="22"/>
          <w:szCs w:val="22"/>
        </w:rPr>
        <w:t>age 37</w:t>
      </w:r>
      <w:r w:rsidR="00034FE1">
        <w:rPr>
          <w:b/>
          <w:bCs/>
          <w:sz w:val="22"/>
          <w:szCs w:val="22"/>
        </w:rPr>
        <w:t xml:space="preserve"> </w:t>
      </w:r>
      <w:r w:rsidRPr="00FB47DE">
        <w:rPr>
          <w:b/>
          <w:bCs/>
          <w:sz w:val="22"/>
          <w:szCs w:val="22"/>
        </w:rPr>
        <w:t>of this report</w:t>
      </w:r>
      <w:r w:rsidR="00034FE1">
        <w:rPr>
          <w:b/>
          <w:bCs/>
          <w:sz w:val="22"/>
          <w:szCs w:val="22"/>
        </w:rPr>
        <w:t>.</w:t>
      </w:r>
    </w:p>
    <w:tbl>
      <w:tblPr>
        <w:tblStyle w:val="TableGrid"/>
        <w:tblW w:w="11350" w:type="dxa"/>
        <w:jc w:val="center"/>
        <w:tblLayout w:type="fixed"/>
        <w:tblLook w:val="04A0" w:firstRow="1" w:lastRow="0" w:firstColumn="1" w:lastColumn="0" w:noHBand="0" w:noVBand="1"/>
        <w:tblCaption w:val="Department of Further &amp; Higher Education, Research Innovation &amp; Science"/>
        <w:tblDescription w:val="Department of Further &amp; Higher Education, Research Innovation &amp; Science (comparison to the former Department of Education &amp; Skills in 2019)"/>
      </w:tblPr>
      <w:tblGrid>
        <w:gridCol w:w="2137"/>
        <w:gridCol w:w="1701"/>
        <w:gridCol w:w="1701"/>
        <w:gridCol w:w="1417"/>
        <w:gridCol w:w="1418"/>
        <w:gridCol w:w="1559"/>
        <w:gridCol w:w="1417"/>
      </w:tblGrid>
      <w:tr w:rsidR="001120E7" w:rsidRPr="00B810CC" w14:paraId="5F5A7963" w14:textId="77777777" w:rsidTr="004A3088">
        <w:trPr>
          <w:tblHeader/>
          <w:jc w:val="center"/>
        </w:trPr>
        <w:tc>
          <w:tcPr>
            <w:tcW w:w="2137" w:type="dxa"/>
          </w:tcPr>
          <w:p w14:paraId="59E28147" w14:textId="77777777" w:rsidR="001120E7" w:rsidRPr="00B810CC" w:rsidRDefault="001120E7" w:rsidP="00812E67">
            <w:pPr>
              <w:pStyle w:val="TableHead"/>
              <w:rPr>
                <w:sz w:val="22"/>
                <w:szCs w:val="22"/>
              </w:rPr>
            </w:pPr>
            <w:r w:rsidRPr="00B810CC">
              <w:rPr>
                <w:sz w:val="22"/>
                <w:szCs w:val="22"/>
              </w:rPr>
              <w:t>Public Body</w:t>
            </w:r>
          </w:p>
        </w:tc>
        <w:tc>
          <w:tcPr>
            <w:tcW w:w="1701" w:type="dxa"/>
          </w:tcPr>
          <w:p w14:paraId="594A3536" w14:textId="77777777" w:rsidR="00F516FE" w:rsidRPr="00B810CC" w:rsidRDefault="00F1261F" w:rsidP="00812E67">
            <w:pPr>
              <w:pStyle w:val="TableHead"/>
              <w:rPr>
                <w:sz w:val="22"/>
                <w:szCs w:val="22"/>
              </w:rPr>
            </w:pPr>
            <w:r w:rsidRPr="00B810CC">
              <w:rPr>
                <w:sz w:val="22"/>
                <w:szCs w:val="22"/>
              </w:rPr>
              <w:t xml:space="preserve">Total </w:t>
            </w:r>
          </w:p>
          <w:p w14:paraId="129E315B" w14:textId="77777777" w:rsidR="00F516FE" w:rsidRPr="00B810CC" w:rsidRDefault="00F1261F" w:rsidP="00812E67">
            <w:pPr>
              <w:pStyle w:val="TableHead"/>
              <w:rPr>
                <w:sz w:val="22"/>
                <w:szCs w:val="22"/>
              </w:rPr>
            </w:pPr>
            <w:r w:rsidRPr="00B810CC">
              <w:rPr>
                <w:sz w:val="22"/>
                <w:szCs w:val="22"/>
              </w:rPr>
              <w:t xml:space="preserve">number </w:t>
            </w:r>
          </w:p>
          <w:p w14:paraId="2490FD6B" w14:textId="77777777" w:rsidR="00F516FE" w:rsidRPr="00B810CC" w:rsidRDefault="00F1261F" w:rsidP="00812E67">
            <w:pPr>
              <w:pStyle w:val="TableHead"/>
              <w:rPr>
                <w:sz w:val="22"/>
                <w:szCs w:val="22"/>
              </w:rPr>
            </w:pPr>
            <w:r w:rsidRPr="00B810CC">
              <w:rPr>
                <w:sz w:val="22"/>
                <w:szCs w:val="22"/>
              </w:rPr>
              <w:t xml:space="preserve">of </w:t>
            </w:r>
          </w:p>
          <w:p w14:paraId="61866FD6" w14:textId="24B1E0AF" w:rsidR="001120E7" w:rsidRPr="00B810CC" w:rsidRDefault="00F1261F" w:rsidP="00812E67">
            <w:pPr>
              <w:pStyle w:val="TableHead"/>
              <w:rPr>
                <w:sz w:val="22"/>
                <w:szCs w:val="22"/>
              </w:rPr>
            </w:pPr>
            <w:r w:rsidRPr="00B810CC">
              <w:rPr>
                <w:sz w:val="22"/>
                <w:szCs w:val="22"/>
              </w:rPr>
              <w:t>employees  202</w:t>
            </w:r>
            <w:r w:rsidR="00916962">
              <w:rPr>
                <w:sz w:val="22"/>
                <w:szCs w:val="22"/>
              </w:rPr>
              <w:t>1</w:t>
            </w:r>
          </w:p>
        </w:tc>
        <w:tc>
          <w:tcPr>
            <w:tcW w:w="1701" w:type="dxa"/>
          </w:tcPr>
          <w:p w14:paraId="7D7D45EC" w14:textId="4069EF24" w:rsidR="001120E7" w:rsidRPr="00B810CC" w:rsidRDefault="001120E7" w:rsidP="00812E67">
            <w:pPr>
              <w:pStyle w:val="TableHead"/>
              <w:rPr>
                <w:sz w:val="22"/>
                <w:szCs w:val="22"/>
              </w:rPr>
            </w:pPr>
            <w:r w:rsidRPr="00B810CC">
              <w:rPr>
                <w:sz w:val="22"/>
                <w:szCs w:val="22"/>
              </w:rPr>
              <w:t xml:space="preserve">Number of employees reporting </w:t>
            </w:r>
            <w:r w:rsidR="00254A95" w:rsidRPr="00B810CC">
              <w:rPr>
                <w:sz w:val="22"/>
                <w:szCs w:val="22"/>
              </w:rPr>
              <w:t>a disability</w:t>
            </w:r>
            <w:r w:rsidRPr="00B810CC">
              <w:rPr>
                <w:sz w:val="22"/>
                <w:szCs w:val="22"/>
              </w:rPr>
              <w:t xml:space="preserve"> </w:t>
            </w:r>
          </w:p>
          <w:p w14:paraId="49F05F20" w14:textId="05606FBF" w:rsidR="001120E7" w:rsidRPr="00B810CC" w:rsidRDefault="00F1261F" w:rsidP="00812E67">
            <w:pPr>
              <w:pStyle w:val="TableHead"/>
              <w:rPr>
                <w:sz w:val="22"/>
                <w:szCs w:val="22"/>
              </w:rPr>
            </w:pPr>
            <w:r w:rsidRPr="00B810CC">
              <w:rPr>
                <w:sz w:val="22"/>
                <w:szCs w:val="22"/>
              </w:rPr>
              <w:t>202</w:t>
            </w:r>
            <w:r w:rsidR="00916962">
              <w:rPr>
                <w:sz w:val="22"/>
                <w:szCs w:val="22"/>
              </w:rPr>
              <w:t>1</w:t>
            </w:r>
          </w:p>
        </w:tc>
        <w:tc>
          <w:tcPr>
            <w:tcW w:w="1417" w:type="dxa"/>
          </w:tcPr>
          <w:p w14:paraId="257E3A26" w14:textId="4D6DDC31" w:rsidR="001120E7" w:rsidRPr="00B810CC" w:rsidRDefault="001120E7" w:rsidP="00812E67">
            <w:pPr>
              <w:pStyle w:val="TableHead"/>
              <w:rPr>
                <w:sz w:val="22"/>
                <w:szCs w:val="22"/>
              </w:rPr>
            </w:pPr>
            <w:r w:rsidRPr="00B810CC">
              <w:rPr>
                <w:sz w:val="22"/>
                <w:szCs w:val="22"/>
              </w:rPr>
              <w:t>% of employees reporting</w:t>
            </w:r>
            <w:r w:rsidR="00254A95" w:rsidRPr="00B810CC">
              <w:rPr>
                <w:sz w:val="22"/>
                <w:szCs w:val="22"/>
              </w:rPr>
              <w:t xml:space="preserve"> a</w:t>
            </w:r>
          </w:p>
          <w:p w14:paraId="76899061" w14:textId="576B7C6E" w:rsidR="001120E7" w:rsidRPr="00B810CC" w:rsidRDefault="00254A95" w:rsidP="00812E67">
            <w:pPr>
              <w:pStyle w:val="TableHead"/>
              <w:rPr>
                <w:sz w:val="22"/>
                <w:szCs w:val="22"/>
              </w:rPr>
            </w:pPr>
            <w:r w:rsidRPr="00B810CC">
              <w:rPr>
                <w:sz w:val="22"/>
                <w:szCs w:val="22"/>
              </w:rPr>
              <w:t>disability</w:t>
            </w:r>
            <w:r w:rsidR="00F1261F" w:rsidRPr="00B810CC">
              <w:rPr>
                <w:sz w:val="22"/>
                <w:szCs w:val="22"/>
              </w:rPr>
              <w:t xml:space="preserve"> 202</w:t>
            </w:r>
            <w:r w:rsidR="00916962">
              <w:rPr>
                <w:sz w:val="22"/>
                <w:szCs w:val="22"/>
              </w:rPr>
              <w:t>1</w:t>
            </w:r>
          </w:p>
        </w:tc>
        <w:tc>
          <w:tcPr>
            <w:tcW w:w="1418" w:type="dxa"/>
          </w:tcPr>
          <w:p w14:paraId="4C814452" w14:textId="77777777" w:rsidR="00F516FE" w:rsidRPr="00B810CC" w:rsidRDefault="00F1261F" w:rsidP="00812E67">
            <w:pPr>
              <w:pStyle w:val="TableHead"/>
              <w:rPr>
                <w:sz w:val="22"/>
                <w:szCs w:val="22"/>
              </w:rPr>
            </w:pPr>
            <w:r w:rsidRPr="00B810CC">
              <w:rPr>
                <w:sz w:val="22"/>
                <w:szCs w:val="22"/>
              </w:rPr>
              <w:t xml:space="preserve">Total number </w:t>
            </w:r>
          </w:p>
          <w:p w14:paraId="1674CB82" w14:textId="52B21803" w:rsidR="001120E7" w:rsidRPr="00B810CC" w:rsidRDefault="00F1261F" w:rsidP="00812E67">
            <w:pPr>
              <w:pStyle w:val="TableHead"/>
              <w:rPr>
                <w:sz w:val="22"/>
                <w:szCs w:val="22"/>
              </w:rPr>
            </w:pPr>
            <w:r w:rsidRPr="00B810CC">
              <w:rPr>
                <w:sz w:val="22"/>
                <w:szCs w:val="22"/>
              </w:rPr>
              <w:t>of employees  202</w:t>
            </w:r>
            <w:r w:rsidR="00916962">
              <w:rPr>
                <w:sz w:val="22"/>
                <w:szCs w:val="22"/>
              </w:rPr>
              <w:t>2</w:t>
            </w:r>
          </w:p>
        </w:tc>
        <w:tc>
          <w:tcPr>
            <w:tcW w:w="1559" w:type="dxa"/>
          </w:tcPr>
          <w:p w14:paraId="19AFEDDB" w14:textId="419E9C78" w:rsidR="001120E7" w:rsidRPr="00B810CC" w:rsidRDefault="00254A95" w:rsidP="00812E67">
            <w:pPr>
              <w:pStyle w:val="TableHead"/>
              <w:rPr>
                <w:sz w:val="22"/>
                <w:szCs w:val="22"/>
              </w:rPr>
            </w:pPr>
            <w:r w:rsidRPr="00B810CC">
              <w:rPr>
                <w:sz w:val="22"/>
                <w:szCs w:val="22"/>
              </w:rPr>
              <w:t xml:space="preserve">Number </w:t>
            </w:r>
            <w:r w:rsidR="001120E7" w:rsidRPr="00B810CC">
              <w:rPr>
                <w:sz w:val="22"/>
                <w:szCs w:val="22"/>
              </w:rPr>
              <w:t xml:space="preserve">of employees reporting </w:t>
            </w:r>
            <w:r w:rsidRPr="00B810CC">
              <w:rPr>
                <w:sz w:val="22"/>
                <w:szCs w:val="22"/>
              </w:rPr>
              <w:t>a disability</w:t>
            </w:r>
            <w:r w:rsidR="001120E7" w:rsidRPr="00B810CC">
              <w:rPr>
                <w:sz w:val="22"/>
                <w:szCs w:val="22"/>
              </w:rPr>
              <w:t xml:space="preserve"> </w:t>
            </w:r>
          </w:p>
          <w:p w14:paraId="0D44A3CF" w14:textId="3C43F454" w:rsidR="001120E7" w:rsidRPr="00B810CC" w:rsidRDefault="00F1261F" w:rsidP="00812E67">
            <w:pPr>
              <w:pStyle w:val="TableHead"/>
              <w:rPr>
                <w:sz w:val="22"/>
                <w:szCs w:val="22"/>
              </w:rPr>
            </w:pPr>
            <w:r w:rsidRPr="00B810CC">
              <w:rPr>
                <w:sz w:val="22"/>
                <w:szCs w:val="22"/>
              </w:rPr>
              <w:t>202</w:t>
            </w:r>
            <w:r w:rsidR="00916962">
              <w:rPr>
                <w:sz w:val="22"/>
                <w:szCs w:val="22"/>
              </w:rPr>
              <w:t>2</w:t>
            </w:r>
          </w:p>
        </w:tc>
        <w:tc>
          <w:tcPr>
            <w:tcW w:w="1417" w:type="dxa"/>
          </w:tcPr>
          <w:p w14:paraId="1D4CE6FC" w14:textId="712F3079" w:rsidR="001120E7" w:rsidRPr="00B810CC" w:rsidRDefault="001120E7" w:rsidP="00812E67">
            <w:pPr>
              <w:pStyle w:val="TableHead"/>
              <w:rPr>
                <w:sz w:val="22"/>
                <w:szCs w:val="22"/>
              </w:rPr>
            </w:pPr>
            <w:r w:rsidRPr="00B810CC">
              <w:rPr>
                <w:sz w:val="22"/>
                <w:szCs w:val="22"/>
              </w:rPr>
              <w:t>% of employees reporting</w:t>
            </w:r>
            <w:r w:rsidR="00254A95" w:rsidRPr="00B810CC">
              <w:rPr>
                <w:sz w:val="22"/>
                <w:szCs w:val="22"/>
              </w:rPr>
              <w:t xml:space="preserve"> a</w:t>
            </w:r>
          </w:p>
          <w:p w14:paraId="2A462086" w14:textId="41D89FD8" w:rsidR="001120E7" w:rsidRPr="00B810CC" w:rsidRDefault="00254A95" w:rsidP="00812E67">
            <w:pPr>
              <w:pStyle w:val="TableHead"/>
              <w:rPr>
                <w:sz w:val="24"/>
              </w:rPr>
            </w:pPr>
            <w:r w:rsidRPr="00B810CC">
              <w:rPr>
                <w:sz w:val="22"/>
                <w:szCs w:val="22"/>
              </w:rPr>
              <w:t>disability</w:t>
            </w:r>
            <w:r w:rsidR="00F1261F" w:rsidRPr="00B810CC">
              <w:rPr>
                <w:sz w:val="22"/>
                <w:szCs w:val="22"/>
              </w:rPr>
              <w:t xml:space="preserve"> 202</w:t>
            </w:r>
            <w:r w:rsidR="00916962">
              <w:rPr>
                <w:sz w:val="22"/>
                <w:szCs w:val="22"/>
              </w:rPr>
              <w:t>2</w:t>
            </w:r>
          </w:p>
        </w:tc>
      </w:tr>
      <w:tr w:rsidR="000A4BAB" w:rsidRPr="00B810CC" w14:paraId="304C8DA6" w14:textId="77777777" w:rsidTr="004A3088">
        <w:trPr>
          <w:jc w:val="center"/>
        </w:trPr>
        <w:tc>
          <w:tcPr>
            <w:tcW w:w="2137" w:type="dxa"/>
          </w:tcPr>
          <w:p w14:paraId="64948934" w14:textId="067EC6C9" w:rsidR="000A4BAB" w:rsidRPr="00E33017" w:rsidRDefault="000A4BAB" w:rsidP="000A4BAB">
            <w:pPr>
              <w:rPr>
                <w:rFonts w:cs="Calibri"/>
                <w:color w:val="000000"/>
                <w:sz w:val="22"/>
                <w:szCs w:val="22"/>
              </w:rPr>
            </w:pPr>
            <w:r w:rsidRPr="00E33017">
              <w:rPr>
                <w:rFonts w:cs="Calibri"/>
                <w:color w:val="000000"/>
                <w:sz w:val="22"/>
                <w:szCs w:val="22"/>
              </w:rPr>
              <w:t>Atlantic Technological University Donegal (ATU) (</w:t>
            </w:r>
            <w:r w:rsidRPr="00E33017">
              <w:rPr>
                <w:rFonts w:cs="Calibri"/>
                <w:b/>
                <w:bCs/>
                <w:color w:val="000000"/>
                <w:sz w:val="22"/>
                <w:szCs w:val="22"/>
              </w:rPr>
              <w:t>In 2022 IT Letterkenny changed its name to</w:t>
            </w:r>
            <w:r w:rsidR="00F10CE7">
              <w:rPr>
                <w:rFonts w:cs="Calibri"/>
                <w:b/>
                <w:bCs/>
                <w:color w:val="000000"/>
                <w:sz w:val="22"/>
                <w:szCs w:val="22"/>
              </w:rPr>
              <w:t xml:space="preserve"> </w:t>
            </w:r>
            <w:r w:rsidRPr="00E33017">
              <w:rPr>
                <w:rFonts w:cs="Calibri"/>
                <w:b/>
                <w:bCs/>
                <w:color w:val="000000"/>
                <w:sz w:val="22"/>
                <w:szCs w:val="22"/>
              </w:rPr>
              <w:t>Atlantic Technological University Donegal (ATU))</w:t>
            </w:r>
          </w:p>
        </w:tc>
        <w:tc>
          <w:tcPr>
            <w:tcW w:w="1701" w:type="dxa"/>
          </w:tcPr>
          <w:p w14:paraId="3160757F" w14:textId="04F1193B" w:rsidR="000A4BAB" w:rsidRPr="00E33017" w:rsidRDefault="000A4BAB" w:rsidP="000A4BAB">
            <w:pPr>
              <w:jc w:val="right"/>
              <w:rPr>
                <w:rFonts w:cs="Calibri"/>
                <w:color w:val="000000"/>
                <w:sz w:val="22"/>
                <w:szCs w:val="22"/>
              </w:rPr>
            </w:pPr>
            <w:r w:rsidRPr="00E33017">
              <w:rPr>
                <w:rFonts w:cs="Calibri"/>
                <w:color w:val="000000"/>
                <w:sz w:val="22"/>
                <w:szCs w:val="22"/>
              </w:rPr>
              <w:t>421</w:t>
            </w:r>
          </w:p>
        </w:tc>
        <w:tc>
          <w:tcPr>
            <w:tcW w:w="1701" w:type="dxa"/>
          </w:tcPr>
          <w:p w14:paraId="5C88484D" w14:textId="306198DE" w:rsidR="000A4BAB" w:rsidRPr="00E33017" w:rsidRDefault="000A4BAB" w:rsidP="000A4BAB">
            <w:pPr>
              <w:jc w:val="right"/>
              <w:rPr>
                <w:rFonts w:cs="Calibri"/>
                <w:color w:val="000000"/>
                <w:sz w:val="22"/>
                <w:szCs w:val="22"/>
              </w:rPr>
            </w:pPr>
            <w:r w:rsidRPr="00E33017">
              <w:rPr>
                <w:rFonts w:cs="Calibri"/>
                <w:color w:val="000000"/>
                <w:sz w:val="22"/>
                <w:szCs w:val="22"/>
              </w:rPr>
              <w:t>25</w:t>
            </w:r>
          </w:p>
        </w:tc>
        <w:tc>
          <w:tcPr>
            <w:tcW w:w="1417" w:type="dxa"/>
          </w:tcPr>
          <w:p w14:paraId="734A9088" w14:textId="2B324B79" w:rsidR="000A4BAB" w:rsidRPr="00E33017" w:rsidRDefault="000A4BAB" w:rsidP="000A4BAB">
            <w:pPr>
              <w:jc w:val="right"/>
              <w:rPr>
                <w:rFonts w:cs="Calibri"/>
                <w:color w:val="000000"/>
                <w:sz w:val="22"/>
                <w:szCs w:val="22"/>
              </w:rPr>
            </w:pPr>
            <w:r w:rsidRPr="00E33017">
              <w:rPr>
                <w:rFonts w:cs="Calibri"/>
                <w:color w:val="000000"/>
                <w:sz w:val="22"/>
                <w:szCs w:val="22"/>
              </w:rPr>
              <w:t>5.9%</w:t>
            </w:r>
          </w:p>
        </w:tc>
        <w:tc>
          <w:tcPr>
            <w:tcW w:w="1418" w:type="dxa"/>
          </w:tcPr>
          <w:p w14:paraId="0E979417" w14:textId="41EF863C" w:rsidR="000A4BAB" w:rsidRPr="00E33017" w:rsidRDefault="000A4BAB" w:rsidP="000A4BAB">
            <w:pPr>
              <w:spacing w:after="0"/>
              <w:jc w:val="right"/>
              <w:rPr>
                <w:rFonts w:cs="Calibri"/>
                <w:color w:val="000000"/>
                <w:sz w:val="22"/>
                <w:szCs w:val="22"/>
              </w:rPr>
            </w:pPr>
            <w:r>
              <w:rPr>
                <w:rFonts w:cs="Calibri"/>
                <w:color w:val="000000"/>
                <w:sz w:val="22"/>
                <w:szCs w:val="22"/>
              </w:rPr>
              <w:t>468</w:t>
            </w:r>
          </w:p>
        </w:tc>
        <w:tc>
          <w:tcPr>
            <w:tcW w:w="1559" w:type="dxa"/>
          </w:tcPr>
          <w:p w14:paraId="014FFC87" w14:textId="48C9ACC2" w:rsidR="000A4BAB" w:rsidRPr="00E33017" w:rsidRDefault="000A4BAB" w:rsidP="000A4BAB">
            <w:pPr>
              <w:spacing w:after="0"/>
              <w:jc w:val="right"/>
              <w:rPr>
                <w:rFonts w:cs="Calibri"/>
                <w:color w:val="000000"/>
                <w:sz w:val="22"/>
                <w:szCs w:val="22"/>
                <w:lang w:eastAsia="en-IE"/>
              </w:rPr>
            </w:pPr>
            <w:r>
              <w:rPr>
                <w:rFonts w:cs="Calibri"/>
                <w:color w:val="000000"/>
                <w:sz w:val="22"/>
                <w:szCs w:val="22"/>
              </w:rPr>
              <w:t>27</w:t>
            </w:r>
          </w:p>
          <w:p w14:paraId="6818F25F" w14:textId="77777777" w:rsidR="000A4BAB" w:rsidRPr="00E33017" w:rsidRDefault="000A4BAB" w:rsidP="000A4BAB">
            <w:pPr>
              <w:spacing w:after="0"/>
              <w:jc w:val="right"/>
              <w:rPr>
                <w:rFonts w:cs="Calibri"/>
                <w:color w:val="000000"/>
                <w:sz w:val="22"/>
                <w:szCs w:val="22"/>
              </w:rPr>
            </w:pPr>
          </w:p>
        </w:tc>
        <w:tc>
          <w:tcPr>
            <w:tcW w:w="1417" w:type="dxa"/>
          </w:tcPr>
          <w:p w14:paraId="7497738C" w14:textId="5ADBB9EC" w:rsidR="000A4BAB" w:rsidRPr="00E33017" w:rsidRDefault="000A4BAB" w:rsidP="000A4BAB">
            <w:pPr>
              <w:spacing w:after="0"/>
              <w:jc w:val="right"/>
              <w:rPr>
                <w:rFonts w:cs="Calibri"/>
                <w:color w:val="000000"/>
                <w:sz w:val="22"/>
                <w:szCs w:val="22"/>
                <w:lang w:eastAsia="en-IE"/>
              </w:rPr>
            </w:pPr>
            <w:r>
              <w:rPr>
                <w:rFonts w:cs="Calibri"/>
                <w:color w:val="000000"/>
                <w:sz w:val="22"/>
                <w:szCs w:val="22"/>
              </w:rPr>
              <w:t>5.8%</w:t>
            </w:r>
          </w:p>
          <w:p w14:paraId="2017134F" w14:textId="77777777" w:rsidR="000A4BAB" w:rsidRPr="00E33017" w:rsidRDefault="000A4BAB" w:rsidP="000A4BAB">
            <w:pPr>
              <w:spacing w:after="0"/>
              <w:jc w:val="right"/>
              <w:rPr>
                <w:rFonts w:cs="Calibri"/>
                <w:color w:val="000000"/>
                <w:sz w:val="22"/>
                <w:szCs w:val="22"/>
              </w:rPr>
            </w:pPr>
          </w:p>
        </w:tc>
      </w:tr>
      <w:tr w:rsidR="000A4BAB" w:rsidRPr="00B810CC" w14:paraId="432604E6" w14:textId="77777777" w:rsidTr="004A3088">
        <w:trPr>
          <w:jc w:val="center"/>
        </w:trPr>
        <w:tc>
          <w:tcPr>
            <w:tcW w:w="2137" w:type="dxa"/>
          </w:tcPr>
          <w:p w14:paraId="03E2EBE1" w14:textId="2DF40C0B" w:rsidR="000A4BAB" w:rsidRPr="00B810CC" w:rsidRDefault="000A4BAB" w:rsidP="000A4BAB">
            <w:pPr>
              <w:rPr>
                <w:rFonts w:cs="Calibri"/>
                <w:color w:val="000000"/>
                <w:sz w:val="22"/>
                <w:szCs w:val="22"/>
              </w:rPr>
            </w:pPr>
            <w:r w:rsidRPr="00E33017">
              <w:rPr>
                <w:rFonts w:cs="Calibri"/>
                <w:color w:val="000000"/>
                <w:sz w:val="22"/>
                <w:szCs w:val="22"/>
              </w:rPr>
              <w:t>Atlantic Technological University Galway-Mayo (ATU) (</w:t>
            </w:r>
            <w:r w:rsidRPr="00E33017">
              <w:rPr>
                <w:rFonts w:cs="Calibri"/>
                <w:b/>
                <w:bCs/>
                <w:color w:val="000000"/>
                <w:sz w:val="22"/>
                <w:szCs w:val="22"/>
              </w:rPr>
              <w:t>In 2022, IT Galway-Mayo changed its name to Atlantic Technological University Galway-Mayo (ATU))</w:t>
            </w:r>
          </w:p>
        </w:tc>
        <w:tc>
          <w:tcPr>
            <w:tcW w:w="1701" w:type="dxa"/>
          </w:tcPr>
          <w:p w14:paraId="337FD0A9" w14:textId="29174087" w:rsidR="000A4BAB" w:rsidRPr="00E33017" w:rsidRDefault="000A4BAB" w:rsidP="000A4BAB">
            <w:pPr>
              <w:jc w:val="right"/>
              <w:rPr>
                <w:rFonts w:cs="Calibri"/>
                <w:color w:val="000000"/>
                <w:sz w:val="22"/>
                <w:szCs w:val="22"/>
              </w:rPr>
            </w:pPr>
            <w:r w:rsidRPr="00E33017">
              <w:rPr>
                <w:rFonts w:cs="Calibri"/>
                <w:color w:val="000000"/>
                <w:sz w:val="22"/>
                <w:szCs w:val="22"/>
              </w:rPr>
              <w:t>1057</w:t>
            </w:r>
          </w:p>
        </w:tc>
        <w:tc>
          <w:tcPr>
            <w:tcW w:w="1701" w:type="dxa"/>
          </w:tcPr>
          <w:p w14:paraId="4974A688" w14:textId="7C134272" w:rsidR="000A4BAB" w:rsidRPr="00E33017" w:rsidRDefault="000A4BAB" w:rsidP="000A4BAB">
            <w:pPr>
              <w:jc w:val="right"/>
              <w:rPr>
                <w:rFonts w:cs="Calibri"/>
                <w:color w:val="000000"/>
                <w:sz w:val="22"/>
                <w:szCs w:val="22"/>
              </w:rPr>
            </w:pPr>
            <w:r w:rsidRPr="00E33017">
              <w:rPr>
                <w:rFonts w:cs="Calibri"/>
                <w:color w:val="000000"/>
                <w:sz w:val="22"/>
                <w:szCs w:val="22"/>
              </w:rPr>
              <w:t>30</w:t>
            </w:r>
          </w:p>
        </w:tc>
        <w:tc>
          <w:tcPr>
            <w:tcW w:w="1417" w:type="dxa"/>
          </w:tcPr>
          <w:p w14:paraId="1B257FA8" w14:textId="09E91397" w:rsidR="000A4BAB" w:rsidRPr="00E33017" w:rsidRDefault="000A4BAB" w:rsidP="000A4BAB">
            <w:pPr>
              <w:jc w:val="right"/>
              <w:rPr>
                <w:rFonts w:cs="Calibri"/>
                <w:color w:val="000000"/>
                <w:sz w:val="22"/>
                <w:szCs w:val="22"/>
              </w:rPr>
            </w:pPr>
            <w:r w:rsidRPr="00E33017">
              <w:rPr>
                <w:rFonts w:cs="Calibri"/>
                <w:color w:val="000000"/>
                <w:sz w:val="22"/>
                <w:szCs w:val="22"/>
              </w:rPr>
              <w:t>2.8%</w:t>
            </w:r>
          </w:p>
        </w:tc>
        <w:tc>
          <w:tcPr>
            <w:tcW w:w="1418" w:type="dxa"/>
          </w:tcPr>
          <w:p w14:paraId="4DA14B37"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1172</w:t>
            </w:r>
          </w:p>
          <w:p w14:paraId="089F181E" w14:textId="77777777" w:rsidR="000A4BAB" w:rsidRPr="00E33017" w:rsidRDefault="000A4BAB" w:rsidP="000A4BAB">
            <w:pPr>
              <w:spacing w:after="0"/>
              <w:jc w:val="right"/>
              <w:rPr>
                <w:rFonts w:cs="Calibri"/>
                <w:color w:val="000000"/>
                <w:sz w:val="22"/>
                <w:szCs w:val="22"/>
              </w:rPr>
            </w:pPr>
          </w:p>
        </w:tc>
        <w:tc>
          <w:tcPr>
            <w:tcW w:w="1559" w:type="dxa"/>
          </w:tcPr>
          <w:p w14:paraId="3FCF6222"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25</w:t>
            </w:r>
          </w:p>
          <w:p w14:paraId="5A6CE055" w14:textId="77777777" w:rsidR="000A4BAB" w:rsidRPr="00E33017" w:rsidRDefault="000A4BAB" w:rsidP="000A4BAB">
            <w:pPr>
              <w:spacing w:after="0"/>
              <w:jc w:val="right"/>
              <w:rPr>
                <w:rFonts w:cs="Calibri"/>
                <w:color w:val="000000"/>
                <w:sz w:val="22"/>
                <w:szCs w:val="22"/>
              </w:rPr>
            </w:pPr>
          </w:p>
        </w:tc>
        <w:tc>
          <w:tcPr>
            <w:tcW w:w="1417" w:type="dxa"/>
          </w:tcPr>
          <w:p w14:paraId="11F49470"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2.1%</w:t>
            </w:r>
          </w:p>
          <w:p w14:paraId="1DE707E1" w14:textId="77777777" w:rsidR="000A4BAB" w:rsidRPr="00E33017" w:rsidRDefault="000A4BAB" w:rsidP="000A4BAB">
            <w:pPr>
              <w:spacing w:after="0"/>
              <w:jc w:val="right"/>
              <w:rPr>
                <w:rFonts w:cs="Calibri"/>
                <w:color w:val="000000"/>
                <w:sz w:val="22"/>
                <w:szCs w:val="22"/>
              </w:rPr>
            </w:pPr>
          </w:p>
        </w:tc>
      </w:tr>
      <w:tr w:rsidR="000A4BAB" w:rsidRPr="00B810CC" w14:paraId="5AC6D466" w14:textId="77777777" w:rsidTr="004A3088">
        <w:trPr>
          <w:jc w:val="center"/>
        </w:trPr>
        <w:tc>
          <w:tcPr>
            <w:tcW w:w="2137" w:type="dxa"/>
          </w:tcPr>
          <w:p w14:paraId="683FF842" w14:textId="55433359" w:rsidR="000A4BAB" w:rsidRPr="00E33017" w:rsidRDefault="000A4BAB" w:rsidP="000A4BAB">
            <w:pPr>
              <w:rPr>
                <w:rFonts w:cs="Calibri"/>
                <w:color w:val="000000"/>
                <w:sz w:val="22"/>
                <w:szCs w:val="22"/>
              </w:rPr>
            </w:pPr>
            <w:r w:rsidRPr="00E33017">
              <w:rPr>
                <w:rFonts w:cs="Calibri"/>
                <w:color w:val="000000"/>
                <w:sz w:val="22"/>
                <w:szCs w:val="22"/>
              </w:rPr>
              <w:t xml:space="preserve">Atlantic Technological University Sligo (ATU) </w:t>
            </w:r>
            <w:r w:rsidRPr="00E33017">
              <w:rPr>
                <w:rFonts w:cs="Calibri"/>
                <w:b/>
                <w:bCs/>
                <w:color w:val="000000"/>
                <w:sz w:val="22"/>
                <w:szCs w:val="22"/>
              </w:rPr>
              <w:t>(In 2022, IT Sligo changed its name to Atlantic Technological University Sligo (ATU)</w:t>
            </w:r>
            <w:r>
              <w:rPr>
                <w:rFonts w:cs="Calibri"/>
                <w:b/>
                <w:bCs/>
                <w:color w:val="000000"/>
                <w:sz w:val="22"/>
                <w:szCs w:val="22"/>
              </w:rPr>
              <w:t>)</w:t>
            </w:r>
          </w:p>
        </w:tc>
        <w:tc>
          <w:tcPr>
            <w:tcW w:w="1701" w:type="dxa"/>
          </w:tcPr>
          <w:p w14:paraId="7923E34D" w14:textId="5164307E" w:rsidR="000A4BAB" w:rsidRPr="00E33017" w:rsidRDefault="000A4BAB" w:rsidP="000A4BAB">
            <w:pPr>
              <w:jc w:val="right"/>
              <w:rPr>
                <w:rFonts w:cs="Calibri"/>
                <w:color w:val="000000"/>
                <w:sz w:val="22"/>
                <w:szCs w:val="22"/>
              </w:rPr>
            </w:pPr>
            <w:r w:rsidRPr="00E33017">
              <w:rPr>
                <w:rFonts w:cs="Calibri"/>
                <w:color w:val="000000"/>
                <w:sz w:val="22"/>
                <w:szCs w:val="22"/>
              </w:rPr>
              <w:t>691</w:t>
            </w:r>
          </w:p>
        </w:tc>
        <w:tc>
          <w:tcPr>
            <w:tcW w:w="1701" w:type="dxa"/>
          </w:tcPr>
          <w:p w14:paraId="70D3ED51" w14:textId="0BA53A4D" w:rsidR="000A4BAB" w:rsidRPr="00E33017" w:rsidRDefault="000A4BAB" w:rsidP="000A4BAB">
            <w:pPr>
              <w:jc w:val="right"/>
              <w:rPr>
                <w:rFonts w:cs="Calibri"/>
                <w:color w:val="000000"/>
                <w:sz w:val="22"/>
                <w:szCs w:val="22"/>
              </w:rPr>
            </w:pPr>
            <w:r w:rsidRPr="00E33017">
              <w:rPr>
                <w:rFonts w:cs="Calibri"/>
                <w:color w:val="000000"/>
                <w:sz w:val="22"/>
                <w:szCs w:val="22"/>
              </w:rPr>
              <w:t>28</w:t>
            </w:r>
          </w:p>
        </w:tc>
        <w:tc>
          <w:tcPr>
            <w:tcW w:w="1417" w:type="dxa"/>
          </w:tcPr>
          <w:p w14:paraId="0D442F72" w14:textId="5CBA5E5C" w:rsidR="000A4BAB" w:rsidRPr="00E33017" w:rsidRDefault="000A4BAB" w:rsidP="000A4BAB">
            <w:pPr>
              <w:jc w:val="right"/>
              <w:rPr>
                <w:rFonts w:cs="Calibri"/>
                <w:color w:val="000000"/>
                <w:sz w:val="22"/>
                <w:szCs w:val="22"/>
              </w:rPr>
            </w:pPr>
            <w:r w:rsidRPr="00E33017">
              <w:rPr>
                <w:rFonts w:cs="Calibri"/>
                <w:color w:val="000000"/>
                <w:sz w:val="22"/>
                <w:szCs w:val="22"/>
              </w:rPr>
              <w:t>4.1%</w:t>
            </w:r>
          </w:p>
        </w:tc>
        <w:tc>
          <w:tcPr>
            <w:tcW w:w="1418" w:type="dxa"/>
          </w:tcPr>
          <w:p w14:paraId="74C2C6B6"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789</w:t>
            </w:r>
          </w:p>
          <w:p w14:paraId="0BDCD500" w14:textId="77777777" w:rsidR="000A4BAB" w:rsidRPr="00E33017" w:rsidRDefault="000A4BAB" w:rsidP="000A4BAB">
            <w:pPr>
              <w:spacing w:after="0"/>
              <w:jc w:val="right"/>
              <w:rPr>
                <w:rFonts w:cs="Calibri"/>
                <w:color w:val="000000"/>
                <w:sz w:val="22"/>
                <w:szCs w:val="22"/>
              </w:rPr>
            </w:pPr>
          </w:p>
        </w:tc>
        <w:tc>
          <w:tcPr>
            <w:tcW w:w="1559" w:type="dxa"/>
          </w:tcPr>
          <w:p w14:paraId="6F4E2568"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28</w:t>
            </w:r>
          </w:p>
          <w:p w14:paraId="31E41766" w14:textId="77777777" w:rsidR="000A4BAB" w:rsidRPr="00E33017" w:rsidRDefault="000A4BAB" w:rsidP="000A4BAB">
            <w:pPr>
              <w:spacing w:after="0"/>
              <w:jc w:val="right"/>
              <w:rPr>
                <w:rFonts w:cs="Calibri"/>
                <w:color w:val="000000"/>
                <w:sz w:val="22"/>
                <w:szCs w:val="22"/>
              </w:rPr>
            </w:pPr>
          </w:p>
        </w:tc>
        <w:tc>
          <w:tcPr>
            <w:tcW w:w="1417" w:type="dxa"/>
          </w:tcPr>
          <w:p w14:paraId="23FDF933"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3.5%</w:t>
            </w:r>
          </w:p>
          <w:p w14:paraId="166278F4" w14:textId="77777777" w:rsidR="000A4BAB" w:rsidRPr="00E33017" w:rsidRDefault="000A4BAB" w:rsidP="000A4BAB">
            <w:pPr>
              <w:spacing w:after="0"/>
              <w:jc w:val="right"/>
              <w:rPr>
                <w:rFonts w:cs="Calibri"/>
                <w:color w:val="000000"/>
                <w:sz w:val="22"/>
                <w:szCs w:val="22"/>
              </w:rPr>
            </w:pPr>
          </w:p>
        </w:tc>
      </w:tr>
      <w:tr w:rsidR="000A4BAB" w:rsidRPr="00B810CC" w14:paraId="6C7496EC" w14:textId="77777777" w:rsidTr="004A3088">
        <w:trPr>
          <w:jc w:val="center"/>
        </w:trPr>
        <w:tc>
          <w:tcPr>
            <w:tcW w:w="2137" w:type="dxa"/>
          </w:tcPr>
          <w:p w14:paraId="25D8FDC0" w14:textId="484148D6" w:rsidR="000A4BAB" w:rsidRPr="00B810CC" w:rsidRDefault="000A4BAB" w:rsidP="000A4BAB">
            <w:pPr>
              <w:rPr>
                <w:sz w:val="22"/>
                <w:szCs w:val="22"/>
              </w:rPr>
            </w:pPr>
            <w:r w:rsidRPr="00B810CC">
              <w:rPr>
                <w:rFonts w:cs="Calibri"/>
                <w:color w:val="000000"/>
                <w:sz w:val="22"/>
                <w:szCs w:val="22"/>
              </w:rPr>
              <w:t>Dún Laoghaire Institute of Art, Design &amp; Technology</w:t>
            </w:r>
          </w:p>
        </w:tc>
        <w:tc>
          <w:tcPr>
            <w:tcW w:w="1701" w:type="dxa"/>
          </w:tcPr>
          <w:p w14:paraId="108B6D65" w14:textId="057B62E0" w:rsidR="000A4BAB" w:rsidRPr="00B810CC" w:rsidRDefault="000A4BAB" w:rsidP="000A4BAB">
            <w:pPr>
              <w:jc w:val="right"/>
              <w:rPr>
                <w:sz w:val="22"/>
                <w:szCs w:val="22"/>
              </w:rPr>
            </w:pPr>
            <w:r w:rsidRPr="00B810CC">
              <w:rPr>
                <w:rFonts w:cs="Calibri"/>
                <w:color w:val="000000"/>
                <w:sz w:val="22"/>
                <w:szCs w:val="22"/>
              </w:rPr>
              <w:t>377</w:t>
            </w:r>
          </w:p>
        </w:tc>
        <w:tc>
          <w:tcPr>
            <w:tcW w:w="1701" w:type="dxa"/>
          </w:tcPr>
          <w:p w14:paraId="4FF06979" w14:textId="5A14FC79" w:rsidR="000A4BAB" w:rsidRPr="00B810CC" w:rsidRDefault="000A4BAB" w:rsidP="000A4BAB">
            <w:pPr>
              <w:jc w:val="right"/>
              <w:rPr>
                <w:sz w:val="22"/>
                <w:szCs w:val="22"/>
              </w:rPr>
            </w:pPr>
            <w:r w:rsidRPr="00B810CC">
              <w:rPr>
                <w:rFonts w:cs="Calibri"/>
                <w:color w:val="000000"/>
                <w:sz w:val="22"/>
                <w:szCs w:val="22"/>
              </w:rPr>
              <w:t>17</w:t>
            </w:r>
          </w:p>
        </w:tc>
        <w:tc>
          <w:tcPr>
            <w:tcW w:w="1417" w:type="dxa"/>
          </w:tcPr>
          <w:p w14:paraId="550B201F" w14:textId="4CAFDDB6" w:rsidR="000A4BAB" w:rsidRPr="00B810CC" w:rsidRDefault="000A4BAB" w:rsidP="000A4BAB">
            <w:pPr>
              <w:jc w:val="right"/>
              <w:rPr>
                <w:sz w:val="22"/>
                <w:szCs w:val="22"/>
              </w:rPr>
            </w:pPr>
            <w:r w:rsidRPr="00B810CC">
              <w:rPr>
                <w:rFonts w:cs="Calibri"/>
                <w:color w:val="000000"/>
                <w:sz w:val="22"/>
                <w:szCs w:val="22"/>
              </w:rPr>
              <w:t>4.5%</w:t>
            </w:r>
          </w:p>
        </w:tc>
        <w:tc>
          <w:tcPr>
            <w:tcW w:w="1418" w:type="dxa"/>
          </w:tcPr>
          <w:p w14:paraId="0BA9F67D" w14:textId="77777777" w:rsidR="000A4BAB" w:rsidRDefault="000A4BAB" w:rsidP="000A4BAB">
            <w:pPr>
              <w:spacing w:after="0"/>
              <w:jc w:val="right"/>
              <w:rPr>
                <w:rFonts w:cs="Calibri"/>
                <w:color w:val="000000"/>
                <w:sz w:val="22"/>
                <w:szCs w:val="22"/>
                <w:lang w:eastAsia="en-IE"/>
              </w:rPr>
            </w:pPr>
            <w:r>
              <w:rPr>
                <w:rFonts w:cs="Calibri"/>
                <w:color w:val="000000"/>
                <w:sz w:val="22"/>
                <w:szCs w:val="22"/>
              </w:rPr>
              <w:t>368</w:t>
            </w:r>
          </w:p>
          <w:p w14:paraId="26DC24F2" w14:textId="25A21A4F" w:rsidR="000A4BAB" w:rsidRPr="00B810CC" w:rsidRDefault="000A4BAB" w:rsidP="000A4BAB">
            <w:pPr>
              <w:pStyle w:val="TableHead"/>
              <w:jc w:val="right"/>
              <w:rPr>
                <w:b w:val="0"/>
                <w:sz w:val="22"/>
                <w:szCs w:val="22"/>
              </w:rPr>
            </w:pPr>
          </w:p>
        </w:tc>
        <w:tc>
          <w:tcPr>
            <w:tcW w:w="1559" w:type="dxa"/>
          </w:tcPr>
          <w:p w14:paraId="72986EB1" w14:textId="77777777" w:rsidR="000A4BAB" w:rsidRDefault="000A4BAB" w:rsidP="000A4BAB">
            <w:pPr>
              <w:spacing w:after="0"/>
              <w:jc w:val="right"/>
              <w:rPr>
                <w:rFonts w:cs="Calibri"/>
                <w:color w:val="000000"/>
                <w:sz w:val="22"/>
                <w:szCs w:val="22"/>
                <w:lang w:eastAsia="en-IE"/>
              </w:rPr>
            </w:pPr>
            <w:r>
              <w:rPr>
                <w:rFonts w:cs="Calibri"/>
                <w:color w:val="000000"/>
                <w:sz w:val="22"/>
                <w:szCs w:val="22"/>
              </w:rPr>
              <w:t>33</w:t>
            </w:r>
          </w:p>
          <w:p w14:paraId="66823007" w14:textId="64E7A497" w:rsidR="000A4BAB" w:rsidRPr="00B810CC" w:rsidRDefault="000A4BAB" w:rsidP="000A4BAB">
            <w:pPr>
              <w:pStyle w:val="TableHead"/>
              <w:jc w:val="right"/>
              <w:rPr>
                <w:b w:val="0"/>
                <w:sz w:val="22"/>
                <w:szCs w:val="22"/>
              </w:rPr>
            </w:pPr>
          </w:p>
        </w:tc>
        <w:tc>
          <w:tcPr>
            <w:tcW w:w="1417" w:type="dxa"/>
          </w:tcPr>
          <w:p w14:paraId="28F28F42" w14:textId="77777777" w:rsidR="000A4BAB" w:rsidRDefault="000A4BAB" w:rsidP="000A4BAB">
            <w:pPr>
              <w:spacing w:after="0"/>
              <w:jc w:val="right"/>
              <w:rPr>
                <w:rFonts w:cs="Calibri"/>
                <w:color w:val="000000"/>
                <w:sz w:val="22"/>
                <w:szCs w:val="22"/>
                <w:lang w:eastAsia="en-IE"/>
              </w:rPr>
            </w:pPr>
            <w:r>
              <w:rPr>
                <w:rFonts w:cs="Calibri"/>
                <w:color w:val="000000"/>
                <w:sz w:val="22"/>
                <w:szCs w:val="22"/>
              </w:rPr>
              <w:t>9.0%</w:t>
            </w:r>
          </w:p>
          <w:p w14:paraId="2B796DC3" w14:textId="456C4032" w:rsidR="000A4BAB" w:rsidRPr="00B810CC" w:rsidRDefault="000A4BAB" w:rsidP="000A4BAB">
            <w:pPr>
              <w:pStyle w:val="TableHead"/>
              <w:jc w:val="right"/>
              <w:rPr>
                <w:b w:val="0"/>
                <w:sz w:val="22"/>
                <w:szCs w:val="22"/>
              </w:rPr>
            </w:pPr>
          </w:p>
        </w:tc>
      </w:tr>
      <w:tr w:rsidR="000A4BAB" w:rsidRPr="00B810CC" w14:paraId="7DF605F2" w14:textId="77777777" w:rsidTr="004A3088">
        <w:trPr>
          <w:jc w:val="center"/>
        </w:trPr>
        <w:tc>
          <w:tcPr>
            <w:tcW w:w="2137" w:type="dxa"/>
          </w:tcPr>
          <w:p w14:paraId="37A1EE3E" w14:textId="4F15E636" w:rsidR="000A4BAB" w:rsidRPr="008A4345" w:rsidRDefault="0003232A" w:rsidP="000A4BAB">
            <w:pPr>
              <w:rPr>
                <w:b/>
                <w:bCs/>
                <w:sz w:val="22"/>
                <w:szCs w:val="22"/>
              </w:rPr>
            </w:pPr>
            <w:r w:rsidRPr="008A4345">
              <w:rPr>
                <w:rFonts w:cs="Calibri"/>
                <w:b/>
                <w:bCs/>
                <w:color w:val="000000"/>
                <w:sz w:val="22"/>
                <w:szCs w:val="22"/>
              </w:rPr>
              <w:lastRenderedPageBreak/>
              <w:t>*</w:t>
            </w:r>
            <w:r w:rsidR="000A4BAB" w:rsidRPr="008A4345">
              <w:rPr>
                <w:rFonts w:cs="Calibri"/>
                <w:b/>
                <w:bCs/>
                <w:color w:val="000000"/>
                <w:sz w:val="22"/>
                <w:szCs w:val="22"/>
              </w:rPr>
              <w:t xml:space="preserve">IT Carlow </w:t>
            </w:r>
          </w:p>
        </w:tc>
        <w:tc>
          <w:tcPr>
            <w:tcW w:w="1701" w:type="dxa"/>
          </w:tcPr>
          <w:p w14:paraId="5A3D883B" w14:textId="7C644828" w:rsidR="000A4BAB" w:rsidRPr="00B810CC" w:rsidRDefault="000A4BAB" w:rsidP="000A4BAB">
            <w:pPr>
              <w:jc w:val="right"/>
              <w:rPr>
                <w:sz w:val="22"/>
                <w:szCs w:val="22"/>
              </w:rPr>
            </w:pPr>
            <w:r w:rsidRPr="00B810CC">
              <w:rPr>
                <w:rFonts w:cs="Calibri"/>
                <w:color w:val="000000"/>
                <w:sz w:val="22"/>
                <w:szCs w:val="22"/>
              </w:rPr>
              <w:t>781</w:t>
            </w:r>
          </w:p>
        </w:tc>
        <w:tc>
          <w:tcPr>
            <w:tcW w:w="1701" w:type="dxa"/>
          </w:tcPr>
          <w:p w14:paraId="05A012C2" w14:textId="2ED5C9FA" w:rsidR="000A4BAB" w:rsidRPr="00B810CC" w:rsidRDefault="000A4BAB" w:rsidP="000A4BAB">
            <w:pPr>
              <w:jc w:val="right"/>
              <w:rPr>
                <w:sz w:val="22"/>
                <w:szCs w:val="22"/>
              </w:rPr>
            </w:pPr>
            <w:r w:rsidRPr="00B810CC">
              <w:rPr>
                <w:rFonts w:cs="Calibri"/>
                <w:color w:val="000000"/>
                <w:sz w:val="22"/>
                <w:szCs w:val="22"/>
              </w:rPr>
              <w:t>29</w:t>
            </w:r>
          </w:p>
        </w:tc>
        <w:tc>
          <w:tcPr>
            <w:tcW w:w="1417" w:type="dxa"/>
          </w:tcPr>
          <w:p w14:paraId="68FC4F5A" w14:textId="03654A69" w:rsidR="000A4BAB" w:rsidRPr="00B810CC" w:rsidRDefault="000A4BAB" w:rsidP="000A4BAB">
            <w:pPr>
              <w:jc w:val="right"/>
              <w:rPr>
                <w:sz w:val="22"/>
                <w:szCs w:val="22"/>
              </w:rPr>
            </w:pPr>
            <w:r w:rsidRPr="00B810CC">
              <w:rPr>
                <w:rFonts w:cs="Calibri"/>
                <w:color w:val="000000"/>
                <w:sz w:val="22"/>
                <w:szCs w:val="22"/>
              </w:rPr>
              <w:t>3.7%</w:t>
            </w:r>
          </w:p>
        </w:tc>
        <w:tc>
          <w:tcPr>
            <w:tcW w:w="1418" w:type="dxa"/>
          </w:tcPr>
          <w:p w14:paraId="327D1659" w14:textId="1F70705F" w:rsidR="000A4BAB" w:rsidRPr="00B810CC" w:rsidRDefault="000A4BAB" w:rsidP="000A4BAB">
            <w:pPr>
              <w:jc w:val="right"/>
              <w:rPr>
                <w:sz w:val="22"/>
                <w:szCs w:val="22"/>
              </w:rPr>
            </w:pPr>
            <w:r w:rsidRPr="00B810CC">
              <w:rPr>
                <w:rFonts w:cs="Calibri"/>
                <w:color w:val="000000"/>
                <w:sz w:val="22"/>
                <w:szCs w:val="22"/>
              </w:rPr>
              <w:t>- </w:t>
            </w:r>
          </w:p>
        </w:tc>
        <w:tc>
          <w:tcPr>
            <w:tcW w:w="1559" w:type="dxa"/>
          </w:tcPr>
          <w:p w14:paraId="03CF2855" w14:textId="351A2255" w:rsidR="000A4BAB" w:rsidRPr="00B810CC" w:rsidRDefault="000A4BAB" w:rsidP="000A4BAB">
            <w:pPr>
              <w:jc w:val="right"/>
              <w:rPr>
                <w:sz w:val="22"/>
                <w:szCs w:val="22"/>
              </w:rPr>
            </w:pPr>
            <w:r w:rsidRPr="00B810CC">
              <w:rPr>
                <w:rFonts w:cs="Calibri"/>
                <w:color w:val="000000"/>
                <w:sz w:val="22"/>
                <w:szCs w:val="22"/>
              </w:rPr>
              <w:t>- </w:t>
            </w:r>
          </w:p>
        </w:tc>
        <w:tc>
          <w:tcPr>
            <w:tcW w:w="1417" w:type="dxa"/>
          </w:tcPr>
          <w:p w14:paraId="3D4AE9BE" w14:textId="1AEEEDAA" w:rsidR="000A4BAB" w:rsidRPr="00B810CC" w:rsidRDefault="000A4BAB" w:rsidP="000A4BAB">
            <w:pPr>
              <w:jc w:val="right"/>
              <w:rPr>
                <w:sz w:val="22"/>
                <w:szCs w:val="22"/>
              </w:rPr>
            </w:pPr>
            <w:r w:rsidRPr="00B810CC">
              <w:rPr>
                <w:rFonts w:cs="Calibri"/>
                <w:color w:val="000000"/>
                <w:sz w:val="22"/>
                <w:szCs w:val="22"/>
              </w:rPr>
              <w:t>- </w:t>
            </w:r>
          </w:p>
        </w:tc>
      </w:tr>
      <w:tr w:rsidR="000A4BAB" w:rsidRPr="00B810CC" w14:paraId="27BA322E" w14:textId="77777777" w:rsidTr="004A3088">
        <w:trPr>
          <w:jc w:val="center"/>
        </w:trPr>
        <w:tc>
          <w:tcPr>
            <w:tcW w:w="2137" w:type="dxa"/>
          </w:tcPr>
          <w:p w14:paraId="7CC8FE58" w14:textId="4B37EBA1" w:rsidR="000A4BAB" w:rsidRPr="00B810CC" w:rsidRDefault="000A4BAB" w:rsidP="000A4BAB">
            <w:pPr>
              <w:rPr>
                <w:sz w:val="22"/>
                <w:szCs w:val="22"/>
              </w:rPr>
            </w:pPr>
            <w:r w:rsidRPr="00B810CC">
              <w:rPr>
                <w:rFonts w:cs="Calibri"/>
                <w:color w:val="000000"/>
                <w:sz w:val="22"/>
                <w:szCs w:val="22"/>
              </w:rPr>
              <w:t>IT Dundalk</w:t>
            </w:r>
          </w:p>
        </w:tc>
        <w:tc>
          <w:tcPr>
            <w:tcW w:w="1701" w:type="dxa"/>
          </w:tcPr>
          <w:p w14:paraId="45D2841C" w14:textId="43D3394C" w:rsidR="000A4BAB" w:rsidRPr="00B810CC" w:rsidRDefault="000A4BAB" w:rsidP="000A4BAB">
            <w:pPr>
              <w:jc w:val="right"/>
              <w:rPr>
                <w:sz w:val="22"/>
                <w:szCs w:val="22"/>
              </w:rPr>
            </w:pPr>
            <w:r w:rsidRPr="00B810CC">
              <w:rPr>
                <w:rFonts w:cs="Calibri"/>
                <w:color w:val="000000"/>
                <w:sz w:val="22"/>
                <w:szCs w:val="22"/>
              </w:rPr>
              <w:t>714</w:t>
            </w:r>
          </w:p>
        </w:tc>
        <w:tc>
          <w:tcPr>
            <w:tcW w:w="1701" w:type="dxa"/>
          </w:tcPr>
          <w:p w14:paraId="3822EFAD" w14:textId="479E9827" w:rsidR="000A4BAB" w:rsidRPr="00B810CC" w:rsidRDefault="000A4BAB" w:rsidP="000A4BAB">
            <w:pPr>
              <w:jc w:val="right"/>
              <w:rPr>
                <w:sz w:val="22"/>
                <w:szCs w:val="22"/>
              </w:rPr>
            </w:pPr>
            <w:r w:rsidRPr="00B810CC">
              <w:rPr>
                <w:rFonts w:cs="Calibri"/>
                <w:color w:val="000000"/>
                <w:sz w:val="22"/>
                <w:szCs w:val="22"/>
              </w:rPr>
              <w:t>36</w:t>
            </w:r>
          </w:p>
        </w:tc>
        <w:tc>
          <w:tcPr>
            <w:tcW w:w="1417" w:type="dxa"/>
          </w:tcPr>
          <w:p w14:paraId="2F51A0F5" w14:textId="70F5A0EA" w:rsidR="000A4BAB" w:rsidRPr="00B810CC" w:rsidRDefault="000A4BAB" w:rsidP="000A4BAB">
            <w:pPr>
              <w:jc w:val="right"/>
              <w:rPr>
                <w:sz w:val="22"/>
                <w:szCs w:val="22"/>
              </w:rPr>
            </w:pPr>
            <w:r w:rsidRPr="00B810CC">
              <w:rPr>
                <w:rFonts w:cs="Calibri"/>
                <w:color w:val="000000"/>
                <w:sz w:val="22"/>
                <w:szCs w:val="22"/>
              </w:rPr>
              <w:t>5.0%</w:t>
            </w:r>
          </w:p>
        </w:tc>
        <w:tc>
          <w:tcPr>
            <w:tcW w:w="1418" w:type="dxa"/>
          </w:tcPr>
          <w:p w14:paraId="320D7939" w14:textId="77777777" w:rsidR="000A4BAB" w:rsidRDefault="000A4BAB" w:rsidP="000A4BAB">
            <w:pPr>
              <w:spacing w:after="0"/>
              <w:jc w:val="right"/>
              <w:rPr>
                <w:rFonts w:cs="Calibri"/>
                <w:color w:val="000000"/>
                <w:sz w:val="22"/>
                <w:szCs w:val="22"/>
                <w:lang w:eastAsia="en-IE"/>
              </w:rPr>
            </w:pPr>
            <w:r>
              <w:rPr>
                <w:rFonts w:cs="Calibri"/>
                <w:color w:val="000000"/>
                <w:sz w:val="22"/>
                <w:szCs w:val="22"/>
              </w:rPr>
              <w:t>756</w:t>
            </w:r>
          </w:p>
          <w:p w14:paraId="69989A10" w14:textId="2C68AABA" w:rsidR="000A4BAB" w:rsidRPr="00B810CC" w:rsidRDefault="000A4BAB" w:rsidP="000A4BAB">
            <w:pPr>
              <w:jc w:val="right"/>
              <w:rPr>
                <w:sz w:val="22"/>
                <w:szCs w:val="22"/>
              </w:rPr>
            </w:pPr>
          </w:p>
        </w:tc>
        <w:tc>
          <w:tcPr>
            <w:tcW w:w="1559" w:type="dxa"/>
          </w:tcPr>
          <w:p w14:paraId="49A3126F" w14:textId="77777777" w:rsidR="000A4BAB" w:rsidRDefault="000A4BAB" w:rsidP="000A4BAB">
            <w:pPr>
              <w:spacing w:after="0"/>
              <w:jc w:val="right"/>
              <w:rPr>
                <w:rFonts w:cs="Calibri"/>
                <w:color w:val="000000"/>
                <w:sz w:val="22"/>
                <w:szCs w:val="22"/>
                <w:lang w:eastAsia="en-IE"/>
              </w:rPr>
            </w:pPr>
            <w:r>
              <w:rPr>
                <w:rFonts w:cs="Calibri"/>
                <w:color w:val="000000"/>
                <w:sz w:val="22"/>
                <w:szCs w:val="22"/>
              </w:rPr>
              <w:t>36</w:t>
            </w:r>
          </w:p>
          <w:p w14:paraId="1E5B4775" w14:textId="02B31CE8" w:rsidR="000A4BAB" w:rsidRPr="00B810CC" w:rsidRDefault="000A4BAB" w:rsidP="000A4BAB">
            <w:pPr>
              <w:jc w:val="right"/>
              <w:rPr>
                <w:sz w:val="22"/>
                <w:szCs w:val="22"/>
              </w:rPr>
            </w:pPr>
          </w:p>
        </w:tc>
        <w:tc>
          <w:tcPr>
            <w:tcW w:w="1417" w:type="dxa"/>
          </w:tcPr>
          <w:p w14:paraId="057A98CD" w14:textId="77777777" w:rsidR="000A4BAB" w:rsidRDefault="000A4BAB" w:rsidP="000A4BAB">
            <w:pPr>
              <w:spacing w:after="0"/>
              <w:jc w:val="right"/>
              <w:rPr>
                <w:rFonts w:cs="Calibri"/>
                <w:color w:val="000000"/>
                <w:sz w:val="22"/>
                <w:szCs w:val="22"/>
                <w:lang w:eastAsia="en-IE"/>
              </w:rPr>
            </w:pPr>
            <w:r>
              <w:rPr>
                <w:rFonts w:cs="Calibri"/>
                <w:color w:val="000000"/>
                <w:sz w:val="22"/>
                <w:szCs w:val="22"/>
              </w:rPr>
              <w:t>4.8%</w:t>
            </w:r>
          </w:p>
          <w:p w14:paraId="2ED11FB5" w14:textId="1A2B1AE2" w:rsidR="000A4BAB" w:rsidRPr="00B810CC" w:rsidRDefault="000A4BAB" w:rsidP="000A4BAB">
            <w:pPr>
              <w:jc w:val="right"/>
              <w:rPr>
                <w:sz w:val="22"/>
                <w:szCs w:val="22"/>
              </w:rPr>
            </w:pPr>
          </w:p>
        </w:tc>
      </w:tr>
      <w:tr w:rsidR="000A4BAB" w:rsidRPr="00B810CC" w14:paraId="157ADA46" w14:textId="77777777" w:rsidTr="004A3088">
        <w:trPr>
          <w:jc w:val="center"/>
        </w:trPr>
        <w:tc>
          <w:tcPr>
            <w:tcW w:w="2137" w:type="dxa"/>
          </w:tcPr>
          <w:p w14:paraId="29EA3725" w14:textId="1651530E" w:rsidR="000A4BAB" w:rsidRPr="008A4345" w:rsidRDefault="0003232A" w:rsidP="000A4BAB">
            <w:pPr>
              <w:rPr>
                <w:b/>
                <w:bCs/>
                <w:sz w:val="22"/>
                <w:szCs w:val="22"/>
              </w:rPr>
            </w:pPr>
            <w:r w:rsidRPr="008A4345">
              <w:rPr>
                <w:rFonts w:cs="Calibri"/>
                <w:b/>
                <w:bCs/>
                <w:color w:val="000000"/>
                <w:sz w:val="22"/>
                <w:szCs w:val="22"/>
              </w:rPr>
              <w:t>*</w:t>
            </w:r>
            <w:r w:rsidR="000A4BAB" w:rsidRPr="008A4345">
              <w:rPr>
                <w:rFonts w:cs="Calibri"/>
                <w:b/>
                <w:bCs/>
                <w:color w:val="000000"/>
                <w:sz w:val="22"/>
                <w:szCs w:val="22"/>
              </w:rPr>
              <w:t>IT Waterford</w:t>
            </w:r>
          </w:p>
        </w:tc>
        <w:tc>
          <w:tcPr>
            <w:tcW w:w="1701" w:type="dxa"/>
          </w:tcPr>
          <w:p w14:paraId="19525618" w14:textId="13DDE81B" w:rsidR="000A4BAB" w:rsidRPr="00E33017" w:rsidRDefault="000A4BAB" w:rsidP="000A4BAB">
            <w:pPr>
              <w:jc w:val="right"/>
              <w:rPr>
                <w:sz w:val="22"/>
                <w:szCs w:val="22"/>
              </w:rPr>
            </w:pPr>
            <w:r w:rsidRPr="00E33017">
              <w:rPr>
                <w:rFonts w:cs="Calibri"/>
                <w:color w:val="000000"/>
                <w:sz w:val="22"/>
                <w:szCs w:val="22"/>
              </w:rPr>
              <w:t>972</w:t>
            </w:r>
          </w:p>
        </w:tc>
        <w:tc>
          <w:tcPr>
            <w:tcW w:w="1701" w:type="dxa"/>
          </w:tcPr>
          <w:p w14:paraId="06BD8D6C" w14:textId="73CAB904" w:rsidR="000A4BAB" w:rsidRPr="00E33017" w:rsidRDefault="000A4BAB" w:rsidP="000A4BAB">
            <w:pPr>
              <w:jc w:val="right"/>
              <w:rPr>
                <w:sz w:val="22"/>
                <w:szCs w:val="22"/>
              </w:rPr>
            </w:pPr>
            <w:r w:rsidRPr="00E33017">
              <w:rPr>
                <w:rFonts w:cs="Calibri"/>
                <w:color w:val="000000"/>
                <w:sz w:val="22"/>
                <w:szCs w:val="22"/>
              </w:rPr>
              <w:t>36</w:t>
            </w:r>
          </w:p>
        </w:tc>
        <w:tc>
          <w:tcPr>
            <w:tcW w:w="1417" w:type="dxa"/>
          </w:tcPr>
          <w:p w14:paraId="30E70C47" w14:textId="0B2047BC" w:rsidR="000A4BAB" w:rsidRPr="00E33017" w:rsidRDefault="000A4BAB" w:rsidP="000A4BAB">
            <w:pPr>
              <w:jc w:val="right"/>
              <w:rPr>
                <w:sz w:val="22"/>
                <w:szCs w:val="22"/>
              </w:rPr>
            </w:pPr>
            <w:r w:rsidRPr="00E33017">
              <w:rPr>
                <w:rFonts w:cs="Calibri"/>
                <w:color w:val="000000"/>
                <w:sz w:val="22"/>
                <w:szCs w:val="22"/>
              </w:rPr>
              <w:t>3.7%</w:t>
            </w:r>
          </w:p>
        </w:tc>
        <w:tc>
          <w:tcPr>
            <w:tcW w:w="1418" w:type="dxa"/>
          </w:tcPr>
          <w:p w14:paraId="2ACEC16F" w14:textId="72AD63EE" w:rsidR="000A4BAB" w:rsidRPr="00B810CC" w:rsidRDefault="000A4BAB" w:rsidP="000A4BAB">
            <w:pPr>
              <w:jc w:val="right"/>
              <w:rPr>
                <w:sz w:val="22"/>
                <w:szCs w:val="22"/>
              </w:rPr>
            </w:pPr>
            <w:r w:rsidRPr="00B810CC">
              <w:rPr>
                <w:rFonts w:cs="Calibri"/>
                <w:color w:val="000000"/>
                <w:sz w:val="22"/>
                <w:szCs w:val="22"/>
              </w:rPr>
              <w:t>- </w:t>
            </w:r>
          </w:p>
        </w:tc>
        <w:tc>
          <w:tcPr>
            <w:tcW w:w="1559" w:type="dxa"/>
          </w:tcPr>
          <w:p w14:paraId="58DF774B" w14:textId="00DF8EB6" w:rsidR="000A4BAB" w:rsidRPr="00B810CC" w:rsidRDefault="000A4BAB" w:rsidP="000A4BAB">
            <w:pPr>
              <w:jc w:val="right"/>
              <w:rPr>
                <w:sz w:val="22"/>
                <w:szCs w:val="22"/>
              </w:rPr>
            </w:pPr>
            <w:r w:rsidRPr="00B810CC">
              <w:rPr>
                <w:rFonts w:cs="Calibri"/>
                <w:color w:val="000000"/>
                <w:sz w:val="22"/>
                <w:szCs w:val="22"/>
              </w:rPr>
              <w:t>- </w:t>
            </w:r>
          </w:p>
        </w:tc>
        <w:tc>
          <w:tcPr>
            <w:tcW w:w="1417" w:type="dxa"/>
          </w:tcPr>
          <w:p w14:paraId="0FF06C63" w14:textId="1B72894D" w:rsidR="000A4BAB" w:rsidRPr="00B810CC" w:rsidRDefault="000A4BAB" w:rsidP="000A4BAB">
            <w:pPr>
              <w:jc w:val="right"/>
              <w:rPr>
                <w:sz w:val="22"/>
                <w:szCs w:val="22"/>
              </w:rPr>
            </w:pPr>
            <w:r w:rsidRPr="00B810CC">
              <w:rPr>
                <w:rFonts w:cs="Calibri"/>
                <w:color w:val="000000"/>
                <w:sz w:val="22"/>
                <w:szCs w:val="22"/>
              </w:rPr>
              <w:t>- </w:t>
            </w:r>
          </w:p>
        </w:tc>
      </w:tr>
      <w:tr w:rsidR="000A4BAB" w:rsidRPr="00B810CC" w14:paraId="6B21B9E0" w14:textId="77777777" w:rsidTr="004A3088">
        <w:trPr>
          <w:jc w:val="center"/>
        </w:trPr>
        <w:tc>
          <w:tcPr>
            <w:tcW w:w="2137" w:type="dxa"/>
          </w:tcPr>
          <w:p w14:paraId="331FC9A2" w14:textId="18231F1B" w:rsidR="000A4BAB" w:rsidRPr="00B810CC" w:rsidRDefault="000A4BAB" w:rsidP="000A4BAB">
            <w:pPr>
              <w:rPr>
                <w:sz w:val="22"/>
                <w:szCs w:val="22"/>
              </w:rPr>
            </w:pPr>
            <w:r w:rsidRPr="00B810CC">
              <w:rPr>
                <w:rFonts w:cs="Calibri"/>
                <w:color w:val="000000"/>
                <w:sz w:val="22"/>
                <w:szCs w:val="22"/>
              </w:rPr>
              <w:t>Leargas</w:t>
            </w:r>
          </w:p>
        </w:tc>
        <w:tc>
          <w:tcPr>
            <w:tcW w:w="1701" w:type="dxa"/>
          </w:tcPr>
          <w:p w14:paraId="658715F4" w14:textId="7E66E65B" w:rsidR="000A4BAB" w:rsidRPr="00B810CC" w:rsidRDefault="000A4BAB" w:rsidP="000A4BAB">
            <w:pPr>
              <w:jc w:val="right"/>
              <w:rPr>
                <w:sz w:val="22"/>
                <w:szCs w:val="22"/>
              </w:rPr>
            </w:pPr>
            <w:r w:rsidRPr="00B810CC">
              <w:rPr>
                <w:rFonts w:cs="Calibri"/>
                <w:color w:val="000000"/>
                <w:sz w:val="22"/>
                <w:szCs w:val="22"/>
              </w:rPr>
              <w:t>50</w:t>
            </w:r>
          </w:p>
        </w:tc>
        <w:tc>
          <w:tcPr>
            <w:tcW w:w="1701" w:type="dxa"/>
          </w:tcPr>
          <w:p w14:paraId="0A622422" w14:textId="3AB69042" w:rsidR="000A4BAB" w:rsidRPr="00B810CC" w:rsidRDefault="000A4BAB" w:rsidP="000A4BAB">
            <w:pPr>
              <w:jc w:val="right"/>
              <w:rPr>
                <w:sz w:val="22"/>
                <w:szCs w:val="22"/>
              </w:rPr>
            </w:pPr>
            <w:r w:rsidRPr="00B810CC">
              <w:rPr>
                <w:rFonts w:cs="Calibri"/>
                <w:color w:val="000000"/>
                <w:sz w:val="22"/>
                <w:szCs w:val="22"/>
              </w:rPr>
              <w:t>5</w:t>
            </w:r>
          </w:p>
        </w:tc>
        <w:tc>
          <w:tcPr>
            <w:tcW w:w="1417" w:type="dxa"/>
          </w:tcPr>
          <w:p w14:paraId="7210F4CE" w14:textId="21861ABC" w:rsidR="000A4BAB" w:rsidRPr="00B810CC" w:rsidRDefault="000A4BAB" w:rsidP="000A4BAB">
            <w:pPr>
              <w:jc w:val="right"/>
              <w:rPr>
                <w:sz w:val="22"/>
                <w:szCs w:val="22"/>
              </w:rPr>
            </w:pPr>
            <w:r w:rsidRPr="00B810CC">
              <w:rPr>
                <w:rFonts w:cs="Calibri"/>
                <w:color w:val="000000"/>
                <w:sz w:val="22"/>
                <w:szCs w:val="22"/>
              </w:rPr>
              <w:t>10.0%</w:t>
            </w:r>
          </w:p>
        </w:tc>
        <w:tc>
          <w:tcPr>
            <w:tcW w:w="1418" w:type="dxa"/>
          </w:tcPr>
          <w:p w14:paraId="32AAAEA1" w14:textId="77777777" w:rsidR="000A4BAB" w:rsidRDefault="000A4BAB" w:rsidP="000A4BAB">
            <w:pPr>
              <w:spacing w:after="0"/>
              <w:jc w:val="right"/>
              <w:rPr>
                <w:rFonts w:cs="Calibri"/>
                <w:color w:val="000000"/>
                <w:sz w:val="22"/>
                <w:szCs w:val="22"/>
                <w:lang w:eastAsia="en-IE"/>
              </w:rPr>
            </w:pPr>
            <w:r>
              <w:rPr>
                <w:rFonts w:cs="Calibri"/>
                <w:color w:val="000000"/>
                <w:sz w:val="22"/>
                <w:szCs w:val="22"/>
              </w:rPr>
              <w:t>53</w:t>
            </w:r>
          </w:p>
          <w:p w14:paraId="0F8C757B" w14:textId="72995BB9" w:rsidR="000A4BAB" w:rsidRPr="00B810CC" w:rsidRDefault="000A4BAB" w:rsidP="000A4BAB">
            <w:pPr>
              <w:jc w:val="right"/>
              <w:rPr>
                <w:sz w:val="22"/>
                <w:szCs w:val="22"/>
              </w:rPr>
            </w:pPr>
          </w:p>
        </w:tc>
        <w:tc>
          <w:tcPr>
            <w:tcW w:w="1559" w:type="dxa"/>
          </w:tcPr>
          <w:p w14:paraId="0E0BA478" w14:textId="77777777" w:rsidR="000A4BAB" w:rsidRDefault="000A4BAB" w:rsidP="000A4BAB">
            <w:pPr>
              <w:spacing w:after="0"/>
              <w:jc w:val="right"/>
              <w:rPr>
                <w:rFonts w:cs="Calibri"/>
                <w:color w:val="000000"/>
                <w:sz w:val="22"/>
                <w:szCs w:val="22"/>
                <w:lang w:eastAsia="en-IE"/>
              </w:rPr>
            </w:pPr>
            <w:r>
              <w:rPr>
                <w:rFonts w:cs="Calibri"/>
                <w:color w:val="000000"/>
                <w:sz w:val="22"/>
                <w:szCs w:val="22"/>
              </w:rPr>
              <w:t>4</w:t>
            </w:r>
          </w:p>
          <w:p w14:paraId="1A839FDD" w14:textId="313C5519" w:rsidR="000A4BAB" w:rsidRPr="00B810CC" w:rsidRDefault="000A4BAB" w:rsidP="000A4BAB">
            <w:pPr>
              <w:jc w:val="right"/>
              <w:rPr>
                <w:sz w:val="22"/>
                <w:szCs w:val="22"/>
              </w:rPr>
            </w:pPr>
          </w:p>
        </w:tc>
        <w:tc>
          <w:tcPr>
            <w:tcW w:w="1417" w:type="dxa"/>
          </w:tcPr>
          <w:p w14:paraId="3068BCDE" w14:textId="77777777" w:rsidR="000A4BAB" w:rsidRDefault="000A4BAB" w:rsidP="000A4BAB">
            <w:pPr>
              <w:spacing w:after="0"/>
              <w:jc w:val="right"/>
              <w:rPr>
                <w:rFonts w:cs="Calibri"/>
                <w:color w:val="000000"/>
                <w:sz w:val="22"/>
                <w:szCs w:val="22"/>
                <w:lang w:eastAsia="en-IE"/>
              </w:rPr>
            </w:pPr>
            <w:r>
              <w:rPr>
                <w:rFonts w:cs="Calibri"/>
                <w:color w:val="000000"/>
                <w:sz w:val="22"/>
                <w:szCs w:val="22"/>
              </w:rPr>
              <w:t>7.5%</w:t>
            </w:r>
          </w:p>
          <w:p w14:paraId="4698B342" w14:textId="11B03DB7" w:rsidR="000A4BAB" w:rsidRPr="00B810CC" w:rsidRDefault="000A4BAB" w:rsidP="000A4BAB">
            <w:pPr>
              <w:jc w:val="right"/>
              <w:rPr>
                <w:sz w:val="22"/>
                <w:szCs w:val="22"/>
              </w:rPr>
            </w:pPr>
          </w:p>
        </w:tc>
      </w:tr>
      <w:tr w:rsidR="000A4BAB" w:rsidRPr="00B810CC" w14:paraId="7888FFCF" w14:textId="77777777" w:rsidTr="004A3088">
        <w:trPr>
          <w:jc w:val="center"/>
        </w:trPr>
        <w:tc>
          <w:tcPr>
            <w:tcW w:w="2137" w:type="dxa"/>
          </w:tcPr>
          <w:p w14:paraId="72ACAC67" w14:textId="7BEA42CF" w:rsidR="000A4BAB" w:rsidRPr="00B810CC" w:rsidRDefault="000A4BAB" w:rsidP="000A4BAB">
            <w:pPr>
              <w:rPr>
                <w:sz w:val="22"/>
                <w:szCs w:val="22"/>
              </w:rPr>
            </w:pPr>
            <w:r w:rsidRPr="00B810CC">
              <w:rPr>
                <w:rFonts w:cs="Calibri"/>
                <w:color w:val="000000"/>
                <w:sz w:val="22"/>
                <w:szCs w:val="22"/>
              </w:rPr>
              <w:t>Munster Technological University (MTU).</w:t>
            </w:r>
          </w:p>
        </w:tc>
        <w:tc>
          <w:tcPr>
            <w:tcW w:w="1701" w:type="dxa"/>
          </w:tcPr>
          <w:p w14:paraId="655EEB3E" w14:textId="5F2E1F61" w:rsidR="000A4BAB" w:rsidRPr="00B810CC" w:rsidRDefault="000A4BAB" w:rsidP="000A4BAB">
            <w:pPr>
              <w:jc w:val="right"/>
              <w:rPr>
                <w:sz w:val="22"/>
                <w:szCs w:val="22"/>
              </w:rPr>
            </w:pPr>
            <w:r w:rsidRPr="00B810CC">
              <w:rPr>
                <w:rFonts w:cs="Calibri"/>
                <w:color w:val="000000"/>
                <w:sz w:val="22"/>
                <w:szCs w:val="22"/>
              </w:rPr>
              <w:t>1,867</w:t>
            </w:r>
          </w:p>
        </w:tc>
        <w:tc>
          <w:tcPr>
            <w:tcW w:w="1701" w:type="dxa"/>
          </w:tcPr>
          <w:p w14:paraId="0573A53C" w14:textId="70B69D70" w:rsidR="000A4BAB" w:rsidRPr="00B810CC" w:rsidRDefault="000A4BAB" w:rsidP="000A4BAB">
            <w:pPr>
              <w:jc w:val="right"/>
              <w:rPr>
                <w:sz w:val="22"/>
                <w:szCs w:val="22"/>
              </w:rPr>
            </w:pPr>
            <w:r w:rsidRPr="00B810CC">
              <w:rPr>
                <w:rFonts w:cs="Calibri"/>
                <w:color w:val="000000"/>
                <w:sz w:val="22"/>
                <w:szCs w:val="22"/>
              </w:rPr>
              <w:t>59</w:t>
            </w:r>
          </w:p>
        </w:tc>
        <w:tc>
          <w:tcPr>
            <w:tcW w:w="1417" w:type="dxa"/>
          </w:tcPr>
          <w:p w14:paraId="40969E01" w14:textId="55EF3E82" w:rsidR="000A4BAB" w:rsidRPr="00B810CC" w:rsidRDefault="000A4BAB" w:rsidP="000A4BAB">
            <w:pPr>
              <w:jc w:val="right"/>
              <w:rPr>
                <w:sz w:val="22"/>
                <w:szCs w:val="22"/>
              </w:rPr>
            </w:pPr>
            <w:r w:rsidRPr="00B810CC">
              <w:rPr>
                <w:rFonts w:cs="Calibri"/>
                <w:color w:val="000000"/>
                <w:sz w:val="22"/>
                <w:szCs w:val="22"/>
              </w:rPr>
              <w:t>3.2%</w:t>
            </w:r>
          </w:p>
        </w:tc>
        <w:tc>
          <w:tcPr>
            <w:tcW w:w="1418" w:type="dxa"/>
          </w:tcPr>
          <w:p w14:paraId="44140780" w14:textId="77777777" w:rsidR="000A4BAB" w:rsidRDefault="000A4BAB" w:rsidP="000A4BAB">
            <w:pPr>
              <w:spacing w:after="0"/>
              <w:jc w:val="right"/>
              <w:rPr>
                <w:rFonts w:cs="Calibri"/>
                <w:color w:val="000000"/>
                <w:sz w:val="22"/>
                <w:szCs w:val="22"/>
                <w:lang w:eastAsia="en-IE"/>
              </w:rPr>
            </w:pPr>
            <w:r>
              <w:rPr>
                <w:rFonts w:cs="Calibri"/>
                <w:color w:val="000000"/>
                <w:sz w:val="22"/>
                <w:szCs w:val="22"/>
              </w:rPr>
              <w:t>1949</w:t>
            </w:r>
          </w:p>
          <w:p w14:paraId="6D385078" w14:textId="56D19B5E" w:rsidR="000A4BAB" w:rsidRPr="00B810CC" w:rsidRDefault="000A4BAB" w:rsidP="000A4BAB">
            <w:pPr>
              <w:jc w:val="right"/>
              <w:rPr>
                <w:sz w:val="22"/>
                <w:szCs w:val="22"/>
              </w:rPr>
            </w:pPr>
          </w:p>
        </w:tc>
        <w:tc>
          <w:tcPr>
            <w:tcW w:w="1559" w:type="dxa"/>
          </w:tcPr>
          <w:p w14:paraId="27333135" w14:textId="77777777" w:rsidR="000A4BAB" w:rsidRDefault="000A4BAB" w:rsidP="000A4BAB">
            <w:pPr>
              <w:spacing w:after="0"/>
              <w:jc w:val="right"/>
              <w:rPr>
                <w:rFonts w:cs="Calibri"/>
                <w:color w:val="000000"/>
                <w:sz w:val="22"/>
                <w:szCs w:val="22"/>
                <w:lang w:eastAsia="en-IE"/>
              </w:rPr>
            </w:pPr>
            <w:r>
              <w:rPr>
                <w:rFonts w:cs="Calibri"/>
                <w:color w:val="000000"/>
                <w:sz w:val="22"/>
                <w:szCs w:val="22"/>
              </w:rPr>
              <w:t>74</w:t>
            </w:r>
          </w:p>
          <w:p w14:paraId="24741012" w14:textId="1993D150" w:rsidR="000A4BAB" w:rsidRPr="00B810CC" w:rsidRDefault="000A4BAB" w:rsidP="000A4BAB">
            <w:pPr>
              <w:jc w:val="right"/>
              <w:rPr>
                <w:sz w:val="22"/>
                <w:szCs w:val="22"/>
              </w:rPr>
            </w:pPr>
          </w:p>
        </w:tc>
        <w:tc>
          <w:tcPr>
            <w:tcW w:w="1417" w:type="dxa"/>
          </w:tcPr>
          <w:p w14:paraId="3D9F99EC" w14:textId="77777777" w:rsidR="000A4BAB" w:rsidRDefault="000A4BAB" w:rsidP="000A4BAB">
            <w:pPr>
              <w:spacing w:after="0"/>
              <w:jc w:val="right"/>
              <w:rPr>
                <w:rFonts w:cs="Calibri"/>
                <w:color w:val="000000"/>
                <w:sz w:val="22"/>
                <w:szCs w:val="22"/>
                <w:lang w:eastAsia="en-IE"/>
              </w:rPr>
            </w:pPr>
            <w:r>
              <w:rPr>
                <w:rFonts w:cs="Calibri"/>
                <w:color w:val="000000"/>
                <w:sz w:val="22"/>
                <w:szCs w:val="22"/>
              </w:rPr>
              <w:t>3.8%</w:t>
            </w:r>
          </w:p>
          <w:p w14:paraId="13993B6A" w14:textId="0060B887" w:rsidR="000A4BAB" w:rsidRPr="00B810CC" w:rsidRDefault="000A4BAB" w:rsidP="000A4BAB">
            <w:pPr>
              <w:jc w:val="right"/>
              <w:rPr>
                <w:sz w:val="22"/>
                <w:szCs w:val="22"/>
              </w:rPr>
            </w:pPr>
          </w:p>
        </w:tc>
      </w:tr>
      <w:tr w:rsidR="000A4BAB" w:rsidRPr="00B810CC" w14:paraId="5B0BE19C" w14:textId="77777777" w:rsidTr="004A3088">
        <w:trPr>
          <w:jc w:val="center"/>
        </w:trPr>
        <w:tc>
          <w:tcPr>
            <w:tcW w:w="2137" w:type="dxa"/>
          </w:tcPr>
          <w:p w14:paraId="1628B0F7" w14:textId="73392B6F" w:rsidR="000A4BAB" w:rsidRPr="00B810CC" w:rsidRDefault="000A4BAB" w:rsidP="000A4BAB">
            <w:pPr>
              <w:rPr>
                <w:sz w:val="22"/>
                <w:szCs w:val="22"/>
              </w:rPr>
            </w:pPr>
            <w:r w:rsidRPr="00B810CC">
              <w:rPr>
                <w:rFonts w:cs="Calibri"/>
                <w:color w:val="000000"/>
                <w:sz w:val="22"/>
                <w:szCs w:val="22"/>
              </w:rPr>
              <w:t>National College of Art &amp; Design (NCAD)</w:t>
            </w:r>
          </w:p>
        </w:tc>
        <w:tc>
          <w:tcPr>
            <w:tcW w:w="1701" w:type="dxa"/>
          </w:tcPr>
          <w:p w14:paraId="3219A1F6" w14:textId="7F1DA4B5" w:rsidR="000A4BAB" w:rsidRPr="00B810CC" w:rsidRDefault="000A4BAB" w:rsidP="000A4BAB">
            <w:pPr>
              <w:jc w:val="right"/>
              <w:rPr>
                <w:sz w:val="22"/>
                <w:szCs w:val="22"/>
              </w:rPr>
            </w:pPr>
            <w:r w:rsidRPr="00B810CC">
              <w:rPr>
                <w:rFonts w:cs="Calibri"/>
                <w:color w:val="000000"/>
                <w:sz w:val="22"/>
                <w:szCs w:val="22"/>
              </w:rPr>
              <w:t>166</w:t>
            </w:r>
          </w:p>
        </w:tc>
        <w:tc>
          <w:tcPr>
            <w:tcW w:w="1701" w:type="dxa"/>
          </w:tcPr>
          <w:p w14:paraId="1C6736FB" w14:textId="765A368C" w:rsidR="000A4BAB" w:rsidRPr="00B810CC" w:rsidRDefault="000A4BAB" w:rsidP="000A4BAB">
            <w:pPr>
              <w:jc w:val="right"/>
              <w:rPr>
                <w:sz w:val="22"/>
                <w:szCs w:val="22"/>
              </w:rPr>
            </w:pPr>
            <w:r w:rsidRPr="00B810CC">
              <w:rPr>
                <w:rFonts w:cs="Calibri"/>
                <w:color w:val="000000"/>
                <w:sz w:val="22"/>
                <w:szCs w:val="22"/>
              </w:rPr>
              <w:t>11</w:t>
            </w:r>
          </w:p>
        </w:tc>
        <w:tc>
          <w:tcPr>
            <w:tcW w:w="1417" w:type="dxa"/>
          </w:tcPr>
          <w:p w14:paraId="3EB50224" w14:textId="4EE39498" w:rsidR="000A4BAB" w:rsidRPr="00B810CC" w:rsidRDefault="000A4BAB" w:rsidP="000A4BAB">
            <w:pPr>
              <w:jc w:val="right"/>
              <w:rPr>
                <w:sz w:val="22"/>
                <w:szCs w:val="22"/>
              </w:rPr>
            </w:pPr>
            <w:r w:rsidRPr="00B810CC">
              <w:rPr>
                <w:rFonts w:cs="Calibri"/>
                <w:color w:val="000000"/>
                <w:sz w:val="22"/>
                <w:szCs w:val="22"/>
              </w:rPr>
              <w:t>6.6%</w:t>
            </w:r>
          </w:p>
        </w:tc>
        <w:tc>
          <w:tcPr>
            <w:tcW w:w="1418" w:type="dxa"/>
          </w:tcPr>
          <w:p w14:paraId="442AADDF" w14:textId="77777777" w:rsidR="000A4BAB" w:rsidRDefault="000A4BAB" w:rsidP="000A4BAB">
            <w:pPr>
              <w:spacing w:after="0"/>
              <w:jc w:val="right"/>
              <w:rPr>
                <w:rFonts w:cs="Calibri"/>
                <w:color w:val="000000"/>
                <w:sz w:val="22"/>
                <w:szCs w:val="22"/>
                <w:lang w:eastAsia="en-IE"/>
              </w:rPr>
            </w:pPr>
            <w:r>
              <w:rPr>
                <w:rFonts w:cs="Calibri"/>
                <w:color w:val="000000"/>
                <w:sz w:val="22"/>
                <w:szCs w:val="22"/>
              </w:rPr>
              <w:t>168</w:t>
            </w:r>
          </w:p>
          <w:p w14:paraId="411FF971" w14:textId="343885B1" w:rsidR="000A4BAB" w:rsidRPr="00B810CC" w:rsidRDefault="000A4BAB" w:rsidP="000A4BAB">
            <w:pPr>
              <w:jc w:val="right"/>
              <w:rPr>
                <w:sz w:val="22"/>
                <w:szCs w:val="22"/>
              </w:rPr>
            </w:pPr>
          </w:p>
        </w:tc>
        <w:tc>
          <w:tcPr>
            <w:tcW w:w="1559" w:type="dxa"/>
          </w:tcPr>
          <w:p w14:paraId="769D3883" w14:textId="77777777" w:rsidR="000A4BAB" w:rsidRDefault="000A4BAB" w:rsidP="000A4BAB">
            <w:pPr>
              <w:spacing w:after="0"/>
              <w:jc w:val="right"/>
              <w:rPr>
                <w:rFonts w:cs="Calibri"/>
                <w:color w:val="000000"/>
                <w:sz w:val="22"/>
                <w:szCs w:val="22"/>
                <w:lang w:eastAsia="en-IE"/>
              </w:rPr>
            </w:pPr>
            <w:r>
              <w:rPr>
                <w:rFonts w:cs="Calibri"/>
                <w:color w:val="000000"/>
                <w:sz w:val="22"/>
                <w:szCs w:val="22"/>
              </w:rPr>
              <w:t>12</w:t>
            </w:r>
          </w:p>
          <w:p w14:paraId="02B14024" w14:textId="5F680299" w:rsidR="000A4BAB" w:rsidRPr="00B810CC" w:rsidRDefault="000A4BAB" w:rsidP="000A4BAB">
            <w:pPr>
              <w:jc w:val="right"/>
              <w:rPr>
                <w:sz w:val="22"/>
                <w:szCs w:val="22"/>
              </w:rPr>
            </w:pPr>
          </w:p>
        </w:tc>
        <w:tc>
          <w:tcPr>
            <w:tcW w:w="1417" w:type="dxa"/>
          </w:tcPr>
          <w:p w14:paraId="4FC02E5A" w14:textId="77777777" w:rsidR="000A4BAB" w:rsidRDefault="000A4BAB" w:rsidP="000A4BAB">
            <w:pPr>
              <w:spacing w:after="0"/>
              <w:jc w:val="right"/>
              <w:rPr>
                <w:rFonts w:cs="Calibri"/>
                <w:color w:val="000000"/>
                <w:sz w:val="22"/>
                <w:szCs w:val="22"/>
                <w:lang w:eastAsia="en-IE"/>
              </w:rPr>
            </w:pPr>
            <w:r>
              <w:rPr>
                <w:rFonts w:cs="Calibri"/>
                <w:color w:val="000000"/>
                <w:sz w:val="22"/>
                <w:szCs w:val="22"/>
              </w:rPr>
              <w:t>7.1%</w:t>
            </w:r>
          </w:p>
          <w:p w14:paraId="64F6619E" w14:textId="2321B6A1" w:rsidR="000A4BAB" w:rsidRPr="00B810CC" w:rsidRDefault="000A4BAB" w:rsidP="000A4BAB">
            <w:pPr>
              <w:jc w:val="right"/>
              <w:rPr>
                <w:sz w:val="22"/>
                <w:szCs w:val="22"/>
              </w:rPr>
            </w:pPr>
          </w:p>
        </w:tc>
      </w:tr>
      <w:tr w:rsidR="000A4BAB" w:rsidRPr="00B810CC" w14:paraId="79BDF456" w14:textId="77777777" w:rsidTr="004A3088">
        <w:trPr>
          <w:jc w:val="center"/>
        </w:trPr>
        <w:tc>
          <w:tcPr>
            <w:tcW w:w="2137" w:type="dxa"/>
          </w:tcPr>
          <w:p w14:paraId="596975FD" w14:textId="73442DF8" w:rsidR="000A4BAB" w:rsidRPr="00B810CC" w:rsidRDefault="000A4BAB" w:rsidP="000A4BAB">
            <w:pPr>
              <w:rPr>
                <w:sz w:val="22"/>
                <w:szCs w:val="22"/>
              </w:rPr>
            </w:pPr>
            <w:r w:rsidRPr="00B810CC">
              <w:rPr>
                <w:rFonts w:cs="Calibri"/>
                <w:color w:val="000000"/>
                <w:sz w:val="22"/>
                <w:szCs w:val="22"/>
              </w:rPr>
              <w:t>Quality &amp; Qualifications Ireland</w:t>
            </w:r>
          </w:p>
        </w:tc>
        <w:tc>
          <w:tcPr>
            <w:tcW w:w="1701" w:type="dxa"/>
          </w:tcPr>
          <w:p w14:paraId="3DE03F94" w14:textId="21492784" w:rsidR="000A4BAB" w:rsidRPr="00B810CC" w:rsidRDefault="000A4BAB" w:rsidP="000A4BAB">
            <w:pPr>
              <w:jc w:val="right"/>
              <w:rPr>
                <w:sz w:val="22"/>
                <w:szCs w:val="22"/>
              </w:rPr>
            </w:pPr>
            <w:r w:rsidRPr="00B810CC">
              <w:rPr>
                <w:rFonts w:cs="Calibri"/>
                <w:color w:val="000000"/>
                <w:sz w:val="22"/>
                <w:szCs w:val="22"/>
              </w:rPr>
              <w:t>80</w:t>
            </w:r>
          </w:p>
        </w:tc>
        <w:tc>
          <w:tcPr>
            <w:tcW w:w="1701" w:type="dxa"/>
          </w:tcPr>
          <w:p w14:paraId="5EF3F458" w14:textId="088E574C" w:rsidR="000A4BAB" w:rsidRPr="00B810CC" w:rsidRDefault="000A4BAB" w:rsidP="000A4BAB">
            <w:pPr>
              <w:jc w:val="right"/>
              <w:rPr>
                <w:sz w:val="22"/>
                <w:szCs w:val="22"/>
              </w:rPr>
            </w:pPr>
            <w:r w:rsidRPr="00B810CC">
              <w:rPr>
                <w:rFonts w:cs="Calibri"/>
                <w:color w:val="000000"/>
                <w:sz w:val="22"/>
                <w:szCs w:val="22"/>
              </w:rPr>
              <w:t>3</w:t>
            </w:r>
          </w:p>
        </w:tc>
        <w:tc>
          <w:tcPr>
            <w:tcW w:w="1417" w:type="dxa"/>
          </w:tcPr>
          <w:p w14:paraId="4FF1BD2B" w14:textId="3C1574BA" w:rsidR="000A4BAB" w:rsidRPr="00B810CC" w:rsidRDefault="000A4BAB" w:rsidP="000A4BAB">
            <w:pPr>
              <w:jc w:val="right"/>
              <w:rPr>
                <w:sz w:val="22"/>
                <w:szCs w:val="22"/>
              </w:rPr>
            </w:pPr>
            <w:r w:rsidRPr="00B810CC">
              <w:rPr>
                <w:rFonts w:cs="Calibri"/>
                <w:color w:val="000000"/>
                <w:sz w:val="22"/>
                <w:szCs w:val="22"/>
              </w:rPr>
              <w:t>3.8%</w:t>
            </w:r>
          </w:p>
        </w:tc>
        <w:tc>
          <w:tcPr>
            <w:tcW w:w="1418" w:type="dxa"/>
          </w:tcPr>
          <w:p w14:paraId="36BCD778" w14:textId="77777777" w:rsidR="000A4BAB" w:rsidRDefault="000A4BAB" w:rsidP="000A4BAB">
            <w:pPr>
              <w:spacing w:after="0"/>
              <w:jc w:val="right"/>
              <w:rPr>
                <w:rFonts w:cs="Calibri"/>
                <w:color w:val="000000"/>
                <w:sz w:val="22"/>
                <w:szCs w:val="22"/>
                <w:lang w:eastAsia="en-IE"/>
              </w:rPr>
            </w:pPr>
            <w:r>
              <w:rPr>
                <w:rFonts w:cs="Calibri"/>
                <w:color w:val="000000"/>
                <w:sz w:val="22"/>
                <w:szCs w:val="22"/>
              </w:rPr>
              <w:t>82</w:t>
            </w:r>
          </w:p>
          <w:p w14:paraId="07F2F55D" w14:textId="7865FE6A" w:rsidR="000A4BAB" w:rsidRPr="00B810CC" w:rsidRDefault="000A4BAB" w:rsidP="000A4BAB">
            <w:pPr>
              <w:jc w:val="right"/>
              <w:rPr>
                <w:sz w:val="22"/>
                <w:szCs w:val="22"/>
              </w:rPr>
            </w:pPr>
          </w:p>
        </w:tc>
        <w:tc>
          <w:tcPr>
            <w:tcW w:w="1559" w:type="dxa"/>
          </w:tcPr>
          <w:p w14:paraId="3E853DCB" w14:textId="77777777" w:rsidR="000A4BAB" w:rsidRDefault="000A4BAB" w:rsidP="000A4BAB">
            <w:pPr>
              <w:spacing w:after="0"/>
              <w:jc w:val="right"/>
              <w:rPr>
                <w:rFonts w:cs="Calibri"/>
                <w:color w:val="000000"/>
                <w:sz w:val="22"/>
                <w:szCs w:val="22"/>
                <w:lang w:eastAsia="en-IE"/>
              </w:rPr>
            </w:pPr>
            <w:r>
              <w:rPr>
                <w:rFonts w:cs="Calibri"/>
                <w:color w:val="000000"/>
                <w:sz w:val="22"/>
                <w:szCs w:val="22"/>
              </w:rPr>
              <w:t>4</w:t>
            </w:r>
          </w:p>
          <w:p w14:paraId="0EBBA2FE" w14:textId="47007A70" w:rsidR="000A4BAB" w:rsidRPr="00B810CC" w:rsidRDefault="000A4BAB" w:rsidP="000A4BAB">
            <w:pPr>
              <w:jc w:val="right"/>
              <w:rPr>
                <w:sz w:val="22"/>
                <w:szCs w:val="22"/>
              </w:rPr>
            </w:pPr>
          </w:p>
        </w:tc>
        <w:tc>
          <w:tcPr>
            <w:tcW w:w="1417" w:type="dxa"/>
          </w:tcPr>
          <w:p w14:paraId="0C96AD15" w14:textId="77777777" w:rsidR="000A4BAB" w:rsidRDefault="000A4BAB" w:rsidP="000A4BAB">
            <w:pPr>
              <w:spacing w:after="0"/>
              <w:jc w:val="right"/>
              <w:rPr>
                <w:rFonts w:cs="Calibri"/>
                <w:color w:val="000000"/>
                <w:sz w:val="22"/>
                <w:szCs w:val="22"/>
                <w:lang w:eastAsia="en-IE"/>
              </w:rPr>
            </w:pPr>
            <w:r>
              <w:rPr>
                <w:rFonts w:cs="Calibri"/>
                <w:color w:val="000000"/>
                <w:sz w:val="22"/>
                <w:szCs w:val="22"/>
              </w:rPr>
              <w:t>4.9%</w:t>
            </w:r>
          </w:p>
          <w:p w14:paraId="4F689236" w14:textId="776DB688" w:rsidR="000A4BAB" w:rsidRPr="00B810CC" w:rsidRDefault="000A4BAB" w:rsidP="000A4BAB">
            <w:pPr>
              <w:jc w:val="right"/>
              <w:rPr>
                <w:sz w:val="22"/>
                <w:szCs w:val="22"/>
              </w:rPr>
            </w:pPr>
          </w:p>
        </w:tc>
      </w:tr>
      <w:tr w:rsidR="000A4BAB" w:rsidRPr="00B810CC" w14:paraId="6BE7AA2A" w14:textId="77777777" w:rsidTr="004A3088">
        <w:trPr>
          <w:trHeight w:val="511"/>
          <w:jc w:val="center"/>
        </w:trPr>
        <w:tc>
          <w:tcPr>
            <w:tcW w:w="2137" w:type="dxa"/>
          </w:tcPr>
          <w:p w14:paraId="131FD7D1" w14:textId="13AF42C2" w:rsidR="000A4BAB" w:rsidRPr="00B810CC" w:rsidRDefault="000A4BAB" w:rsidP="000A4BAB">
            <w:pPr>
              <w:spacing w:after="120"/>
              <w:rPr>
                <w:sz w:val="22"/>
                <w:szCs w:val="22"/>
              </w:rPr>
            </w:pPr>
            <w:r w:rsidRPr="00B810CC">
              <w:rPr>
                <w:rFonts w:cs="Calibri"/>
                <w:color w:val="000000"/>
                <w:sz w:val="22"/>
                <w:szCs w:val="22"/>
              </w:rPr>
              <w:t xml:space="preserve">Science Foundation Ireland </w:t>
            </w:r>
          </w:p>
        </w:tc>
        <w:tc>
          <w:tcPr>
            <w:tcW w:w="1701" w:type="dxa"/>
          </w:tcPr>
          <w:p w14:paraId="47A71C5B" w14:textId="361EC1C3" w:rsidR="000A4BAB" w:rsidRPr="00B810CC" w:rsidRDefault="000A4BAB" w:rsidP="000A4BAB">
            <w:pPr>
              <w:jc w:val="right"/>
              <w:rPr>
                <w:sz w:val="22"/>
                <w:szCs w:val="22"/>
              </w:rPr>
            </w:pPr>
            <w:r w:rsidRPr="00B810CC">
              <w:rPr>
                <w:rFonts w:cs="Calibri"/>
                <w:color w:val="000000"/>
                <w:sz w:val="22"/>
                <w:szCs w:val="22"/>
              </w:rPr>
              <w:t>84</w:t>
            </w:r>
          </w:p>
        </w:tc>
        <w:tc>
          <w:tcPr>
            <w:tcW w:w="1701" w:type="dxa"/>
          </w:tcPr>
          <w:p w14:paraId="70F7A812" w14:textId="6A679040" w:rsidR="000A4BAB" w:rsidRPr="00B810CC" w:rsidRDefault="000A4BAB" w:rsidP="000A4BAB">
            <w:pPr>
              <w:jc w:val="right"/>
              <w:rPr>
                <w:sz w:val="22"/>
                <w:szCs w:val="22"/>
              </w:rPr>
            </w:pPr>
            <w:r w:rsidRPr="00B810CC">
              <w:rPr>
                <w:rFonts w:cs="Calibri"/>
                <w:color w:val="000000"/>
                <w:sz w:val="22"/>
                <w:szCs w:val="22"/>
              </w:rPr>
              <w:t>3</w:t>
            </w:r>
          </w:p>
        </w:tc>
        <w:tc>
          <w:tcPr>
            <w:tcW w:w="1417" w:type="dxa"/>
          </w:tcPr>
          <w:p w14:paraId="67F7B2A6" w14:textId="3B5A95F6" w:rsidR="000A4BAB" w:rsidRPr="00B810CC" w:rsidRDefault="000A4BAB" w:rsidP="000A4BAB">
            <w:pPr>
              <w:jc w:val="right"/>
              <w:rPr>
                <w:sz w:val="22"/>
                <w:szCs w:val="22"/>
              </w:rPr>
            </w:pPr>
            <w:r w:rsidRPr="00B810CC">
              <w:rPr>
                <w:rFonts w:cs="Calibri"/>
                <w:color w:val="000000"/>
                <w:sz w:val="22"/>
                <w:szCs w:val="22"/>
              </w:rPr>
              <w:t>3.6%</w:t>
            </w:r>
          </w:p>
        </w:tc>
        <w:tc>
          <w:tcPr>
            <w:tcW w:w="1418" w:type="dxa"/>
          </w:tcPr>
          <w:p w14:paraId="4E2156E0" w14:textId="77777777" w:rsidR="000A4BAB" w:rsidRDefault="000A4BAB" w:rsidP="000A4BAB">
            <w:pPr>
              <w:spacing w:after="0"/>
              <w:jc w:val="right"/>
              <w:rPr>
                <w:rFonts w:cs="Calibri"/>
                <w:color w:val="000000"/>
                <w:sz w:val="22"/>
                <w:szCs w:val="22"/>
                <w:lang w:eastAsia="en-IE"/>
              </w:rPr>
            </w:pPr>
            <w:r>
              <w:rPr>
                <w:rFonts w:cs="Calibri"/>
                <w:color w:val="000000"/>
                <w:sz w:val="22"/>
                <w:szCs w:val="22"/>
              </w:rPr>
              <w:t>101</w:t>
            </w:r>
          </w:p>
          <w:p w14:paraId="248D6ABD" w14:textId="69D894D1" w:rsidR="000A4BAB" w:rsidRPr="00B810CC" w:rsidRDefault="000A4BAB" w:rsidP="000A4BAB">
            <w:pPr>
              <w:jc w:val="right"/>
              <w:rPr>
                <w:sz w:val="22"/>
                <w:szCs w:val="22"/>
              </w:rPr>
            </w:pPr>
          </w:p>
        </w:tc>
        <w:tc>
          <w:tcPr>
            <w:tcW w:w="1559" w:type="dxa"/>
          </w:tcPr>
          <w:p w14:paraId="18E6AF54" w14:textId="77777777" w:rsidR="000A4BAB" w:rsidRDefault="000A4BAB" w:rsidP="000A4BAB">
            <w:pPr>
              <w:spacing w:after="0"/>
              <w:jc w:val="right"/>
              <w:rPr>
                <w:rFonts w:cs="Calibri"/>
                <w:color w:val="000000"/>
                <w:sz w:val="22"/>
                <w:szCs w:val="22"/>
                <w:lang w:eastAsia="en-IE"/>
              </w:rPr>
            </w:pPr>
            <w:r>
              <w:rPr>
                <w:rFonts w:cs="Calibri"/>
                <w:color w:val="000000"/>
                <w:sz w:val="22"/>
                <w:szCs w:val="22"/>
              </w:rPr>
              <w:t>3</w:t>
            </w:r>
          </w:p>
          <w:p w14:paraId="6044A5BB" w14:textId="1370CF97" w:rsidR="000A4BAB" w:rsidRPr="00B810CC" w:rsidRDefault="000A4BAB" w:rsidP="000A4BAB">
            <w:pPr>
              <w:jc w:val="right"/>
              <w:rPr>
                <w:sz w:val="22"/>
                <w:szCs w:val="22"/>
              </w:rPr>
            </w:pPr>
          </w:p>
        </w:tc>
        <w:tc>
          <w:tcPr>
            <w:tcW w:w="1417" w:type="dxa"/>
          </w:tcPr>
          <w:p w14:paraId="51F839D3" w14:textId="77777777" w:rsidR="000A4BAB" w:rsidRDefault="000A4BAB" w:rsidP="000A4BAB">
            <w:pPr>
              <w:spacing w:after="0"/>
              <w:jc w:val="right"/>
              <w:rPr>
                <w:rFonts w:cs="Calibri"/>
                <w:color w:val="000000"/>
                <w:sz w:val="22"/>
                <w:szCs w:val="22"/>
                <w:lang w:eastAsia="en-IE"/>
              </w:rPr>
            </w:pPr>
            <w:r>
              <w:rPr>
                <w:rFonts w:cs="Calibri"/>
                <w:color w:val="000000"/>
                <w:sz w:val="22"/>
                <w:szCs w:val="22"/>
              </w:rPr>
              <w:t>3.0%</w:t>
            </w:r>
          </w:p>
          <w:p w14:paraId="4496E54E" w14:textId="7BDE1FA4" w:rsidR="000A4BAB" w:rsidRPr="00B810CC" w:rsidRDefault="000A4BAB" w:rsidP="000A4BAB">
            <w:pPr>
              <w:jc w:val="right"/>
              <w:rPr>
                <w:sz w:val="22"/>
                <w:szCs w:val="22"/>
              </w:rPr>
            </w:pPr>
          </w:p>
        </w:tc>
      </w:tr>
      <w:tr w:rsidR="000A4BAB" w:rsidRPr="00B810CC" w14:paraId="5C9B65A9" w14:textId="77777777" w:rsidTr="004A3088">
        <w:trPr>
          <w:jc w:val="center"/>
        </w:trPr>
        <w:tc>
          <w:tcPr>
            <w:tcW w:w="2137" w:type="dxa"/>
          </w:tcPr>
          <w:p w14:paraId="4A33EE19" w14:textId="4C7FB2BC" w:rsidR="000A4BAB" w:rsidRPr="00B810CC" w:rsidRDefault="000A4BAB" w:rsidP="000A4BAB">
            <w:pPr>
              <w:pStyle w:val="TableHead"/>
              <w:rPr>
                <w:b w:val="0"/>
                <w:sz w:val="22"/>
                <w:szCs w:val="22"/>
              </w:rPr>
            </w:pPr>
            <w:r w:rsidRPr="00B810CC">
              <w:rPr>
                <w:rFonts w:cs="Calibri"/>
                <w:b w:val="0"/>
                <w:color w:val="000000"/>
                <w:sz w:val="22"/>
                <w:szCs w:val="22"/>
              </w:rPr>
              <w:t>SOLAS - Further Education &amp; Training Authority</w:t>
            </w:r>
          </w:p>
        </w:tc>
        <w:tc>
          <w:tcPr>
            <w:tcW w:w="1701" w:type="dxa"/>
          </w:tcPr>
          <w:p w14:paraId="45420375" w14:textId="5FEE1423" w:rsidR="000A4BAB" w:rsidRPr="00B810CC" w:rsidRDefault="000A4BAB" w:rsidP="000A4BAB">
            <w:pPr>
              <w:spacing w:after="0"/>
              <w:jc w:val="right"/>
              <w:rPr>
                <w:sz w:val="22"/>
                <w:szCs w:val="22"/>
              </w:rPr>
            </w:pPr>
            <w:r w:rsidRPr="00B810CC">
              <w:rPr>
                <w:rFonts w:cs="Calibri"/>
                <w:color w:val="000000"/>
                <w:sz w:val="22"/>
                <w:szCs w:val="22"/>
              </w:rPr>
              <w:t>221</w:t>
            </w:r>
          </w:p>
        </w:tc>
        <w:tc>
          <w:tcPr>
            <w:tcW w:w="1701" w:type="dxa"/>
          </w:tcPr>
          <w:p w14:paraId="108B7932" w14:textId="23B9FC77" w:rsidR="000A4BAB" w:rsidRPr="00B810CC" w:rsidRDefault="000A4BAB" w:rsidP="000A4BAB">
            <w:pPr>
              <w:pStyle w:val="TableHead"/>
              <w:jc w:val="right"/>
              <w:rPr>
                <w:b w:val="0"/>
                <w:sz w:val="22"/>
                <w:szCs w:val="22"/>
              </w:rPr>
            </w:pPr>
            <w:r w:rsidRPr="00B810CC">
              <w:rPr>
                <w:rFonts w:cs="Calibri"/>
                <w:b w:val="0"/>
                <w:color w:val="000000"/>
                <w:sz w:val="22"/>
                <w:szCs w:val="22"/>
              </w:rPr>
              <w:t>18</w:t>
            </w:r>
          </w:p>
        </w:tc>
        <w:tc>
          <w:tcPr>
            <w:tcW w:w="1417" w:type="dxa"/>
          </w:tcPr>
          <w:p w14:paraId="51B536E6" w14:textId="61704829" w:rsidR="000A4BAB" w:rsidRPr="00916962" w:rsidRDefault="000A4BAB" w:rsidP="000A4BAB">
            <w:pPr>
              <w:pStyle w:val="TableHead"/>
              <w:jc w:val="right"/>
              <w:rPr>
                <w:b w:val="0"/>
                <w:bCs/>
                <w:sz w:val="22"/>
                <w:szCs w:val="22"/>
              </w:rPr>
            </w:pPr>
            <w:r w:rsidRPr="00916962">
              <w:rPr>
                <w:rFonts w:cs="Calibri"/>
                <w:b w:val="0"/>
                <w:bCs/>
                <w:color w:val="000000"/>
                <w:sz w:val="22"/>
                <w:szCs w:val="22"/>
              </w:rPr>
              <w:t>8.1%</w:t>
            </w:r>
          </w:p>
        </w:tc>
        <w:tc>
          <w:tcPr>
            <w:tcW w:w="1418" w:type="dxa"/>
          </w:tcPr>
          <w:p w14:paraId="10038941" w14:textId="77777777" w:rsidR="000A4BAB" w:rsidRDefault="000A4BAB" w:rsidP="000A4BAB">
            <w:pPr>
              <w:spacing w:after="0"/>
              <w:jc w:val="right"/>
              <w:rPr>
                <w:rFonts w:cs="Calibri"/>
                <w:color w:val="000000"/>
                <w:sz w:val="22"/>
                <w:szCs w:val="22"/>
                <w:lang w:eastAsia="en-IE"/>
              </w:rPr>
            </w:pPr>
            <w:r>
              <w:rPr>
                <w:rFonts w:cs="Calibri"/>
                <w:color w:val="000000"/>
                <w:sz w:val="22"/>
                <w:szCs w:val="22"/>
              </w:rPr>
              <w:t>227</w:t>
            </w:r>
          </w:p>
          <w:p w14:paraId="3007F730" w14:textId="7C2C053C" w:rsidR="000A4BAB" w:rsidRPr="00B810CC" w:rsidRDefault="000A4BAB" w:rsidP="000A4BAB">
            <w:pPr>
              <w:pStyle w:val="TableHead"/>
              <w:jc w:val="right"/>
              <w:rPr>
                <w:b w:val="0"/>
                <w:sz w:val="22"/>
                <w:szCs w:val="22"/>
              </w:rPr>
            </w:pPr>
          </w:p>
        </w:tc>
        <w:tc>
          <w:tcPr>
            <w:tcW w:w="1559" w:type="dxa"/>
          </w:tcPr>
          <w:p w14:paraId="0BCE4AB6" w14:textId="77777777" w:rsidR="000A4BAB" w:rsidRDefault="000A4BAB" w:rsidP="000A4BAB">
            <w:pPr>
              <w:spacing w:after="0"/>
              <w:jc w:val="right"/>
              <w:rPr>
                <w:rFonts w:cs="Calibri"/>
                <w:color w:val="000000"/>
                <w:sz w:val="22"/>
                <w:szCs w:val="22"/>
                <w:lang w:eastAsia="en-IE"/>
              </w:rPr>
            </w:pPr>
            <w:r>
              <w:rPr>
                <w:rFonts w:cs="Calibri"/>
                <w:color w:val="000000"/>
                <w:sz w:val="22"/>
                <w:szCs w:val="22"/>
              </w:rPr>
              <w:t>16</w:t>
            </w:r>
          </w:p>
          <w:p w14:paraId="3CA2B9EA" w14:textId="36768729" w:rsidR="000A4BAB" w:rsidRPr="00B810CC" w:rsidRDefault="000A4BAB" w:rsidP="000A4BAB">
            <w:pPr>
              <w:pStyle w:val="TableHead"/>
              <w:jc w:val="right"/>
              <w:rPr>
                <w:b w:val="0"/>
                <w:sz w:val="22"/>
                <w:szCs w:val="22"/>
              </w:rPr>
            </w:pPr>
          </w:p>
        </w:tc>
        <w:tc>
          <w:tcPr>
            <w:tcW w:w="1417" w:type="dxa"/>
          </w:tcPr>
          <w:p w14:paraId="71CB0070" w14:textId="77777777" w:rsidR="000A4BAB" w:rsidRDefault="000A4BAB" w:rsidP="000A4BAB">
            <w:pPr>
              <w:spacing w:after="0"/>
              <w:jc w:val="right"/>
              <w:rPr>
                <w:rFonts w:cs="Calibri"/>
                <w:color w:val="000000"/>
                <w:sz w:val="22"/>
                <w:szCs w:val="22"/>
                <w:lang w:eastAsia="en-IE"/>
              </w:rPr>
            </w:pPr>
            <w:r>
              <w:rPr>
                <w:rFonts w:cs="Calibri"/>
                <w:color w:val="000000"/>
                <w:sz w:val="22"/>
                <w:szCs w:val="22"/>
              </w:rPr>
              <w:t>7.0%</w:t>
            </w:r>
          </w:p>
          <w:p w14:paraId="3B6E64AB" w14:textId="77777777" w:rsidR="000A4BAB" w:rsidRDefault="000A4BAB" w:rsidP="000A4BAB">
            <w:pPr>
              <w:spacing w:after="0"/>
              <w:jc w:val="right"/>
              <w:rPr>
                <w:sz w:val="22"/>
                <w:szCs w:val="22"/>
              </w:rPr>
            </w:pPr>
          </w:p>
          <w:p w14:paraId="49C318CE" w14:textId="35C75757" w:rsidR="000A4BAB" w:rsidRPr="00B810CC" w:rsidRDefault="000A4BAB" w:rsidP="000A4BAB">
            <w:pPr>
              <w:spacing w:after="0"/>
              <w:jc w:val="right"/>
              <w:rPr>
                <w:sz w:val="22"/>
                <w:szCs w:val="22"/>
              </w:rPr>
            </w:pPr>
          </w:p>
        </w:tc>
      </w:tr>
      <w:tr w:rsidR="000A4BAB" w:rsidRPr="00B810CC" w14:paraId="4F654018" w14:textId="77777777" w:rsidTr="004A3088">
        <w:trPr>
          <w:jc w:val="center"/>
        </w:trPr>
        <w:tc>
          <w:tcPr>
            <w:tcW w:w="2137" w:type="dxa"/>
          </w:tcPr>
          <w:p w14:paraId="34977C44" w14:textId="59F8C590" w:rsidR="000A4BAB" w:rsidRPr="00B810CC" w:rsidRDefault="000A4BAB" w:rsidP="000A4BAB">
            <w:pPr>
              <w:pStyle w:val="TableHead"/>
              <w:rPr>
                <w:b w:val="0"/>
                <w:sz w:val="22"/>
                <w:szCs w:val="22"/>
              </w:rPr>
            </w:pPr>
            <w:r w:rsidRPr="00B810CC">
              <w:rPr>
                <w:rFonts w:cs="Calibri"/>
                <w:b w:val="0"/>
                <w:color w:val="000000"/>
                <w:sz w:val="22"/>
                <w:szCs w:val="22"/>
              </w:rPr>
              <w:t>Technological University Dublin</w:t>
            </w:r>
          </w:p>
        </w:tc>
        <w:tc>
          <w:tcPr>
            <w:tcW w:w="1701" w:type="dxa"/>
          </w:tcPr>
          <w:p w14:paraId="3286F979" w14:textId="6352B21A" w:rsidR="000A4BAB" w:rsidRPr="00B810CC" w:rsidRDefault="000A4BAB" w:rsidP="000A4BAB">
            <w:pPr>
              <w:spacing w:after="0"/>
              <w:jc w:val="right"/>
              <w:rPr>
                <w:sz w:val="22"/>
                <w:szCs w:val="22"/>
              </w:rPr>
            </w:pPr>
            <w:r w:rsidRPr="00B810CC">
              <w:rPr>
                <w:rFonts w:cs="Calibri"/>
                <w:color w:val="000000"/>
                <w:sz w:val="22"/>
                <w:szCs w:val="22"/>
              </w:rPr>
              <w:t>3,275</w:t>
            </w:r>
          </w:p>
        </w:tc>
        <w:tc>
          <w:tcPr>
            <w:tcW w:w="1701" w:type="dxa"/>
          </w:tcPr>
          <w:p w14:paraId="7F1D5658" w14:textId="46C485D3" w:rsidR="000A4BAB" w:rsidRPr="00B810CC" w:rsidRDefault="000A4BAB" w:rsidP="000A4BAB">
            <w:pPr>
              <w:pStyle w:val="TableHead"/>
              <w:jc w:val="right"/>
              <w:rPr>
                <w:b w:val="0"/>
                <w:sz w:val="22"/>
                <w:szCs w:val="22"/>
              </w:rPr>
            </w:pPr>
            <w:r w:rsidRPr="00B810CC">
              <w:rPr>
                <w:rFonts w:cs="Calibri"/>
                <w:b w:val="0"/>
                <w:color w:val="000000"/>
                <w:sz w:val="22"/>
                <w:szCs w:val="22"/>
              </w:rPr>
              <w:t>97</w:t>
            </w:r>
          </w:p>
        </w:tc>
        <w:tc>
          <w:tcPr>
            <w:tcW w:w="1417" w:type="dxa"/>
          </w:tcPr>
          <w:p w14:paraId="2386616F" w14:textId="77272656" w:rsidR="000A4BAB" w:rsidRPr="00916962" w:rsidRDefault="000A4BAB" w:rsidP="000A4BAB">
            <w:pPr>
              <w:pStyle w:val="TableHead"/>
              <w:jc w:val="right"/>
              <w:rPr>
                <w:b w:val="0"/>
                <w:bCs/>
                <w:sz w:val="22"/>
                <w:szCs w:val="22"/>
              </w:rPr>
            </w:pPr>
            <w:r w:rsidRPr="00916962">
              <w:rPr>
                <w:rFonts w:cs="Calibri"/>
                <w:b w:val="0"/>
                <w:bCs/>
                <w:color w:val="000000"/>
                <w:sz w:val="22"/>
                <w:szCs w:val="22"/>
              </w:rPr>
              <w:t>3.0%</w:t>
            </w:r>
          </w:p>
        </w:tc>
        <w:tc>
          <w:tcPr>
            <w:tcW w:w="1418" w:type="dxa"/>
          </w:tcPr>
          <w:p w14:paraId="32DBF30D" w14:textId="77777777" w:rsidR="000A4BAB" w:rsidRDefault="000A4BAB" w:rsidP="000A4BAB">
            <w:pPr>
              <w:spacing w:after="0"/>
              <w:jc w:val="right"/>
              <w:rPr>
                <w:rFonts w:cs="Calibri"/>
                <w:color w:val="000000"/>
                <w:sz w:val="22"/>
                <w:szCs w:val="22"/>
                <w:lang w:eastAsia="en-IE"/>
              </w:rPr>
            </w:pPr>
            <w:r>
              <w:rPr>
                <w:rFonts w:cs="Calibri"/>
                <w:color w:val="000000"/>
                <w:sz w:val="22"/>
                <w:szCs w:val="22"/>
              </w:rPr>
              <w:t>3342</w:t>
            </w:r>
          </w:p>
          <w:p w14:paraId="7554B5B7" w14:textId="3ABB3FD9" w:rsidR="000A4BAB" w:rsidRPr="00B810CC" w:rsidRDefault="000A4BAB" w:rsidP="000A4BAB">
            <w:pPr>
              <w:pStyle w:val="TableHead"/>
              <w:jc w:val="right"/>
              <w:rPr>
                <w:b w:val="0"/>
                <w:sz w:val="22"/>
                <w:szCs w:val="22"/>
              </w:rPr>
            </w:pPr>
          </w:p>
        </w:tc>
        <w:tc>
          <w:tcPr>
            <w:tcW w:w="1559" w:type="dxa"/>
          </w:tcPr>
          <w:p w14:paraId="05F18342" w14:textId="77777777" w:rsidR="000A4BAB" w:rsidRDefault="000A4BAB" w:rsidP="000A4BAB">
            <w:pPr>
              <w:spacing w:after="0"/>
              <w:jc w:val="right"/>
              <w:rPr>
                <w:rFonts w:cs="Calibri"/>
                <w:color w:val="000000"/>
                <w:sz w:val="22"/>
                <w:szCs w:val="22"/>
                <w:lang w:eastAsia="en-IE"/>
              </w:rPr>
            </w:pPr>
            <w:r>
              <w:rPr>
                <w:rFonts w:cs="Calibri"/>
                <w:color w:val="000000"/>
                <w:sz w:val="22"/>
                <w:szCs w:val="22"/>
              </w:rPr>
              <w:t>110</w:t>
            </w:r>
          </w:p>
          <w:p w14:paraId="4DCC17E1" w14:textId="6E5B2C31" w:rsidR="000A4BAB" w:rsidRPr="00B810CC" w:rsidRDefault="000A4BAB" w:rsidP="000A4BAB">
            <w:pPr>
              <w:pStyle w:val="TableHead"/>
              <w:jc w:val="right"/>
              <w:rPr>
                <w:b w:val="0"/>
                <w:sz w:val="22"/>
                <w:szCs w:val="22"/>
              </w:rPr>
            </w:pPr>
          </w:p>
        </w:tc>
        <w:tc>
          <w:tcPr>
            <w:tcW w:w="1417" w:type="dxa"/>
          </w:tcPr>
          <w:p w14:paraId="14237586" w14:textId="77777777" w:rsidR="000A4BAB" w:rsidRDefault="000A4BAB" w:rsidP="000A4BAB">
            <w:pPr>
              <w:spacing w:after="0"/>
              <w:jc w:val="right"/>
              <w:rPr>
                <w:rFonts w:cs="Calibri"/>
                <w:color w:val="000000"/>
                <w:sz w:val="22"/>
                <w:szCs w:val="22"/>
                <w:lang w:eastAsia="en-IE"/>
              </w:rPr>
            </w:pPr>
            <w:r>
              <w:rPr>
                <w:rFonts w:cs="Calibri"/>
                <w:color w:val="000000"/>
                <w:sz w:val="22"/>
                <w:szCs w:val="22"/>
              </w:rPr>
              <w:t>3.3%</w:t>
            </w:r>
          </w:p>
          <w:p w14:paraId="29BCE9E2" w14:textId="3FD1CABB" w:rsidR="000A4BAB" w:rsidRPr="00B810CC" w:rsidRDefault="000A4BAB" w:rsidP="000A4BAB">
            <w:pPr>
              <w:spacing w:after="0"/>
              <w:jc w:val="right"/>
              <w:rPr>
                <w:sz w:val="22"/>
                <w:szCs w:val="22"/>
              </w:rPr>
            </w:pPr>
          </w:p>
        </w:tc>
      </w:tr>
      <w:tr w:rsidR="000A4BAB" w:rsidRPr="00B810CC" w14:paraId="62115A18" w14:textId="77777777" w:rsidTr="00C43F3F">
        <w:trPr>
          <w:trHeight w:val="966"/>
          <w:jc w:val="center"/>
        </w:trPr>
        <w:tc>
          <w:tcPr>
            <w:tcW w:w="2137" w:type="dxa"/>
          </w:tcPr>
          <w:p w14:paraId="0FAD99EC" w14:textId="6F7B076D" w:rsidR="000A4BAB" w:rsidRPr="00E33017" w:rsidRDefault="0003232A" w:rsidP="000A4BAB">
            <w:pPr>
              <w:pStyle w:val="TableHead"/>
              <w:spacing w:after="120"/>
              <w:rPr>
                <w:b w:val="0"/>
                <w:sz w:val="22"/>
                <w:szCs w:val="22"/>
              </w:rPr>
            </w:pPr>
            <w:r w:rsidRPr="008A4345">
              <w:rPr>
                <w:bCs/>
                <w:sz w:val="22"/>
                <w:szCs w:val="22"/>
              </w:rPr>
              <w:t>*</w:t>
            </w:r>
            <w:r w:rsidR="000A4BAB" w:rsidRPr="008A4345">
              <w:rPr>
                <w:bCs/>
                <w:sz w:val="22"/>
                <w:szCs w:val="22"/>
              </w:rPr>
              <w:t>South East</w:t>
            </w:r>
            <w:r w:rsidR="00A53ACB" w:rsidRPr="008A4345">
              <w:rPr>
                <w:bCs/>
                <w:sz w:val="22"/>
                <w:szCs w:val="22"/>
              </w:rPr>
              <w:t xml:space="preserve"> </w:t>
            </w:r>
            <w:r w:rsidR="000A4BAB" w:rsidRPr="008A4345">
              <w:rPr>
                <w:bCs/>
                <w:sz w:val="22"/>
                <w:szCs w:val="22"/>
              </w:rPr>
              <w:t>Technological University (SETU)</w:t>
            </w:r>
          </w:p>
        </w:tc>
        <w:tc>
          <w:tcPr>
            <w:tcW w:w="1701" w:type="dxa"/>
          </w:tcPr>
          <w:p w14:paraId="11F6A1A5" w14:textId="4C32E1F8" w:rsidR="000A4BAB" w:rsidRPr="00E33017" w:rsidRDefault="000A4BAB" w:rsidP="000A4BAB">
            <w:pPr>
              <w:spacing w:after="0"/>
              <w:jc w:val="right"/>
              <w:rPr>
                <w:rFonts w:cs="Calibri"/>
                <w:color w:val="000000"/>
                <w:sz w:val="22"/>
                <w:szCs w:val="22"/>
              </w:rPr>
            </w:pPr>
            <w:r w:rsidRPr="00E33017">
              <w:rPr>
                <w:rFonts w:cs="Calibri"/>
                <w:color w:val="000000"/>
                <w:sz w:val="22"/>
                <w:szCs w:val="22"/>
              </w:rPr>
              <w:t>- </w:t>
            </w:r>
          </w:p>
        </w:tc>
        <w:tc>
          <w:tcPr>
            <w:tcW w:w="1701" w:type="dxa"/>
          </w:tcPr>
          <w:p w14:paraId="3DA3DF2E" w14:textId="5713B398" w:rsidR="000A4BAB" w:rsidRPr="00E33017" w:rsidRDefault="000A4BAB" w:rsidP="000A4BAB">
            <w:pPr>
              <w:pStyle w:val="TableHead"/>
              <w:jc w:val="right"/>
              <w:rPr>
                <w:rFonts w:cs="Calibri"/>
                <w:b w:val="0"/>
                <w:color w:val="000000"/>
                <w:sz w:val="22"/>
                <w:szCs w:val="22"/>
              </w:rPr>
            </w:pPr>
            <w:r w:rsidRPr="00E33017">
              <w:rPr>
                <w:rFonts w:cs="Calibri"/>
                <w:color w:val="000000"/>
                <w:sz w:val="22"/>
                <w:szCs w:val="22"/>
              </w:rPr>
              <w:t>- </w:t>
            </w:r>
          </w:p>
        </w:tc>
        <w:tc>
          <w:tcPr>
            <w:tcW w:w="1417" w:type="dxa"/>
          </w:tcPr>
          <w:p w14:paraId="52B5AFF1" w14:textId="29DDB985" w:rsidR="000A4BAB" w:rsidRPr="00E33017" w:rsidRDefault="000A4BAB" w:rsidP="000A4BAB">
            <w:pPr>
              <w:pStyle w:val="TableHead"/>
              <w:jc w:val="right"/>
              <w:rPr>
                <w:rFonts w:cs="Calibri"/>
                <w:b w:val="0"/>
                <w:bCs/>
                <w:color w:val="000000"/>
                <w:sz w:val="22"/>
                <w:szCs w:val="22"/>
              </w:rPr>
            </w:pPr>
            <w:r w:rsidRPr="00E33017">
              <w:rPr>
                <w:rFonts w:cs="Calibri"/>
                <w:color w:val="000000"/>
                <w:sz w:val="22"/>
                <w:szCs w:val="22"/>
              </w:rPr>
              <w:t>- </w:t>
            </w:r>
          </w:p>
        </w:tc>
        <w:tc>
          <w:tcPr>
            <w:tcW w:w="1418" w:type="dxa"/>
          </w:tcPr>
          <w:p w14:paraId="45CBE9D7"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1619</w:t>
            </w:r>
          </w:p>
          <w:p w14:paraId="1F2B8E4A" w14:textId="77777777" w:rsidR="000A4BAB" w:rsidRPr="00E33017" w:rsidRDefault="000A4BAB" w:rsidP="000A4BAB">
            <w:pPr>
              <w:spacing w:after="0"/>
              <w:jc w:val="right"/>
              <w:rPr>
                <w:rFonts w:cs="Calibri"/>
                <w:color w:val="000000"/>
                <w:sz w:val="22"/>
                <w:szCs w:val="22"/>
              </w:rPr>
            </w:pPr>
          </w:p>
        </w:tc>
        <w:tc>
          <w:tcPr>
            <w:tcW w:w="1559" w:type="dxa"/>
          </w:tcPr>
          <w:p w14:paraId="39E40E1A"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119</w:t>
            </w:r>
          </w:p>
          <w:p w14:paraId="64FE6946" w14:textId="77777777" w:rsidR="000A4BAB" w:rsidRPr="00E33017" w:rsidRDefault="000A4BAB" w:rsidP="000A4BAB">
            <w:pPr>
              <w:spacing w:after="0"/>
              <w:jc w:val="right"/>
              <w:rPr>
                <w:rFonts w:cs="Calibri"/>
                <w:color w:val="000000"/>
                <w:sz w:val="22"/>
                <w:szCs w:val="22"/>
              </w:rPr>
            </w:pPr>
          </w:p>
        </w:tc>
        <w:tc>
          <w:tcPr>
            <w:tcW w:w="1417" w:type="dxa"/>
          </w:tcPr>
          <w:p w14:paraId="48FB90F1" w14:textId="77777777" w:rsidR="000A4BAB" w:rsidRPr="00E33017" w:rsidRDefault="000A4BAB" w:rsidP="000A4BAB">
            <w:pPr>
              <w:spacing w:after="0"/>
              <w:jc w:val="right"/>
              <w:rPr>
                <w:rFonts w:cs="Calibri"/>
                <w:color w:val="000000"/>
                <w:sz w:val="22"/>
                <w:szCs w:val="22"/>
                <w:lang w:eastAsia="en-IE"/>
              </w:rPr>
            </w:pPr>
            <w:r w:rsidRPr="00E33017">
              <w:rPr>
                <w:rFonts w:cs="Calibri"/>
                <w:color w:val="000000"/>
                <w:sz w:val="22"/>
                <w:szCs w:val="22"/>
              </w:rPr>
              <w:t>7.4%</w:t>
            </w:r>
          </w:p>
          <w:p w14:paraId="0F198BB5" w14:textId="77777777" w:rsidR="000A4BAB" w:rsidRPr="00E33017" w:rsidRDefault="000A4BAB" w:rsidP="000A4BAB">
            <w:pPr>
              <w:spacing w:after="0"/>
              <w:jc w:val="right"/>
              <w:rPr>
                <w:rFonts w:cs="Calibri"/>
                <w:color w:val="000000"/>
                <w:sz w:val="22"/>
                <w:szCs w:val="22"/>
              </w:rPr>
            </w:pPr>
          </w:p>
        </w:tc>
      </w:tr>
      <w:tr w:rsidR="000A4BAB" w:rsidRPr="00B810CC" w14:paraId="3D8F8C4D" w14:textId="77777777" w:rsidTr="00C43F3F">
        <w:trPr>
          <w:trHeight w:val="405"/>
          <w:jc w:val="center"/>
        </w:trPr>
        <w:tc>
          <w:tcPr>
            <w:tcW w:w="2137" w:type="dxa"/>
          </w:tcPr>
          <w:p w14:paraId="0AB77F28" w14:textId="46F8B6E2" w:rsidR="000A4BAB" w:rsidRPr="00B810CC" w:rsidRDefault="000A4BAB" w:rsidP="000A4BAB">
            <w:pPr>
              <w:pStyle w:val="TableHead"/>
              <w:spacing w:after="120"/>
              <w:rPr>
                <w:b w:val="0"/>
                <w:sz w:val="22"/>
                <w:szCs w:val="22"/>
              </w:rPr>
            </w:pPr>
            <w:r w:rsidRPr="00B810CC">
              <w:rPr>
                <w:b w:val="0"/>
                <w:sz w:val="22"/>
                <w:szCs w:val="22"/>
              </w:rPr>
              <w:t>Technological University of the Shannon (TUS): Midlands Midwest (Athlone Campus)</w:t>
            </w:r>
            <w:r w:rsidRPr="00B810CC">
              <w:rPr>
                <w:rFonts w:cs="Calibri"/>
                <w:color w:val="000000"/>
                <w:sz w:val="22"/>
                <w:szCs w:val="22"/>
              </w:rPr>
              <w:t xml:space="preserve"> </w:t>
            </w:r>
          </w:p>
        </w:tc>
        <w:tc>
          <w:tcPr>
            <w:tcW w:w="1701" w:type="dxa"/>
          </w:tcPr>
          <w:p w14:paraId="3C95E019" w14:textId="19BD3744" w:rsidR="000A4BAB" w:rsidRPr="00B810CC" w:rsidRDefault="000A4BAB" w:rsidP="000A4BAB">
            <w:pPr>
              <w:spacing w:after="0"/>
              <w:jc w:val="right"/>
              <w:rPr>
                <w:sz w:val="22"/>
                <w:szCs w:val="22"/>
              </w:rPr>
            </w:pPr>
            <w:r w:rsidRPr="00B810CC">
              <w:rPr>
                <w:rFonts w:cs="Calibri"/>
                <w:color w:val="000000"/>
                <w:sz w:val="22"/>
                <w:szCs w:val="22"/>
              </w:rPr>
              <w:t>1,423</w:t>
            </w:r>
          </w:p>
        </w:tc>
        <w:tc>
          <w:tcPr>
            <w:tcW w:w="1701" w:type="dxa"/>
          </w:tcPr>
          <w:p w14:paraId="5CC2EC42" w14:textId="4CB4A7DA" w:rsidR="000A4BAB" w:rsidRPr="00B810CC" w:rsidRDefault="000A4BAB" w:rsidP="000A4BAB">
            <w:pPr>
              <w:pStyle w:val="TableHead"/>
              <w:jc w:val="right"/>
              <w:rPr>
                <w:b w:val="0"/>
                <w:sz w:val="22"/>
                <w:szCs w:val="22"/>
              </w:rPr>
            </w:pPr>
            <w:r w:rsidRPr="00B810CC">
              <w:rPr>
                <w:rFonts w:cs="Calibri"/>
                <w:b w:val="0"/>
                <w:color w:val="000000"/>
                <w:sz w:val="22"/>
                <w:szCs w:val="22"/>
              </w:rPr>
              <w:t>69</w:t>
            </w:r>
          </w:p>
        </w:tc>
        <w:tc>
          <w:tcPr>
            <w:tcW w:w="1417" w:type="dxa"/>
          </w:tcPr>
          <w:p w14:paraId="3CEE7D43" w14:textId="0E68142A" w:rsidR="000A4BAB" w:rsidRPr="00916962" w:rsidRDefault="000A4BAB" w:rsidP="000A4BAB">
            <w:pPr>
              <w:pStyle w:val="TableHead"/>
              <w:jc w:val="right"/>
              <w:rPr>
                <w:b w:val="0"/>
                <w:bCs/>
                <w:sz w:val="22"/>
                <w:szCs w:val="22"/>
              </w:rPr>
            </w:pPr>
            <w:r w:rsidRPr="00916962">
              <w:rPr>
                <w:rFonts w:cs="Calibri"/>
                <w:b w:val="0"/>
                <w:bCs/>
                <w:color w:val="000000"/>
                <w:sz w:val="22"/>
                <w:szCs w:val="22"/>
              </w:rPr>
              <w:t>4.</w:t>
            </w:r>
            <w:r>
              <w:rPr>
                <w:rFonts w:cs="Calibri"/>
                <w:b w:val="0"/>
                <w:bCs/>
                <w:color w:val="000000"/>
                <w:sz w:val="22"/>
                <w:szCs w:val="22"/>
              </w:rPr>
              <w:t>8</w:t>
            </w:r>
            <w:r w:rsidRPr="00916962">
              <w:rPr>
                <w:rFonts w:cs="Calibri"/>
                <w:b w:val="0"/>
                <w:bCs/>
                <w:color w:val="000000"/>
                <w:sz w:val="22"/>
                <w:szCs w:val="22"/>
              </w:rPr>
              <w:t>%</w:t>
            </w:r>
          </w:p>
        </w:tc>
        <w:tc>
          <w:tcPr>
            <w:tcW w:w="1418" w:type="dxa"/>
          </w:tcPr>
          <w:p w14:paraId="7594D09B" w14:textId="77777777" w:rsidR="000A4BAB" w:rsidRDefault="000A4BAB" w:rsidP="000A4BAB">
            <w:pPr>
              <w:spacing w:after="0"/>
              <w:jc w:val="right"/>
              <w:rPr>
                <w:rFonts w:cs="Calibri"/>
                <w:color w:val="000000"/>
                <w:sz w:val="22"/>
                <w:szCs w:val="22"/>
                <w:lang w:eastAsia="en-IE"/>
              </w:rPr>
            </w:pPr>
            <w:r>
              <w:rPr>
                <w:rFonts w:cs="Calibri"/>
                <w:color w:val="000000"/>
                <w:sz w:val="22"/>
                <w:szCs w:val="22"/>
              </w:rPr>
              <w:t>1459</w:t>
            </w:r>
          </w:p>
          <w:p w14:paraId="244852A7" w14:textId="03A634DC" w:rsidR="000A4BAB" w:rsidRPr="00B810CC" w:rsidRDefault="000A4BAB" w:rsidP="000A4BAB">
            <w:pPr>
              <w:pStyle w:val="TableHead"/>
              <w:jc w:val="right"/>
              <w:rPr>
                <w:b w:val="0"/>
                <w:sz w:val="22"/>
                <w:szCs w:val="22"/>
              </w:rPr>
            </w:pPr>
          </w:p>
        </w:tc>
        <w:tc>
          <w:tcPr>
            <w:tcW w:w="1559" w:type="dxa"/>
          </w:tcPr>
          <w:p w14:paraId="637DE2A6" w14:textId="77777777" w:rsidR="000A4BAB" w:rsidRDefault="000A4BAB" w:rsidP="000A4BAB">
            <w:pPr>
              <w:spacing w:after="0"/>
              <w:jc w:val="right"/>
              <w:rPr>
                <w:rFonts w:cs="Calibri"/>
                <w:color w:val="000000"/>
                <w:sz w:val="22"/>
                <w:szCs w:val="22"/>
                <w:lang w:eastAsia="en-IE"/>
              </w:rPr>
            </w:pPr>
            <w:r>
              <w:rPr>
                <w:rFonts w:cs="Calibri"/>
                <w:color w:val="000000"/>
                <w:sz w:val="22"/>
                <w:szCs w:val="22"/>
              </w:rPr>
              <w:t>87</w:t>
            </w:r>
          </w:p>
          <w:p w14:paraId="059785F2" w14:textId="11B5B9D1" w:rsidR="000A4BAB" w:rsidRPr="00B810CC" w:rsidRDefault="000A4BAB" w:rsidP="000A4BAB">
            <w:pPr>
              <w:pStyle w:val="TableHead"/>
              <w:jc w:val="right"/>
              <w:rPr>
                <w:b w:val="0"/>
                <w:sz w:val="22"/>
                <w:szCs w:val="22"/>
              </w:rPr>
            </w:pPr>
          </w:p>
        </w:tc>
        <w:tc>
          <w:tcPr>
            <w:tcW w:w="1417" w:type="dxa"/>
          </w:tcPr>
          <w:p w14:paraId="1B8464F2" w14:textId="77777777" w:rsidR="000A4BAB" w:rsidRDefault="000A4BAB" w:rsidP="000A4BAB">
            <w:pPr>
              <w:spacing w:after="0"/>
              <w:jc w:val="right"/>
              <w:rPr>
                <w:rFonts w:cs="Calibri"/>
                <w:color w:val="000000"/>
                <w:sz w:val="22"/>
                <w:szCs w:val="22"/>
                <w:lang w:eastAsia="en-IE"/>
              </w:rPr>
            </w:pPr>
            <w:r>
              <w:rPr>
                <w:rFonts w:cs="Calibri"/>
                <w:color w:val="000000"/>
                <w:sz w:val="22"/>
                <w:szCs w:val="22"/>
              </w:rPr>
              <w:t>6.0%</w:t>
            </w:r>
          </w:p>
          <w:p w14:paraId="20FA4E03" w14:textId="3C8D3EF9" w:rsidR="000A4BAB" w:rsidRPr="00B810CC" w:rsidRDefault="000A4BAB" w:rsidP="000A4BAB">
            <w:pPr>
              <w:spacing w:after="0"/>
              <w:jc w:val="right"/>
              <w:rPr>
                <w:sz w:val="22"/>
                <w:szCs w:val="22"/>
              </w:rPr>
            </w:pPr>
          </w:p>
        </w:tc>
      </w:tr>
      <w:tr w:rsidR="000A4BAB" w:rsidRPr="00611BF3" w14:paraId="084E4F04" w14:textId="77777777" w:rsidTr="004A3088">
        <w:trPr>
          <w:jc w:val="center"/>
        </w:trPr>
        <w:tc>
          <w:tcPr>
            <w:tcW w:w="2137" w:type="dxa"/>
          </w:tcPr>
          <w:p w14:paraId="46DE9F46" w14:textId="50C69227" w:rsidR="000A4BAB" w:rsidRPr="00B810CC" w:rsidRDefault="000A4BAB" w:rsidP="000A4BAB">
            <w:pPr>
              <w:pStyle w:val="TableHead"/>
              <w:rPr>
                <w:sz w:val="22"/>
                <w:szCs w:val="22"/>
              </w:rPr>
            </w:pPr>
            <w:r w:rsidRPr="00B810CC">
              <w:rPr>
                <w:sz w:val="22"/>
                <w:szCs w:val="22"/>
              </w:rPr>
              <w:t>Grand Total</w:t>
            </w:r>
          </w:p>
        </w:tc>
        <w:tc>
          <w:tcPr>
            <w:tcW w:w="1701" w:type="dxa"/>
          </w:tcPr>
          <w:p w14:paraId="2EBF3ECF" w14:textId="1BD65688" w:rsidR="000A4BAB" w:rsidRDefault="000A4BAB" w:rsidP="000A4BAB">
            <w:pPr>
              <w:spacing w:after="0"/>
              <w:jc w:val="right"/>
              <w:rPr>
                <w:rFonts w:cs="Calibri"/>
                <w:b/>
                <w:bCs/>
                <w:color w:val="000000"/>
                <w:sz w:val="22"/>
                <w:szCs w:val="22"/>
                <w:lang w:eastAsia="en-IE"/>
              </w:rPr>
            </w:pPr>
            <w:r>
              <w:rPr>
                <w:rFonts w:cs="Calibri"/>
                <w:b/>
                <w:bCs/>
                <w:color w:val="000000"/>
                <w:sz w:val="22"/>
                <w:szCs w:val="22"/>
              </w:rPr>
              <w:t>12</w:t>
            </w:r>
            <w:r w:rsidR="0003232A">
              <w:rPr>
                <w:rFonts w:cs="Calibri"/>
                <w:b/>
                <w:bCs/>
                <w:color w:val="000000"/>
                <w:sz w:val="22"/>
                <w:szCs w:val="22"/>
              </w:rPr>
              <w:t>,</w:t>
            </w:r>
            <w:r>
              <w:rPr>
                <w:rFonts w:cs="Calibri"/>
                <w:b/>
                <w:bCs/>
                <w:color w:val="000000"/>
                <w:sz w:val="22"/>
                <w:szCs w:val="22"/>
              </w:rPr>
              <w:t>179</w:t>
            </w:r>
          </w:p>
          <w:p w14:paraId="659127FB" w14:textId="77777777" w:rsidR="000A4BAB" w:rsidRPr="00B810CC" w:rsidRDefault="000A4BAB" w:rsidP="000A4BAB">
            <w:pPr>
              <w:spacing w:after="0"/>
              <w:jc w:val="right"/>
              <w:rPr>
                <w:b/>
                <w:sz w:val="22"/>
                <w:szCs w:val="22"/>
              </w:rPr>
            </w:pPr>
          </w:p>
        </w:tc>
        <w:tc>
          <w:tcPr>
            <w:tcW w:w="1701" w:type="dxa"/>
          </w:tcPr>
          <w:p w14:paraId="0FFB81F4" w14:textId="77777777" w:rsidR="000A4BAB" w:rsidRDefault="000A4BAB" w:rsidP="000A4BAB">
            <w:pPr>
              <w:spacing w:after="0"/>
              <w:jc w:val="right"/>
              <w:rPr>
                <w:rFonts w:cs="Calibri"/>
                <w:b/>
                <w:bCs/>
                <w:color w:val="000000"/>
                <w:sz w:val="22"/>
                <w:szCs w:val="22"/>
                <w:lang w:eastAsia="en-IE"/>
              </w:rPr>
            </w:pPr>
            <w:r>
              <w:rPr>
                <w:rFonts w:cs="Calibri"/>
                <w:b/>
                <w:bCs/>
                <w:color w:val="000000"/>
                <w:sz w:val="22"/>
                <w:szCs w:val="22"/>
              </w:rPr>
              <w:t>466</w:t>
            </w:r>
          </w:p>
          <w:p w14:paraId="0CB7A313" w14:textId="77777777" w:rsidR="000A4BAB" w:rsidRPr="00B810CC" w:rsidRDefault="000A4BAB" w:rsidP="000A4BAB">
            <w:pPr>
              <w:pStyle w:val="TableHead"/>
              <w:jc w:val="right"/>
              <w:rPr>
                <w:sz w:val="22"/>
                <w:szCs w:val="22"/>
              </w:rPr>
            </w:pPr>
          </w:p>
        </w:tc>
        <w:tc>
          <w:tcPr>
            <w:tcW w:w="1417" w:type="dxa"/>
          </w:tcPr>
          <w:p w14:paraId="6E6F7B65" w14:textId="77777777" w:rsidR="000A4BAB" w:rsidRDefault="000A4BAB" w:rsidP="000A4BAB">
            <w:pPr>
              <w:spacing w:after="0"/>
              <w:jc w:val="right"/>
              <w:rPr>
                <w:rFonts w:cs="Calibri"/>
                <w:b/>
                <w:bCs/>
                <w:color w:val="000000"/>
                <w:sz w:val="22"/>
                <w:szCs w:val="22"/>
                <w:lang w:eastAsia="en-IE"/>
              </w:rPr>
            </w:pPr>
            <w:r>
              <w:rPr>
                <w:rFonts w:cs="Calibri"/>
                <w:b/>
                <w:bCs/>
                <w:color w:val="000000"/>
                <w:sz w:val="22"/>
                <w:szCs w:val="22"/>
              </w:rPr>
              <w:t>3.8%</w:t>
            </w:r>
          </w:p>
          <w:p w14:paraId="7BF7D00A" w14:textId="55407417" w:rsidR="000A4BAB" w:rsidRPr="00B810CC" w:rsidRDefault="000A4BAB" w:rsidP="000A4BAB">
            <w:pPr>
              <w:pStyle w:val="TableHead"/>
              <w:jc w:val="right"/>
              <w:rPr>
                <w:sz w:val="22"/>
                <w:szCs w:val="22"/>
              </w:rPr>
            </w:pPr>
          </w:p>
        </w:tc>
        <w:tc>
          <w:tcPr>
            <w:tcW w:w="1418" w:type="dxa"/>
          </w:tcPr>
          <w:p w14:paraId="1602D778" w14:textId="77777777" w:rsidR="000A4BAB" w:rsidRDefault="000A4BAB" w:rsidP="000A4BAB">
            <w:pPr>
              <w:spacing w:after="0"/>
              <w:jc w:val="right"/>
              <w:rPr>
                <w:rFonts w:cs="Calibri"/>
                <w:b/>
                <w:bCs/>
                <w:color w:val="000000"/>
                <w:sz w:val="22"/>
                <w:szCs w:val="22"/>
                <w:lang w:eastAsia="en-IE"/>
              </w:rPr>
            </w:pPr>
            <w:r>
              <w:rPr>
                <w:rFonts w:cs="Calibri"/>
                <w:b/>
                <w:bCs/>
                <w:color w:val="000000"/>
                <w:sz w:val="22"/>
                <w:szCs w:val="22"/>
              </w:rPr>
              <w:t>12553</w:t>
            </w:r>
          </w:p>
          <w:p w14:paraId="6CF4FC0D" w14:textId="77777777" w:rsidR="000A4BAB" w:rsidRPr="00B810CC" w:rsidRDefault="000A4BAB" w:rsidP="000A4BAB">
            <w:pPr>
              <w:pStyle w:val="TableHead"/>
              <w:jc w:val="right"/>
              <w:rPr>
                <w:sz w:val="22"/>
                <w:szCs w:val="22"/>
              </w:rPr>
            </w:pPr>
          </w:p>
        </w:tc>
        <w:tc>
          <w:tcPr>
            <w:tcW w:w="1559" w:type="dxa"/>
          </w:tcPr>
          <w:p w14:paraId="3CB618FB" w14:textId="77777777" w:rsidR="000A4BAB" w:rsidRDefault="000A4BAB" w:rsidP="000A4BAB">
            <w:pPr>
              <w:spacing w:after="0"/>
              <w:jc w:val="right"/>
              <w:rPr>
                <w:rFonts w:cs="Calibri"/>
                <w:b/>
                <w:bCs/>
                <w:color w:val="000000"/>
                <w:sz w:val="22"/>
                <w:szCs w:val="22"/>
                <w:lang w:eastAsia="en-IE"/>
              </w:rPr>
            </w:pPr>
            <w:r>
              <w:rPr>
                <w:rFonts w:cs="Calibri"/>
                <w:b/>
                <w:bCs/>
                <w:color w:val="000000"/>
                <w:sz w:val="22"/>
                <w:szCs w:val="22"/>
              </w:rPr>
              <w:t>578</w:t>
            </w:r>
          </w:p>
          <w:p w14:paraId="0D7678A2" w14:textId="77777777" w:rsidR="000A4BAB" w:rsidRPr="00B810CC" w:rsidRDefault="000A4BAB" w:rsidP="000A4BAB">
            <w:pPr>
              <w:pStyle w:val="TableHead"/>
              <w:jc w:val="right"/>
              <w:rPr>
                <w:sz w:val="22"/>
                <w:szCs w:val="22"/>
              </w:rPr>
            </w:pPr>
          </w:p>
        </w:tc>
        <w:tc>
          <w:tcPr>
            <w:tcW w:w="1417" w:type="dxa"/>
          </w:tcPr>
          <w:p w14:paraId="3AA8C921" w14:textId="77777777" w:rsidR="000A4BAB" w:rsidRDefault="000A4BAB" w:rsidP="000A4BAB">
            <w:pPr>
              <w:spacing w:after="0"/>
              <w:jc w:val="right"/>
              <w:rPr>
                <w:rFonts w:cs="Calibri"/>
                <w:b/>
                <w:bCs/>
                <w:color w:val="000000"/>
                <w:sz w:val="22"/>
                <w:szCs w:val="22"/>
                <w:lang w:eastAsia="en-IE"/>
              </w:rPr>
            </w:pPr>
            <w:r>
              <w:rPr>
                <w:rFonts w:cs="Calibri"/>
                <w:b/>
                <w:bCs/>
                <w:color w:val="000000"/>
                <w:sz w:val="22"/>
                <w:szCs w:val="22"/>
              </w:rPr>
              <w:t>4.6%</w:t>
            </w:r>
          </w:p>
          <w:p w14:paraId="14FEA6B6" w14:textId="76AC90EB" w:rsidR="000A4BAB" w:rsidRPr="00B810CC" w:rsidRDefault="000A4BAB" w:rsidP="000A4BAB">
            <w:pPr>
              <w:spacing w:after="0"/>
              <w:jc w:val="right"/>
              <w:rPr>
                <w:b/>
                <w:sz w:val="22"/>
                <w:szCs w:val="22"/>
              </w:rPr>
            </w:pPr>
          </w:p>
        </w:tc>
      </w:tr>
    </w:tbl>
    <w:p w14:paraId="59E33964" w14:textId="25F6C3F1" w:rsidR="00E46650" w:rsidRDefault="00E46650" w:rsidP="00E46650">
      <w:pPr>
        <w:rPr>
          <w:highlight w:val="green"/>
          <w:lang w:eastAsia="en-IE"/>
        </w:rPr>
      </w:pPr>
    </w:p>
    <w:p w14:paraId="06C7AD0D" w14:textId="77777777" w:rsidR="00E46650" w:rsidRDefault="00E46650">
      <w:pPr>
        <w:spacing w:after="0"/>
        <w:rPr>
          <w:highlight w:val="green"/>
          <w:lang w:eastAsia="en-IE"/>
        </w:rPr>
      </w:pPr>
      <w:r>
        <w:rPr>
          <w:highlight w:val="green"/>
          <w:lang w:eastAsia="en-IE"/>
        </w:rPr>
        <w:br w:type="page"/>
      </w:r>
    </w:p>
    <w:p w14:paraId="696E163F" w14:textId="77777777" w:rsidR="00F051FF" w:rsidRPr="00611BF3" w:rsidRDefault="00F051FF" w:rsidP="00DA2B08">
      <w:pPr>
        <w:rPr>
          <w:highlight w:val="green"/>
          <w:lang w:eastAsia="en-IE"/>
        </w:rPr>
      </w:pPr>
    </w:p>
    <w:p w14:paraId="189D1251" w14:textId="4CD17166" w:rsidR="000D5C5D" w:rsidRPr="004D7A7B" w:rsidRDefault="00624403" w:rsidP="00001536">
      <w:pPr>
        <w:pStyle w:val="Heading2"/>
        <w:spacing w:after="120"/>
        <w:jc w:val="center"/>
        <w:rPr>
          <w:color w:val="000000" w:themeColor="text1"/>
          <w:lang w:eastAsia="en-IE"/>
        </w:rPr>
      </w:pPr>
      <w:bookmarkStart w:id="75" w:name="_Toc146113880"/>
      <w:r w:rsidRPr="004D7A7B">
        <w:rPr>
          <w:color w:val="000000" w:themeColor="text1"/>
          <w:lang w:eastAsia="en-IE"/>
        </w:rPr>
        <w:t>Department of Health</w:t>
      </w:r>
      <w:bookmarkEnd w:id="75"/>
    </w:p>
    <w:tbl>
      <w:tblPr>
        <w:tblStyle w:val="TableGrid"/>
        <w:tblW w:w="11066" w:type="dxa"/>
        <w:jc w:val="center"/>
        <w:tblLayout w:type="fixed"/>
        <w:tblLook w:val="04A0" w:firstRow="1" w:lastRow="0" w:firstColumn="1" w:lastColumn="0" w:noHBand="0" w:noVBand="1"/>
        <w:tblCaption w:val="Department of Health "/>
      </w:tblPr>
      <w:tblGrid>
        <w:gridCol w:w="1853"/>
        <w:gridCol w:w="1842"/>
        <w:gridCol w:w="1560"/>
        <w:gridCol w:w="1417"/>
        <w:gridCol w:w="1418"/>
        <w:gridCol w:w="1559"/>
        <w:gridCol w:w="1417"/>
      </w:tblGrid>
      <w:tr w:rsidR="003F62BE" w:rsidRPr="004D7A7B" w14:paraId="1D84C0F6" w14:textId="77777777" w:rsidTr="004A3088">
        <w:trPr>
          <w:tblHeader/>
          <w:jc w:val="center"/>
        </w:trPr>
        <w:tc>
          <w:tcPr>
            <w:tcW w:w="1853" w:type="dxa"/>
          </w:tcPr>
          <w:p w14:paraId="6DF6DAB6" w14:textId="77777777" w:rsidR="003F62BE" w:rsidRPr="004D7A7B" w:rsidRDefault="003F62BE" w:rsidP="00812E67">
            <w:pPr>
              <w:pStyle w:val="TableHead"/>
              <w:rPr>
                <w:sz w:val="22"/>
                <w:szCs w:val="22"/>
              </w:rPr>
            </w:pPr>
            <w:r w:rsidRPr="004D7A7B">
              <w:rPr>
                <w:sz w:val="22"/>
                <w:szCs w:val="22"/>
              </w:rPr>
              <w:t>Public Body</w:t>
            </w:r>
          </w:p>
        </w:tc>
        <w:tc>
          <w:tcPr>
            <w:tcW w:w="1842" w:type="dxa"/>
          </w:tcPr>
          <w:p w14:paraId="6D46C8B1" w14:textId="77777777" w:rsidR="00F516FE" w:rsidRPr="004D7A7B" w:rsidRDefault="00F516FE" w:rsidP="00812E67">
            <w:pPr>
              <w:pStyle w:val="TableHead"/>
              <w:rPr>
                <w:sz w:val="22"/>
                <w:szCs w:val="22"/>
              </w:rPr>
            </w:pPr>
            <w:r w:rsidRPr="004D7A7B">
              <w:rPr>
                <w:sz w:val="22"/>
                <w:szCs w:val="22"/>
              </w:rPr>
              <w:t xml:space="preserve">Total </w:t>
            </w:r>
          </w:p>
          <w:p w14:paraId="3BEC2C70" w14:textId="77777777" w:rsidR="00F516FE" w:rsidRPr="004D7A7B" w:rsidRDefault="00F516FE" w:rsidP="00812E67">
            <w:pPr>
              <w:pStyle w:val="TableHead"/>
              <w:rPr>
                <w:sz w:val="22"/>
                <w:szCs w:val="22"/>
              </w:rPr>
            </w:pPr>
            <w:r w:rsidRPr="004D7A7B">
              <w:rPr>
                <w:sz w:val="22"/>
                <w:szCs w:val="22"/>
              </w:rPr>
              <w:t>n</w:t>
            </w:r>
            <w:r w:rsidR="00F1261F" w:rsidRPr="004D7A7B">
              <w:rPr>
                <w:sz w:val="22"/>
                <w:szCs w:val="22"/>
              </w:rPr>
              <w:t xml:space="preserve">umber </w:t>
            </w:r>
          </w:p>
          <w:p w14:paraId="7863A4B1" w14:textId="77777777" w:rsidR="00F516FE" w:rsidRPr="004D7A7B" w:rsidRDefault="00F1261F" w:rsidP="00812E67">
            <w:pPr>
              <w:pStyle w:val="TableHead"/>
              <w:rPr>
                <w:sz w:val="22"/>
                <w:szCs w:val="22"/>
              </w:rPr>
            </w:pPr>
            <w:r w:rsidRPr="004D7A7B">
              <w:rPr>
                <w:sz w:val="22"/>
                <w:szCs w:val="22"/>
              </w:rPr>
              <w:t xml:space="preserve">of </w:t>
            </w:r>
          </w:p>
          <w:p w14:paraId="323165D0" w14:textId="16F04A2F" w:rsidR="003F62BE" w:rsidRPr="004D7A7B" w:rsidRDefault="00F1261F" w:rsidP="00812E67">
            <w:pPr>
              <w:pStyle w:val="TableHead"/>
              <w:rPr>
                <w:sz w:val="22"/>
                <w:szCs w:val="22"/>
              </w:rPr>
            </w:pPr>
            <w:r w:rsidRPr="004D7A7B">
              <w:rPr>
                <w:sz w:val="22"/>
                <w:szCs w:val="22"/>
              </w:rPr>
              <w:t>employees  202</w:t>
            </w:r>
            <w:r w:rsidR="004D7A7B">
              <w:rPr>
                <w:sz w:val="22"/>
                <w:szCs w:val="22"/>
              </w:rPr>
              <w:t>1</w:t>
            </w:r>
          </w:p>
        </w:tc>
        <w:tc>
          <w:tcPr>
            <w:tcW w:w="1560" w:type="dxa"/>
          </w:tcPr>
          <w:p w14:paraId="2C1BB368" w14:textId="6E2E9C89" w:rsidR="003F62BE" w:rsidRPr="004D7A7B" w:rsidRDefault="003F62BE" w:rsidP="00812E67">
            <w:pPr>
              <w:pStyle w:val="TableHead"/>
              <w:rPr>
                <w:sz w:val="22"/>
                <w:szCs w:val="22"/>
              </w:rPr>
            </w:pPr>
            <w:r w:rsidRPr="004D7A7B">
              <w:rPr>
                <w:sz w:val="22"/>
                <w:szCs w:val="22"/>
              </w:rPr>
              <w:t xml:space="preserve">Number of employees reporting </w:t>
            </w:r>
            <w:r w:rsidR="00254A95" w:rsidRPr="004D7A7B">
              <w:rPr>
                <w:sz w:val="22"/>
                <w:szCs w:val="22"/>
              </w:rPr>
              <w:t>a disability</w:t>
            </w:r>
            <w:r w:rsidRPr="004D7A7B">
              <w:rPr>
                <w:sz w:val="22"/>
                <w:szCs w:val="22"/>
              </w:rPr>
              <w:t xml:space="preserve"> </w:t>
            </w:r>
          </w:p>
          <w:p w14:paraId="3DBE6443" w14:textId="7EC29369" w:rsidR="003F62BE" w:rsidRPr="004D7A7B" w:rsidRDefault="00F1261F" w:rsidP="00812E67">
            <w:pPr>
              <w:pStyle w:val="TableHead"/>
              <w:rPr>
                <w:sz w:val="22"/>
                <w:szCs w:val="22"/>
              </w:rPr>
            </w:pPr>
            <w:r w:rsidRPr="004D7A7B">
              <w:rPr>
                <w:sz w:val="22"/>
                <w:szCs w:val="22"/>
              </w:rPr>
              <w:t>202</w:t>
            </w:r>
            <w:r w:rsidR="004D7A7B">
              <w:rPr>
                <w:sz w:val="22"/>
                <w:szCs w:val="22"/>
              </w:rPr>
              <w:t>1</w:t>
            </w:r>
          </w:p>
        </w:tc>
        <w:tc>
          <w:tcPr>
            <w:tcW w:w="1417" w:type="dxa"/>
          </w:tcPr>
          <w:p w14:paraId="4C19431E" w14:textId="1615AEC9" w:rsidR="003F62BE" w:rsidRPr="004D7A7B" w:rsidRDefault="003F62BE" w:rsidP="00812E67">
            <w:pPr>
              <w:pStyle w:val="TableHead"/>
              <w:rPr>
                <w:sz w:val="22"/>
                <w:szCs w:val="22"/>
              </w:rPr>
            </w:pPr>
            <w:r w:rsidRPr="004D7A7B">
              <w:rPr>
                <w:sz w:val="22"/>
                <w:szCs w:val="22"/>
              </w:rPr>
              <w:t>% of employees reporting</w:t>
            </w:r>
            <w:r w:rsidR="00254A95" w:rsidRPr="004D7A7B">
              <w:rPr>
                <w:sz w:val="22"/>
                <w:szCs w:val="22"/>
              </w:rPr>
              <w:t xml:space="preserve"> a</w:t>
            </w:r>
          </w:p>
          <w:p w14:paraId="0030BB81" w14:textId="0F66459F" w:rsidR="003F62BE" w:rsidRPr="004D7A7B" w:rsidRDefault="00254A95" w:rsidP="00812E67">
            <w:pPr>
              <w:pStyle w:val="TableHead"/>
              <w:rPr>
                <w:sz w:val="22"/>
                <w:szCs w:val="22"/>
              </w:rPr>
            </w:pPr>
            <w:r w:rsidRPr="004D7A7B">
              <w:rPr>
                <w:sz w:val="22"/>
                <w:szCs w:val="22"/>
              </w:rPr>
              <w:t>disability</w:t>
            </w:r>
            <w:r w:rsidR="00F1261F" w:rsidRPr="004D7A7B">
              <w:rPr>
                <w:sz w:val="22"/>
                <w:szCs w:val="22"/>
              </w:rPr>
              <w:t xml:space="preserve"> 202</w:t>
            </w:r>
            <w:r w:rsidR="004D7A7B">
              <w:rPr>
                <w:sz w:val="22"/>
                <w:szCs w:val="22"/>
              </w:rPr>
              <w:t>1</w:t>
            </w:r>
          </w:p>
        </w:tc>
        <w:tc>
          <w:tcPr>
            <w:tcW w:w="1418" w:type="dxa"/>
          </w:tcPr>
          <w:p w14:paraId="3C02A1E3" w14:textId="77777777" w:rsidR="00F516FE" w:rsidRPr="004D7A7B" w:rsidRDefault="00F1261F" w:rsidP="00812E67">
            <w:pPr>
              <w:pStyle w:val="TableHead"/>
              <w:rPr>
                <w:sz w:val="22"/>
                <w:szCs w:val="22"/>
              </w:rPr>
            </w:pPr>
            <w:r w:rsidRPr="004D7A7B">
              <w:rPr>
                <w:sz w:val="22"/>
                <w:szCs w:val="22"/>
              </w:rPr>
              <w:t xml:space="preserve">Total number </w:t>
            </w:r>
          </w:p>
          <w:p w14:paraId="68960307" w14:textId="77AD81CD" w:rsidR="003F62BE" w:rsidRPr="004D7A7B" w:rsidRDefault="00F1261F" w:rsidP="00812E67">
            <w:pPr>
              <w:pStyle w:val="TableHead"/>
              <w:rPr>
                <w:sz w:val="22"/>
                <w:szCs w:val="22"/>
              </w:rPr>
            </w:pPr>
            <w:r w:rsidRPr="004D7A7B">
              <w:rPr>
                <w:sz w:val="22"/>
                <w:szCs w:val="22"/>
              </w:rPr>
              <w:t>of employees  202</w:t>
            </w:r>
            <w:r w:rsidR="004D7A7B">
              <w:rPr>
                <w:sz w:val="22"/>
                <w:szCs w:val="22"/>
              </w:rPr>
              <w:t>2</w:t>
            </w:r>
          </w:p>
        </w:tc>
        <w:tc>
          <w:tcPr>
            <w:tcW w:w="1559" w:type="dxa"/>
          </w:tcPr>
          <w:p w14:paraId="5DFF021A" w14:textId="1C951FA4" w:rsidR="003F62BE" w:rsidRPr="004D7A7B" w:rsidRDefault="004B379F" w:rsidP="00812E67">
            <w:pPr>
              <w:pStyle w:val="TableHead"/>
              <w:rPr>
                <w:sz w:val="22"/>
                <w:szCs w:val="22"/>
              </w:rPr>
            </w:pPr>
            <w:r w:rsidRPr="004D7A7B">
              <w:rPr>
                <w:sz w:val="22"/>
                <w:szCs w:val="22"/>
              </w:rPr>
              <w:t xml:space="preserve">Number </w:t>
            </w:r>
            <w:r w:rsidR="003F62BE" w:rsidRPr="004D7A7B">
              <w:rPr>
                <w:sz w:val="22"/>
                <w:szCs w:val="22"/>
              </w:rPr>
              <w:t xml:space="preserve">of employees reporting </w:t>
            </w:r>
            <w:r w:rsidR="00254A95" w:rsidRPr="004D7A7B">
              <w:rPr>
                <w:sz w:val="22"/>
                <w:szCs w:val="22"/>
              </w:rPr>
              <w:t>a disability</w:t>
            </w:r>
          </w:p>
          <w:p w14:paraId="1B009084" w14:textId="45CCFFCC" w:rsidR="003F62BE" w:rsidRPr="004D7A7B" w:rsidRDefault="00F1261F" w:rsidP="00812E67">
            <w:pPr>
              <w:pStyle w:val="TableHead"/>
              <w:rPr>
                <w:sz w:val="22"/>
                <w:szCs w:val="22"/>
              </w:rPr>
            </w:pPr>
            <w:r w:rsidRPr="004D7A7B">
              <w:rPr>
                <w:sz w:val="22"/>
                <w:szCs w:val="22"/>
              </w:rPr>
              <w:t>202</w:t>
            </w:r>
            <w:r w:rsidR="004D7A7B">
              <w:rPr>
                <w:sz w:val="22"/>
                <w:szCs w:val="22"/>
              </w:rPr>
              <w:t>2</w:t>
            </w:r>
          </w:p>
        </w:tc>
        <w:tc>
          <w:tcPr>
            <w:tcW w:w="1417" w:type="dxa"/>
          </w:tcPr>
          <w:p w14:paraId="7FB4CF19" w14:textId="3215A039" w:rsidR="003F62BE" w:rsidRPr="004D7A7B" w:rsidRDefault="003F62BE" w:rsidP="00812E67">
            <w:pPr>
              <w:pStyle w:val="TableHead"/>
              <w:rPr>
                <w:sz w:val="22"/>
                <w:szCs w:val="22"/>
              </w:rPr>
            </w:pPr>
            <w:r w:rsidRPr="004D7A7B">
              <w:rPr>
                <w:sz w:val="22"/>
                <w:szCs w:val="22"/>
              </w:rPr>
              <w:t>% of employees reporting</w:t>
            </w:r>
            <w:r w:rsidR="00254A95" w:rsidRPr="004D7A7B">
              <w:rPr>
                <w:sz w:val="22"/>
                <w:szCs w:val="22"/>
              </w:rPr>
              <w:t xml:space="preserve"> a</w:t>
            </w:r>
          </w:p>
          <w:p w14:paraId="5679E64B" w14:textId="55B3D38E" w:rsidR="003F62BE" w:rsidRPr="004D7A7B" w:rsidRDefault="00254A95" w:rsidP="00812E67">
            <w:pPr>
              <w:pStyle w:val="TableHead"/>
              <w:rPr>
                <w:sz w:val="24"/>
              </w:rPr>
            </w:pPr>
            <w:r w:rsidRPr="004D7A7B">
              <w:rPr>
                <w:sz w:val="22"/>
                <w:szCs w:val="22"/>
              </w:rPr>
              <w:t>disability</w:t>
            </w:r>
            <w:r w:rsidR="00F1261F" w:rsidRPr="004D7A7B">
              <w:rPr>
                <w:sz w:val="22"/>
                <w:szCs w:val="22"/>
              </w:rPr>
              <w:t xml:space="preserve"> 202</w:t>
            </w:r>
            <w:r w:rsidR="004D7A7B">
              <w:rPr>
                <w:sz w:val="22"/>
                <w:szCs w:val="22"/>
              </w:rPr>
              <w:t>2</w:t>
            </w:r>
          </w:p>
        </w:tc>
      </w:tr>
      <w:tr w:rsidR="004D7A7B" w:rsidRPr="004D7A7B" w14:paraId="61843E4C" w14:textId="77777777" w:rsidTr="004A3088">
        <w:trPr>
          <w:jc w:val="center"/>
        </w:trPr>
        <w:tc>
          <w:tcPr>
            <w:tcW w:w="1853" w:type="dxa"/>
          </w:tcPr>
          <w:p w14:paraId="559976D7" w14:textId="4D1A83A5" w:rsidR="004D7A7B" w:rsidRPr="004D7A7B" w:rsidRDefault="004D7A7B" w:rsidP="004D7A7B">
            <w:pPr>
              <w:rPr>
                <w:sz w:val="22"/>
                <w:szCs w:val="22"/>
              </w:rPr>
            </w:pPr>
            <w:r w:rsidRPr="004D7A7B">
              <w:rPr>
                <w:rFonts w:cs="Calibri"/>
                <w:color w:val="000000"/>
                <w:sz w:val="22"/>
                <w:szCs w:val="22"/>
              </w:rPr>
              <w:t>Beaumont Hospital</w:t>
            </w:r>
          </w:p>
        </w:tc>
        <w:tc>
          <w:tcPr>
            <w:tcW w:w="1842" w:type="dxa"/>
          </w:tcPr>
          <w:p w14:paraId="7B70EC92" w14:textId="7AA0FE99" w:rsidR="004D7A7B" w:rsidRPr="004D7A7B" w:rsidRDefault="004D7A7B" w:rsidP="004D7A7B">
            <w:pPr>
              <w:jc w:val="right"/>
              <w:rPr>
                <w:sz w:val="22"/>
                <w:szCs w:val="22"/>
              </w:rPr>
            </w:pPr>
            <w:r w:rsidRPr="004D7A7B">
              <w:rPr>
                <w:rFonts w:cs="Calibri"/>
                <w:color w:val="000000"/>
                <w:sz w:val="22"/>
                <w:szCs w:val="22"/>
              </w:rPr>
              <w:t>4,508</w:t>
            </w:r>
          </w:p>
        </w:tc>
        <w:tc>
          <w:tcPr>
            <w:tcW w:w="1560" w:type="dxa"/>
          </w:tcPr>
          <w:p w14:paraId="36308E68" w14:textId="72BAF31C" w:rsidR="004D7A7B" w:rsidRPr="004D7A7B" w:rsidRDefault="004D7A7B" w:rsidP="004D7A7B">
            <w:pPr>
              <w:jc w:val="right"/>
              <w:rPr>
                <w:sz w:val="22"/>
                <w:szCs w:val="22"/>
              </w:rPr>
            </w:pPr>
            <w:r w:rsidRPr="004D7A7B">
              <w:rPr>
                <w:rFonts w:cs="Calibri"/>
                <w:color w:val="000000"/>
                <w:sz w:val="22"/>
                <w:szCs w:val="22"/>
              </w:rPr>
              <w:t>201</w:t>
            </w:r>
          </w:p>
        </w:tc>
        <w:tc>
          <w:tcPr>
            <w:tcW w:w="1417" w:type="dxa"/>
          </w:tcPr>
          <w:p w14:paraId="7FD3FEE0" w14:textId="60F3F7DD" w:rsidR="004D7A7B" w:rsidRPr="004D7A7B" w:rsidRDefault="004D7A7B" w:rsidP="004D7A7B">
            <w:pPr>
              <w:jc w:val="right"/>
              <w:rPr>
                <w:sz w:val="22"/>
                <w:szCs w:val="22"/>
              </w:rPr>
            </w:pPr>
            <w:r w:rsidRPr="004D7A7B">
              <w:rPr>
                <w:rFonts w:cs="Calibri"/>
                <w:color w:val="000000"/>
                <w:sz w:val="22"/>
                <w:szCs w:val="22"/>
              </w:rPr>
              <w:t>4.5%</w:t>
            </w:r>
          </w:p>
        </w:tc>
        <w:tc>
          <w:tcPr>
            <w:tcW w:w="1418" w:type="dxa"/>
          </w:tcPr>
          <w:p w14:paraId="7D61B0AD" w14:textId="77777777" w:rsidR="004D7A7B" w:rsidRDefault="004D7A7B" w:rsidP="004D7A7B">
            <w:pPr>
              <w:spacing w:after="0"/>
              <w:jc w:val="right"/>
              <w:rPr>
                <w:rFonts w:cs="Calibri"/>
                <w:color w:val="000000"/>
                <w:sz w:val="22"/>
                <w:szCs w:val="22"/>
                <w:lang w:eastAsia="en-IE"/>
              </w:rPr>
            </w:pPr>
            <w:r>
              <w:rPr>
                <w:rFonts w:cs="Calibri"/>
                <w:color w:val="000000"/>
                <w:sz w:val="22"/>
                <w:szCs w:val="22"/>
              </w:rPr>
              <w:t>4683</w:t>
            </w:r>
          </w:p>
          <w:p w14:paraId="02E5C214" w14:textId="2CE7D982" w:rsidR="004D7A7B" w:rsidRPr="004D7A7B" w:rsidRDefault="004D7A7B" w:rsidP="004D7A7B">
            <w:pPr>
              <w:jc w:val="right"/>
              <w:rPr>
                <w:sz w:val="22"/>
                <w:szCs w:val="22"/>
              </w:rPr>
            </w:pPr>
          </w:p>
        </w:tc>
        <w:tc>
          <w:tcPr>
            <w:tcW w:w="1559" w:type="dxa"/>
          </w:tcPr>
          <w:p w14:paraId="45AB2044" w14:textId="77777777" w:rsidR="004D7A7B" w:rsidRDefault="004D7A7B" w:rsidP="004D7A7B">
            <w:pPr>
              <w:spacing w:after="0"/>
              <w:jc w:val="right"/>
              <w:rPr>
                <w:rFonts w:cs="Calibri"/>
                <w:color w:val="000000"/>
                <w:sz w:val="22"/>
                <w:szCs w:val="22"/>
                <w:lang w:eastAsia="en-IE"/>
              </w:rPr>
            </w:pPr>
            <w:r>
              <w:rPr>
                <w:rFonts w:cs="Calibri"/>
                <w:color w:val="000000"/>
                <w:sz w:val="22"/>
                <w:szCs w:val="22"/>
              </w:rPr>
              <w:t>202</w:t>
            </w:r>
          </w:p>
          <w:p w14:paraId="43531F8E" w14:textId="67FB408A" w:rsidR="004D7A7B" w:rsidRPr="004D7A7B" w:rsidRDefault="004D7A7B" w:rsidP="004D7A7B">
            <w:pPr>
              <w:jc w:val="right"/>
              <w:rPr>
                <w:sz w:val="22"/>
                <w:szCs w:val="22"/>
              </w:rPr>
            </w:pPr>
          </w:p>
        </w:tc>
        <w:tc>
          <w:tcPr>
            <w:tcW w:w="1417" w:type="dxa"/>
          </w:tcPr>
          <w:p w14:paraId="3C5C4D4D" w14:textId="77777777" w:rsidR="004D7A7B" w:rsidRDefault="004D7A7B" w:rsidP="004D7A7B">
            <w:pPr>
              <w:spacing w:after="0"/>
              <w:jc w:val="right"/>
              <w:rPr>
                <w:rFonts w:cs="Calibri"/>
                <w:color w:val="000000"/>
                <w:sz w:val="22"/>
                <w:szCs w:val="22"/>
                <w:lang w:eastAsia="en-IE"/>
              </w:rPr>
            </w:pPr>
            <w:r>
              <w:rPr>
                <w:rFonts w:cs="Calibri"/>
                <w:color w:val="000000"/>
                <w:sz w:val="22"/>
                <w:szCs w:val="22"/>
              </w:rPr>
              <w:t>4.3%</w:t>
            </w:r>
          </w:p>
          <w:p w14:paraId="66EE5D75" w14:textId="5855A080" w:rsidR="004D7A7B" w:rsidRPr="004D7A7B" w:rsidRDefault="004D7A7B" w:rsidP="004D7A7B">
            <w:pPr>
              <w:jc w:val="right"/>
              <w:rPr>
                <w:sz w:val="22"/>
                <w:szCs w:val="22"/>
              </w:rPr>
            </w:pPr>
          </w:p>
        </w:tc>
      </w:tr>
      <w:tr w:rsidR="004D7A7B" w:rsidRPr="004D7A7B" w14:paraId="0E4F61F6" w14:textId="77777777" w:rsidTr="004A3088">
        <w:trPr>
          <w:jc w:val="center"/>
        </w:trPr>
        <w:tc>
          <w:tcPr>
            <w:tcW w:w="1853" w:type="dxa"/>
          </w:tcPr>
          <w:p w14:paraId="182630D4" w14:textId="0D391F9F" w:rsidR="004D7A7B" w:rsidRPr="004D7A7B" w:rsidRDefault="004D7A7B" w:rsidP="004D7A7B">
            <w:pPr>
              <w:rPr>
                <w:sz w:val="22"/>
                <w:szCs w:val="22"/>
              </w:rPr>
            </w:pPr>
            <w:r w:rsidRPr="004D7A7B">
              <w:rPr>
                <w:rFonts w:cs="Calibri"/>
                <w:color w:val="000000"/>
                <w:sz w:val="22"/>
                <w:szCs w:val="22"/>
              </w:rPr>
              <w:t>Dental Council</w:t>
            </w:r>
          </w:p>
        </w:tc>
        <w:tc>
          <w:tcPr>
            <w:tcW w:w="1842" w:type="dxa"/>
          </w:tcPr>
          <w:p w14:paraId="0C2BEB1E" w14:textId="578495DE" w:rsidR="004D7A7B" w:rsidRPr="004D7A7B" w:rsidRDefault="004D7A7B" w:rsidP="004D7A7B">
            <w:pPr>
              <w:jc w:val="right"/>
              <w:rPr>
                <w:sz w:val="22"/>
                <w:szCs w:val="22"/>
              </w:rPr>
            </w:pPr>
            <w:r w:rsidRPr="004D7A7B">
              <w:rPr>
                <w:rFonts w:cs="Calibri"/>
                <w:color w:val="000000"/>
                <w:sz w:val="22"/>
                <w:szCs w:val="22"/>
              </w:rPr>
              <w:t>8</w:t>
            </w:r>
          </w:p>
        </w:tc>
        <w:tc>
          <w:tcPr>
            <w:tcW w:w="1560" w:type="dxa"/>
          </w:tcPr>
          <w:p w14:paraId="0BE796EC" w14:textId="19DE3405" w:rsidR="004D7A7B" w:rsidRPr="004D7A7B" w:rsidRDefault="004D7A7B" w:rsidP="004D7A7B">
            <w:pPr>
              <w:jc w:val="right"/>
              <w:rPr>
                <w:sz w:val="22"/>
                <w:szCs w:val="22"/>
              </w:rPr>
            </w:pPr>
            <w:r w:rsidRPr="004D7A7B">
              <w:rPr>
                <w:rFonts w:cs="Calibri"/>
                <w:color w:val="000000"/>
                <w:sz w:val="22"/>
                <w:szCs w:val="22"/>
              </w:rPr>
              <w:t>0</w:t>
            </w:r>
          </w:p>
        </w:tc>
        <w:tc>
          <w:tcPr>
            <w:tcW w:w="1417" w:type="dxa"/>
          </w:tcPr>
          <w:p w14:paraId="4E9597FA" w14:textId="19CD1D0B" w:rsidR="004D7A7B" w:rsidRPr="004D7A7B" w:rsidRDefault="004D7A7B" w:rsidP="004D7A7B">
            <w:pPr>
              <w:jc w:val="right"/>
              <w:rPr>
                <w:sz w:val="22"/>
                <w:szCs w:val="22"/>
              </w:rPr>
            </w:pPr>
            <w:r w:rsidRPr="004D7A7B">
              <w:rPr>
                <w:rFonts w:cs="Calibri"/>
                <w:color w:val="000000"/>
                <w:sz w:val="22"/>
                <w:szCs w:val="22"/>
              </w:rPr>
              <w:t>0.0%</w:t>
            </w:r>
          </w:p>
        </w:tc>
        <w:tc>
          <w:tcPr>
            <w:tcW w:w="1418" w:type="dxa"/>
          </w:tcPr>
          <w:p w14:paraId="484F9A15" w14:textId="77777777" w:rsidR="004D7A7B" w:rsidRDefault="004D7A7B" w:rsidP="004D7A7B">
            <w:pPr>
              <w:spacing w:after="0"/>
              <w:jc w:val="right"/>
              <w:rPr>
                <w:rFonts w:cs="Calibri"/>
                <w:color w:val="000000"/>
                <w:sz w:val="22"/>
                <w:szCs w:val="22"/>
                <w:lang w:eastAsia="en-IE"/>
              </w:rPr>
            </w:pPr>
            <w:r>
              <w:rPr>
                <w:rFonts w:cs="Calibri"/>
                <w:color w:val="000000"/>
                <w:sz w:val="22"/>
                <w:szCs w:val="22"/>
              </w:rPr>
              <w:t>8</w:t>
            </w:r>
          </w:p>
          <w:p w14:paraId="5BF42D28" w14:textId="4CEAFAE9" w:rsidR="004D7A7B" w:rsidRPr="004D7A7B" w:rsidRDefault="004D7A7B" w:rsidP="004D7A7B">
            <w:pPr>
              <w:jc w:val="right"/>
              <w:rPr>
                <w:sz w:val="22"/>
                <w:szCs w:val="22"/>
              </w:rPr>
            </w:pPr>
          </w:p>
        </w:tc>
        <w:tc>
          <w:tcPr>
            <w:tcW w:w="1559" w:type="dxa"/>
          </w:tcPr>
          <w:p w14:paraId="4175417B" w14:textId="37811B5D" w:rsidR="004D7A7B" w:rsidRPr="004D7A7B" w:rsidRDefault="004D7A7B" w:rsidP="004D7A7B">
            <w:pPr>
              <w:jc w:val="right"/>
              <w:rPr>
                <w:sz w:val="22"/>
                <w:szCs w:val="22"/>
              </w:rPr>
            </w:pPr>
            <w:r w:rsidRPr="004D7A7B">
              <w:rPr>
                <w:rFonts w:cs="Calibri"/>
                <w:color w:val="000000"/>
                <w:sz w:val="22"/>
                <w:szCs w:val="22"/>
              </w:rPr>
              <w:t>0</w:t>
            </w:r>
          </w:p>
        </w:tc>
        <w:tc>
          <w:tcPr>
            <w:tcW w:w="1417" w:type="dxa"/>
          </w:tcPr>
          <w:p w14:paraId="4A5DDF61" w14:textId="6F039ED8" w:rsidR="004D7A7B" w:rsidRPr="004D7A7B" w:rsidRDefault="004D7A7B" w:rsidP="004D7A7B">
            <w:pPr>
              <w:jc w:val="right"/>
              <w:rPr>
                <w:sz w:val="22"/>
                <w:szCs w:val="22"/>
              </w:rPr>
            </w:pPr>
            <w:r w:rsidRPr="004D7A7B">
              <w:rPr>
                <w:rFonts w:cs="Calibri"/>
                <w:color w:val="000000"/>
                <w:sz w:val="22"/>
                <w:szCs w:val="22"/>
              </w:rPr>
              <w:t>0.0%</w:t>
            </w:r>
          </w:p>
        </w:tc>
      </w:tr>
      <w:tr w:rsidR="004D7A7B" w:rsidRPr="004D7A7B" w14:paraId="4BD24DCF" w14:textId="77777777" w:rsidTr="004A3088">
        <w:trPr>
          <w:jc w:val="center"/>
        </w:trPr>
        <w:tc>
          <w:tcPr>
            <w:tcW w:w="1853" w:type="dxa"/>
          </w:tcPr>
          <w:p w14:paraId="4224D3A5" w14:textId="1F760859" w:rsidR="004D7A7B" w:rsidRPr="004D7A7B" w:rsidRDefault="004D7A7B" w:rsidP="004D7A7B">
            <w:pPr>
              <w:rPr>
                <w:sz w:val="22"/>
                <w:szCs w:val="22"/>
              </w:rPr>
            </w:pPr>
            <w:r w:rsidRPr="004D7A7B">
              <w:rPr>
                <w:rFonts w:cs="Calibri"/>
                <w:color w:val="000000"/>
                <w:sz w:val="22"/>
                <w:szCs w:val="22"/>
              </w:rPr>
              <w:t>Dublin Dental University Hospital</w:t>
            </w:r>
          </w:p>
        </w:tc>
        <w:tc>
          <w:tcPr>
            <w:tcW w:w="1842" w:type="dxa"/>
          </w:tcPr>
          <w:p w14:paraId="19D83EAE" w14:textId="681C1E4B" w:rsidR="004D7A7B" w:rsidRPr="004D7A7B" w:rsidRDefault="004D7A7B" w:rsidP="004D7A7B">
            <w:pPr>
              <w:jc w:val="right"/>
              <w:rPr>
                <w:sz w:val="22"/>
                <w:szCs w:val="22"/>
              </w:rPr>
            </w:pPr>
            <w:r w:rsidRPr="004D7A7B">
              <w:rPr>
                <w:rFonts w:cs="Calibri"/>
                <w:color w:val="000000"/>
                <w:sz w:val="22"/>
                <w:szCs w:val="22"/>
              </w:rPr>
              <w:t>212</w:t>
            </w:r>
          </w:p>
        </w:tc>
        <w:tc>
          <w:tcPr>
            <w:tcW w:w="1560" w:type="dxa"/>
          </w:tcPr>
          <w:p w14:paraId="17E9559B" w14:textId="6C50DA2C" w:rsidR="004D7A7B" w:rsidRPr="004D7A7B" w:rsidRDefault="004D7A7B" w:rsidP="004D7A7B">
            <w:pPr>
              <w:jc w:val="right"/>
              <w:rPr>
                <w:sz w:val="22"/>
                <w:szCs w:val="22"/>
              </w:rPr>
            </w:pPr>
            <w:r w:rsidRPr="004D7A7B">
              <w:rPr>
                <w:rFonts w:cs="Calibri"/>
                <w:color w:val="000000"/>
                <w:sz w:val="22"/>
                <w:szCs w:val="22"/>
              </w:rPr>
              <w:t>10</w:t>
            </w:r>
          </w:p>
        </w:tc>
        <w:tc>
          <w:tcPr>
            <w:tcW w:w="1417" w:type="dxa"/>
          </w:tcPr>
          <w:p w14:paraId="6D85DE38" w14:textId="3C6322DB" w:rsidR="004D7A7B" w:rsidRPr="004D7A7B" w:rsidRDefault="004D7A7B" w:rsidP="004D7A7B">
            <w:pPr>
              <w:jc w:val="right"/>
              <w:rPr>
                <w:sz w:val="22"/>
                <w:szCs w:val="22"/>
              </w:rPr>
            </w:pPr>
            <w:r w:rsidRPr="004D7A7B">
              <w:rPr>
                <w:rFonts w:cs="Calibri"/>
                <w:color w:val="000000"/>
                <w:sz w:val="22"/>
                <w:szCs w:val="22"/>
              </w:rPr>
              <w:t>4.7%</w:t>
            </w:r>
          </w:p>
        </w:tc>
        <w:tc>
          <w:tcPr>
            <w:tcW w:w="1418" w:type="dxa"/>
          </w:tcPr>
          <w:p w14:paraId="331F6087" w14:textId="77777777" w:rsidR="004D7A7B" w:rsidRDefault="004D7A7B" w:rsidP="004D7A7B">
            <w:pPr>
              <w:spacing w:after="0"/>
              <w:jc w:val="right"/>
              <w:rPr>
                <w:rFonts w:cs="Calibri"/>
                <w:color w:val="000000"/>
                <w:sz w:val="22"/>
                <w:szCs w:val="22"/>
                <w:lang w:eastAsia="en-IE"/>
              </w:rPr>
            </w:pPr>
            <w:r>
              <w:rPr>
                <w:rFonts w:cs="Calibri"/>
                <w:color w:val="000000"/>
                <w:sz w:val="22"/>
                <w:szCs w:val="22"/>
              </w:rPr>
              <w:t>356</w:t>
            </w:r>
          </w:p>
          <w:p w14:paraId="43AAEC0D" w14:textId="324483B5" w:rsidR="004D7A7B" w:rsidRPr="004D7A7B" w:rsidRDefault="004D7A7B" w:rsidP="004D7A7B">
            <w:pPr>
              <w:jc w:val="right"/>
              <w:rPr>
                <w:sz w:val="22"/>
                <w:szCs w:val="22"/>
              </w:rPr>
            </w:pPr>
          </w:p>
        </w:tc>
        <w:tc>
          <w:tcPr>
            <w:tcW w:w="1559" w:type="dxa"/>
          </w:tcPr>
          <w:p w14:paraId="5E797C77"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15</w:t>
            </w:r>
          </w:p>
          <w:p w14:paraId="0F2E832C" w14:textId="78821AA1" w:rsidR="004D7A7B" w:rsidRPr="004D7A7B" w:rsidRDefault="004D7A7B" w:rsidP="004D7A7B">
            <w:pPr>
              <w:jc w:val="right"/>
              <w:rPr>
                <w:sz w:val="22"/>
                <w:szCs w:val="22"/>
              </w:rPr>
            </w:pPr>
          </w:p>
        </w:tc>
        <w:tc>
          <w:tcPr>
            <w:tcW w:w="1417" w:type="dxa"/>
          </w:tcPr>
          <w:p w14:paraId="0BB36581" w14:textId="77777777" w:rsidR="004D7A7B" w:rsidRDefault="004D7A7B" w:rsidP="004D7A7B">
            <w:pPr>
              <w:spacing w:after="0"/>
              <w:jc w:val="right"/>
              <w:rPr>
                <w:rFonts w:cs="Calibri"/>
                <w:color w:val="000000"/>
                <w:sz w:val="22"/>
                <w:szCs w:val="22"/>
                <w:lang w:eastAsia="en-IE"/>
              </w:rPr>
            </w:pPr>
            <w:r>
              <w:rPr>
                <w:rFonts w:cs="Calibri"/>
                <w:color w:val="000000"/>
                <w:sz w:val="22"/>
                <w:szCs w:val="22"/>
              </w:rPr>
              <w:t>4.2%</w:t>
            </w:r>
          </w:p>
          <w:p w14:paraId="066AD74D" w14:textId="6DA89C53" w:rsidR="004D7A7B" w:rsidRPr="004D7A7B" w:rsidRDefault="004D7A7B" w:rsidP="004D7A7B">
            <w:pPr>
              <w:jc w:val="right"/>
              <w:rPr>
                <w:sz w:val="22"/>
                <w:szCs w:val="22"/>
              </w:rPr>
            </w:pPr>
          </w:p>
        </w:tc>
      </w:tr>
      <w:tr w:rsidR="004D7A7B" w:rsidRPr="004D7A7B" w14:paraId="177FC2EC" w14:textId="77777777" w:rsidTr="004A3088">
        <w:trPr>
          <w:jc w:val="center"/>
        </w:trPr>
        <w:tc>
          <w:tcPr>
            <w:tcW w:w="1853" w:type="dxa"/>
          </w:tcPr>
          <w:p w14:paraId="18870FE6" w14:textId="10892A33" w:rsidR="004D7A7B" w:rsidRPr="004D7A7B" w:rsidRDefault="004D7A7B" w:rsidP="004D7A7B">
            <w:pPr>
              <w:rPr>
                <w:sz w:val="22"/>
                <w:szCs w:val="22"/>
              </w:rPr>
            </w:pPr>
            <w:r w:rsidRPr="004D7A7B">
              <w:rPr>
                <w:rFonts w:cs="Calibri"/>
                <w:color w:val="000000"/>
                <w:sz w:val="22"/>
                <w:szCs w:val="22"/>
              </w:rPr>
              <w:t>Food Safety Authority of Ireland</w:t>
            </w:r>
          </w:p>
        </w:tc>
        <w:tc>
          <w:tcPr>
            <w:tcW w:w="1842" w:type="dxa"/>
          </w:tcPr>
          <w:p w14:paraId="1079A3CE" w14:textId="3B639BF3" w:rsidR="004D7A7B" w:rsidRPr="004D7A7B" w:rsidRDefault="004D7A7B" w:rsidP="004D7A7B">
            <w:pPr>
              <w:jc w:val="right"/>
              <w:rPr>
                <w:sz w:val="22"/>
                <w:szCs w:val="22"/>
              </w:rPr>
            </w:pPr>
            <w:r w:rsidRPr="004D7A7B">
              <w:rPr>
                <w:rFonts w:cs="Calibri"/>
                <w:color w:val="000000"/>
                <w:sz w:val="22"/>
                <w:szCs w:val="22"/>
              </w:rPr>
              <w:t>91</w:t>
            </w:r>
          </w:p>
        </w:tc>
        <w:tc>
          <w:tcPr>
            <w:tcW w:w="1560" w:type="dxa"/>
          </w:tcPr>
          <w:p w14:paraId="258DC09F" w14:textId="1B063F55" w:rsidR="004D7A7B" w:rsidRPr="004D7A7B" w:rsidRDefault="004D7A7B" w:rsidP="004D7A7B">
            <w:pPr>
              <w:jc w:val="right"/>
              <w:rPr>
                <w:sz w:val="22"/>
                <w:szCs w:val="22"/>
              </w:rPr>
            </w:pPr>
            <w:r w:rsidRPr="004D7A7B">
              <w:rPr>
                <w:rFonts w:cs="Calibri"/>
                <w:color w:val="000000"/>
                <w:sz w:val="22"/>
                <w:szCs w:val="22"/>
              </w:rPr>
              <w:t>5</w:t>
            </w:r>
          </w:p>
        </w:tc>
        <w:tc>
          <w:tcPr>
            <w:tcW w:w="1417" w:type="dxa"/>
          </w:tcPr>
          <w:p w14:paraId="4A2362BC" w14:textId="11E67EC4" w:rsidR="004D7A7B" w:rsidRPr="004D7A7B" w:rsidRDefault="004D7A7B" w:rsidP="004D7A7B">
            <w:pPr>
              <w:jc w:val="right"/>
              <w:rPr>
                <w:sz w:val="22"/>
                <w:szCs w:val="22"/>
              </w:rPr>
            </w:pPr>
            <w:r w:rsidRPr="004D7A7B">
              <w:rPr>
                <w:rFonts w:cs="Calibri"/>
                <w:color w:val="000000"/>
                <w:sz w:val="22"/>
                <w:szCs w:val="22"/>
              </w:rPr>
              <w:t>5.5%</w:t>
            </w:r>
          </w:p>
        </w:tc>
        <w:tc>
          <w:tcPr>
            <w:tcW w:w="1418" w:type="dxa"/>
          </w:tcPr>
          <w:p w14:paraId="629EB59C"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101</w:t>
            </w:r>
          </w:p>
          <w:p w14:paraId="4A8FB15E" w14:textId="72A92264" w:rsidR="004D7A7B" w:rsidRPr="004D7A7B" w:rsidRDefault="004D7A7B" w:rsidP="004D7A7B">
            <w:pPr>
              <w:jc w:val="right"/>
              <w:rPr>
                <w:sz w:val="22"/>
                <w:szCs w:val="22"/>
              </w:rPr>
            </w:pPr>
          </w:p>
        </w:tc>
        <w:tc>
          <w:tcPr>
            <w:tcW w:w="1559" w:type="dxa"/>
          </w:tcPr>
          <w:p w14:paraId="78C4EAD6" w14:textId="77777777" w:rsidR="004D7A7B" w:rsidRDefault="004D7A7B" w:rsidP="004D7A7B">
            <w:pPr>
              <w:spacing w:after="0"/>
              <w:jc w:val="right"/>
              <w:rPr>
                <w:rFonts w:cs="Calibri"/>
                <w:color w:val="000000"/>
                <w:sz w:val="22"/>
                <w:szCs w:val="22"/>
                <w:lang w:eastAsia="en-IE"/>
              </w:rPr>
            </w:pPr>
            <w:r>
              <w:rPr>
                <w:rFonts w:cs="Calibri"/>
                <w:color w:val="000000"/>
                <w:sz w:val="22"/>
                <w:szCs w:val="22"/>
              </w:rPr>
              <w:t>6</w:t>
            </w:r>
          </w:p>
          <w:p w14:paraId="059452A5" w14:textId="2E078C96" w:rsidR="004D7A7B" w:rsidRPr="004D7A7B" w:rsidRDefault="004D7A7B" w:rsidP="004D7A7B">
            <w:pPr>
              <w:jc w:val="right"/>
              <w:rPr>
                <w:sz w:val="22"/>
                <w:szCs w:val="22"/>
              </w:rPr>
            </w:pPr>
          </w:p>
        </w:tc>
        <w:tc>
          <w:tcPr>
            <w:tcW w:w="1417" w:type="dxa"/>
          </w:tcPr>
          <w:p w14:paraId="54396E24" w14:textId="77777777" w:rsidR="004D7A7B" w:rsidRDefault="004D7A7B" w:rsidP="004D7A7B">
            <w:pPr>
              <w:spacing w:after="0"/>
              <w:jc w:val="right"/>
              <w:rPr>
                <w:rFonts w:cs="Calibri"/>
                <w:color w:val="000000"/>
                <w:sz w:val="22"/>
                <w:szCs w:val="22"/>
                <w:lang w:eastAsia="en-IE"/>
              </w:rPr>
            </w:pPr>
            <w:r>
              <w:rPr>
                <w:rFonts w:cs="Calibri"/>
                <w:color w:val="000000"/>
                <w:sz w:val="22"/>
                <w:szCs w:val="22"/>
              </w:rPr>
              <w:t>5.9%</w:t>
            </w:r>
          </w:p>
          <w:p w14:paraId="26334235" w14:textId="097D7BEB" w:rsidR="004D7A7B" w:rsidRPr="004D7A7B" w:rsidRDefault="004D7A7B" w:rsidP="004D7A7B">
            <w:pPr>
              <w:jc w:val="right"/>
              <w:rPr>
                <w:sz w:val="22"/>
                <w:szCs w:val="22"/>
              </w:rPr>
            </w:pPr>
          </w:p>
        </w:tc>
      </w:tr>
      <w:tr w:rsidR="004D7A7B" w:rsidRPr="004D7A7B" w14:paraId="0FA21089" w14:textId="77777777" w:rsidTr="004A3088">
        <w:trPr>
          <w:jc w:val="center"/>
        </w:trPr>
        <w:tc>
          <w:tcPr>
            <w:tcW w:w="1853" w:type="dxa"/>
          </w:tcPr>
          <w:p w14:paraId="74FAD41E" w14:textId="7924A34B" w:rsidR="004D7A7B" w:rsidRPr="004D7A7B" w:rsidRDefault="004D7A7B" w:rsidP="004D7A7B">
            <w:pPr>
              <w:rPr>
                <w:sz w:val="22"/>
                <w:szCs w:val="22"/>
              </w:rPr>
            </w:pPr>
            <w:r w:rsidRPr="004D7A7B">
              <w:rPr>
                <w:rFonts w:cs="Calibri"/>
                <w:color w:val="000000"/>
                <w:sz w:val="22"/>
                <w:szCs w:val="22"/>
              </w:rPr>
              <w:t>Health Information &amp; Quality Authority</w:t>
            </w:r>
          </w:p>
        </w:tc>
        <w:tc>
          <w:tcPr>
            <w:tcW w:w="1842" w:type="dxa"/>
          </w:tcPr>
          <w:p w14:paraId="55A86F9E" w14:textId="72AD21CB" w:rsidR="004D7A7B" w:rsidRPr="004D7A7B" w:rsidRDefault="004D7A7B" w:rsidP="004D7A7B">
            <w:pPr>
              <w:jc w:val="right"/>
              <w:rPr>
                <w:sz w:val="22"/>
                <w:szCs w:val="22"/>
              </w:rPr>
            </w:pPr>
            <w:r w:rsidRPr="004D7A7B">
              <w:rPr>
                <w:rFonts w:cs="Calibri"/>
                <w:color w:val="000000"/>
                <w:sz w:val="22"/>
                <w:szCs w:val="22"/>
              </w:rPr>
              <w:t>329</w:t>
            </w:r>
          </w:p>
        </w:tc>
        <w:tc>
          <w:tcPr>
            <w:tcW w:w="1560" w:type="dxa"/>
          </w:tcPr>
          <w:p w14:paraId="39CEEFD1" w14:textId="668C7F5E" w:rsidR="004D7A7B" w:rsidRPr="004D7A7B" w:rsidRDefault="004D7A7B" w:rsidP="004D7A7B">
            <w:pPr>
              <w:jc w:val="right"/>
              <w:rPr>
                <w:sz w:val="22"/>
                <w:szCs w:val="22"/>
              </w:rPr>
            </w:pPr>
            <w:r w:rsidRPr="004D7A7B">
              <w:rPr>
                <w:rFonts w:cs="Calibri"/>
                <w:color w:val="000000"/>
                <w:sz w:val="22"/>
                <w:szCs w:val="22"/>
              </w:rPr>
              <w:t>17</w:t>
            </w:r>
          </w:p>
        </w:tc>
        <w:tc>
          <w:tcPr>
            <w:tcW w:w="1417" w:type="dxa"/>
          </w:tcPr>
          <w:p w14:paraId="52D30296" w14:textId="7448B167" w:rsidR="004D7A7B" w:rsidRPr="004D7A7B" w:rsidRDefault="004D7A7B" w:rsidP="004D7A7B">
            <w:pPr>
              <w:jc w:val="right"/>
              <w:rPr>
                <w:sz w:val="22"/>
                <w:szCs w:val="22"/>
              </w:rPr>
            </w:pPr>
            <w:r w:rsidRPr="004D7A7B">
              <w:rPr>
                <w:rFonts w:cs="Calibri"/>
                <w:color w:val="000000"/>
                <w:sz w:val="22"/>
                <w:szCs w:val="22"/>
              </w:rPr>
              <w:t>5.2%</w:t>
            </w:r>
          </w:p>
        </w:tc>
        <w:tc>
          <w:tcPr>
            <w:tcW w:w="1418" w:type="dxa"/>
          </w:tcPr>
          <w:p w14:paraId="62070804" w14:textId="77777777" w:rsidR="004D7A7B" w:rsidRDefault="004D7A7B" w:rsidP="004D7A7B">
            <w:pPr>
              <w:spacing w:after="0"/>
              <w:jc w:val="right"/>
              <w:rPr>
                <w:rFonts w:cs="Calibri"/>
                <w:color w:val="000000"/>
                <w:sz w:val="22"/>
                <w:szCs w:val="22"/>
                <w:lang w:eastAsia="en-IE"/>
              </w:rPr>
            </w:pPr>
            <w:r>
              <w:rPr>
                <w:rFonts w:cs="Calibri"/>
                <w:color w:val="000000"/>
                <w:sz w:val="22"/>
                <w:szCs w:val="22"/>
              </w:rPr>
              <w:t>357</w:t>
            </w:r>
          </w:p>
          <w:p w14:paraId="04171049" w14:textId="2DDA4F8C" w:rsidR="004D7A7B" w:rsidRPr="004D7A7B" w:rsidRDefault="004D7A7B" w:rsidP="004D7A7B">
            <w:pPr>
              <w:jc w:val="right"/>
              <w:rPr>
                <w:sz w:val="22"/>
                <w:szCs w:val="22"/>
              </w:rPr>
            </w:pPr>
          </w:p>
        </w:tc>
        <w:tc>
          <w:tcPr>
            <w:tcW w:w="1559" w:type="dxa"/>
          </w:tcPr>
          <w:p w14:paraId="195364DE"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19</w:t>
            </w:r>
          </w:p>
          <w:p w14:paraId="03D86131" w14:textId="5E9C50F2" w:rsidR="004D7A7B" w:rsidRPr="004D7A7B" w:rsidRDefault="004D7A7B" w:rsidP="004D7A7B">
            <w:pPr>
              <w:jc w:val="right"/>
              <w:rPr>
                <w:sz w:val="22"/>
                <w:szCs w:val="22"/>
              </w:rPr>
            </w:pPr>
          </w:p>
        </w:tc>
        <w:tc>
          <w:tcPr>
            <w:tcW w:w="1417" w:type="dxa"/>
          </w:tcPr>
          <w:p w14:paraId="382F5C38" w14:textId="77777777" w:rsidR="004D7A7B" w:rsidRDefault="004D7A7B" w:rsidP="004D7A7B">
            <w:pPr>
              <w:spacing w:after="0"/>
              <w:jc w:val="right"/>
              <w:rPr>
                <w:rFonts w:cs="Calibri"/>
                <w:color w:val="000000"/>
                <w:sz w:val="22"/>
                <w:szCs w:val="22"/>
                <w:lang w:eastAsia="en-IE"/>
              </w:rPr>
            </w:pPr>
            <w:r>
              <w:rPr>
                <w:rFonts w:cs="Calibri"/>
                <w:color w:val="000000"/>
                <w:sz w:val="22"/>
                <w:szCs w:val="22"/>
              </w:rPr>
              <w:t>5.3%</w:t>
            </w:r>
          </w:p>
          <w:p w14:paraId="1F154FC6" w14:textId="5D99569B" w:rsidR="004D7A7B" w:rsidRPr="004D7A7B" w:rsidRDefault="004D7A7B" w:rsidP="004D7A7B">
            <w:pPr>
              <w:jc w:val="right"/>
              <w:rPr>
                <w:sz w:val="22"/>
                <w:szCs w:val="22"/>
              </w:rPr>
            </w:pPr>
          </w:p>
        </w:tc>
      </w:tr>
      <w:tr w:rsidR="004D7A7B" w:rsidRPr="004D7A7B" w14:paraId="6C634916" w14:textId="77777777" w:rsidTr="004A3088">
        <w:trPr>
          <w:jc w:val="center"/>
        </w:trPr>
        <w:tc>
          <w:tcPr>
            <w:tcW w:w="1853" w:type="dxa"/>
          </w:tcPr>
          <w:p w14:paraId="49888DC0" w14:textId="0D995A01" w:rsidR="004D7A7B" w:rsidRPr="004D7A7B" w:rsidRDefault="004D7A7B" w:rsidP="004D7A7B">
            <w:pPr>
              <w:rPr>
                <w:sz w:val="22"/>
                <w:szCs w:val="22"/>
              </w:rPr>
            </w:pPr>
            <w:r w:rsidRPr="004D7A7B">
              <w:rPr>
                <w:rFonts w:cs="Calibri"/>
                <w:color w:val="000000"/>
                <w:sz w:val="22"/>
                <w:szCs w:val="22"/>
              </w:rPr>
              <w:t>Health Insurance Authority</w:t>
            </w:r>
          </w:p>
        </w:tc>
        <w:tc>
          <w:tcPr>
            <w:tcW w:w="1842" w:type="dxa"/>
          </w:tcPr>
          <w:p w14:paraId="16B2C93B" w14:textId="35062240" w:rsidR="004D7A7B" w:rsidRPr="004D7A7B" w:rsidRDefault="004D7A7B" w:rsidP="004D7A7B">
            <w:pPr>
              <w:jc w:val="right"/>
              <w:rPr>
                <w:sz w:val="22"/>
                <w:szCs w:val="22"/>
              </w:rPr>
            </w:pPr>
            <w:r w:rsidRPr="004D7A7B">
              <w:rPr>
                <w:rFonts w:cs="Calibri"/>
                <w:color w:val="000000"/>
                <w:sz w:val="22"/>
                <w:szCs w:val="22"/>
              </w:rPr>
              <w:t>13</w:t>
            </w:r>
          </w:p>
        </w:tc>
        <w:tc>
          <w:tcPr>
            <w:tcW w:w="1560" w:type="dxa"/>
          </w:tcPr>
          <w:p w14:paraId="63DEA50A" w14:textId="4AFF8486" w:rsidR="004D7A7B" w:rsidRPr="004D7A7B" w:rsidRDefault="004D7A7B" w:rsidP="004D7A7B">
            <w:pPr>
              <w:jc w:val="right"/>
              <w:rPr>
                <w:sz w:val="22"/>
                <w:szCs w:val="22"/>
              </w:rPr>
            </w:pPr>
            <w:r w:rsidRPr="004D7A7B">
              <w:rPr>
                <w:rFonts w:cs="Calibri"/>
                <w:color w:val="000000"/>
                <w:sz w:val="22"/>
                <w:szCs w:val="22"/>
              </w:rPr>
              <w:t>1</w:t>
            </w:r>
          </w:p>
        </w:tc>
        <w:tc>
          <w:tcPr>
            <w:tcW w:w="1417" w:type="dxa"/>
          </w:tcPr>
          <w:p w14:paraId="6F6E4AD8" w14:textId="5B670688" w:rsidR="004D7A7B" w:rsidRPr="004D7A7B" w:rsidRDefault="004D7A7B" w:rsidP="004D7A7B">
            <w:pPr>
              <w:jc w:val="right"/>
              <w:rPr>
                <w:sz w:val="22"/>
                <w:szCs w:val="22"/>
              </w:rPr>
            </w:pPr>
            <w:r w:rsidRPr="004D7A7B">
              <w:rPr>
                <w:rFonts w:cs="Calibri"/>
                <w:color w:val="000000"/>
                <w:sz w:val="22"/>
                <w:szCs w:val="22"/>
              </w:rPr>
              <w:t>7.7%</w:t>
            </w:r>
          </w:p>
        </w:tc>
        <w:tc>
          <w:tcPr>
            <w:tcW w:w="1418" w:type="dxa"/>
          </w:tcPr>
          <w:p w14:paraId="34FBA9B8"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18</w:t>
            </w:r>
          </w:p>
          <w:p w14:paraId="753A34FB" w14:textId="40B333D1" w:rsidR="004D7A7B" w:rsidRPr="004D7A7B" w:rsidRDefault="004D7A7B" w:rsidP="004D7A7B">
            <w:pPr>
              <w:jc w:val="right"/>
              <w:rPr>
                <w:sz w:val="22"/>
                <w:szCs w:val="22"/>
              </w:rPr>
            </w:pPr>
          </w:p>
        </w:tc>
        <w:tc>
          <w:tcPr>
            <w:tcW w:w="1559" w:type="dxa"/>
          </w:tcPr>
          <w:p w14:paraId="655DCB95"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w:t>
            </w:r>
          </w:p>
          <w:p w14:paraId="550F6C68" w14:textId="17F5831A" w:rsidR="004D7A7B" w:rsidRPr="004D7A7B" w:rsidRDefault="004D7A7B" w:rsidP="004D7A7B">
            <w:pPr>
              <w:jc w:val="right"/>
              <w:rPr>
                <w:sz w:val="22"/>
                <w:szCs w:val="22"/>
              </w:rPr>
            </w:pPr>
          </w:p>
        </w:tc>
        <w:tc>
          <w:tcPr>
            <w:tcW w:w="1417" w:type="dxa"/>
          </w:tcPr>
          <w:p w14:paraId="5CCDE284" w14:textId="77777777" w:rsidR="004D7A7B" w:rsidRDefault="004D7A7B" w:rsidP="004D7A7B">
            <w:pPr>
              <w:spacing w:after="0"/>
              <w:jc w:val="right"/>
              <w:rPr>
                <w:rFonts w:cs="Calibri"/>
                <w:color w:val="000000"/>
                <w:sz w:val="22"/>
                <w:szCs w:val="22"/>
                <w:lang w:eastAsia="en-IE"/>
              </w:rPr>
            </w:pPr>
            <w:r>
              <w:rPr>
                <w:rFonts w:cs="Calibri"/>
                <w:color w:val="000000"/>
                <w:sz w:val="22"/>
                <w:szCs w:val="22"/>
              </w:rPr>
              <w:t>5.6%</w:t>
            </w:r>
          </w:p>
          <w:p w14:paraId="4BBEA8EC" w14:textId="2B2A7C76" w:rsidR="004D7A7B" w:rsidRPr="004D7A7B" w:rsidRDefault="004D7A7B" w:rsidP="004D7A7B">
            <w:pPr>
              <w:jc w:val="right"/>
              <w:rPr>
                <w:sz w:val="22"/>
                <w:szCs w:val="22"/>
              </w:rPr>
            </w:pPr>
          </w:p>
        </w:tc>
      </w:tr>
      <w:tr w:rsidR="004D7A7B" w:rsidRPr="004D7A7B" w14:paraId="4943B124" w14:textId="77777777" w:rsidTr="004A3088">
        <w:trPr>
          <w:jc w:val="center"/>
        </w:trPr>
        <w:tc>
          <w:tcPr>
            <w:tcW w:w="1853" w:type="dxa"/>
          </w:tcPr>
          <w:p w14:paraId="18EE21A0" w14:textId="4F1E7F40" w:rsidR="004D7A7B" w:rsidRPr="004D7A7B" w:rsidRDefault="004D7A7B" w:rsidP="004D7A7B">
            <w:pPr>
              <w:rPr>
                <w:sz w:val="22"/>
                <w:szCs w:val="22"/>
              </w:rPr>
            </w:pPr>
            <w:r w:rsidRPr="004D7A7B">
              <w:rPr>
                <w:rFonts w:cs="Calibri"/>
                <w:color w:val="000000"/>
                <w:sz w:val="22"/>
                <w:szCs w:val="22"/>
              </w:rPr>
              <w:t>Health Products Regulatory Authority</w:t>
            </w:r>
          </w:p>
        </w:tc>
        <w:tc>
          <w:tcPr>
            <w:tcW w:w="1842" w:type="dxa"/>
          </w:tcPr>
          <w:p w14:paraId="028CA3B6" w14:textId="34952C88" w:rsidR="004D7A7B" w:rsidRPr="004D7A7B" w:rsidRDefault="004D7A7B" w:rsidP="004D7A7B">
            <w:pPr>
              <w:jc w:val="right"/>
              <w:rPr>
                <w:sz w:val="22"/>
                <w:szCs w:val="22"/>
              </w:rPr>
            </w:pPr>
            <w:r w:rsidRPr="004D7A7B">
              <w:rPr>
                <w:rFonts w:cs="Calibri"/>
                <w:color w:val="000000"/>
                <w:sz w:val="22"/>
                <w:szCs w:val="22"/>
              </w:rPr>
              <w:t>369</w:t>
            </w:r>
          </w:p>
        </w:tc>
        <w:tc>
          <w:tcPr>
            <w:tcW w:w="1560" w:type="dxa"/>
          </w:tcPr>
          <w:p w14:paraId="68713383" w14:textId="20DCFC36" w:rsidR="004D7A7B" w:rsidRPr="004D7A7B" w:rsidRDefault="004D7A7B" w:rsidP="004D7A7B">
            <w:pPr>
              <w:jc w:val="right"/>
              <w:rPr>
                <w:sz w:val="22"/>
                <w:szCs w:val="22"/>
              </w:rPr>
            </w:pPr>
            <w:r w:rsidRPr="004D7A7B">
              <w:rPr>
                <w:rFonts w:cs="Calibri"/>
                <w:color w:val="000000"/>
                <w:sz w:val="22"/>
                <w:szCs w:val="22"/>
              </w:rPr>
              <w:t>16</w:t>
            </w:r>
          </w:p>
        </w:tc>
        <w:tc>
          <w:tcPr>
            <w:tcW w:w="1417" w:type="dxa"/>
          </w:tcPr>
          <w:p w14:paraId="59D223D9" w14:textId="01E047C7" w:rsidR="004D7A7B" w:rsidRPr="004D7A7B" w:rsidRDefault="004D7A7B" w:rsidP="004D7A7B">
            <w:pPr>
              <w:jc w:val="right"/>
              <w:rPr>
                <w:sz w:val="22"/>
                <w:szCs w:val="22"/>
              </w:rPr>
            </w:pPr>
            <w:r w:rsidRPr="004D7A7B">
              <w:rPr>
                <w:rFonts w:cs="Calibri"/>
                <w:color w:val="000000"/>
                <w:sz w:val="22"/>
                <w:szCs w:val="22"/>
              </w:rPr>
              <w:t>4.3%</w:t>
            </w:r>
          </w:p>
        </w:tc>
        <w:tc>
          <w:tcPr>
            <w:tcW w:w="1418" w:type="dxa"/>
          </w:tcPr>
          <w:p w14:paraId="1F20C7CD" w14:textId="77777777" w:rsidR="004D7A7B" w:rsidRDefault="004D7A7B" w:rsidP="004D7A7B">
            <w:pPr>
              <w:spacing w:after="0"/>
              <w:jc w:val="right"/>
              <w:rPr>
                <w:rFonts w:cs="Calibri"/>
                <w:color w:val="000000"/>
                <w:sz w:val="22"/>
                <w:szCs w:val="22"/>
                <w:lang w:eastAsia="en-IE"/>
              </w:rPr>
            </w:pPr>
            <w:r>
              <w:rPr>
                <w:rFonts w:cs="Calibri"/>
                <w:color w:val="000000"/>
                <w:sz w:val="22"/>
                <w:szCs w:val="22"/>
              </w:rPr>
              <w:t>363</w:t>
            </w:r>
          </w:p>
          <w:p w14:paraId="6DB624F4" w14:textId="5221D5C1" w:rsidR="004D7A7B" w:rsidRPr="004D7A7B" w:rsidRDefault="004D7A7B" w:rsidP="004D7A7B">
            <w:pPr>
              <w:jc w:val="right"/>
              <w:rPr>
                <w:sz w:val="22"/>
                <w:szCs w:val="22"/>
              </w:rPr>
            </w:pPr>
          </w:p>
        </w:tc>
        <w:tc>
          <w:tcPr>
            <w:tcW w:w="1559" w:type="dxa"/>
          </w:tcPr>
          <w:p w14:paraId="11227329"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16</w:t>
            </w:r>
          </w:p>
          <w:p w14:paraId="7FB49EC5" w14:textId="3047EB7D" w:rsidR="004D7A7B" w:rsidRPr="004D7A7B" w:rsidRDefault="004D7A7B" w:rsidP="004D7A7B">
            <w:pPr>
              <w:jc w:val="right"/>
              <w:rPr>
                <w:sz w:val="22"/>
                <w:szCs w:val="22"/>
              </w:rPr>
            </w:pPr>
          </w:p>
        </w:tc>
        <w:tc>
          <w:tcPr>
            <w:tcW w:w="1417" w:type="dxa"/>
          </w:tcPr>
          <w:p w14:paraId="2D10C296" w14:textId="77777777" w:rsidR="004D7A7B" w:rsidRDefault="004D7A7B" w:rsidP="004D7A7B">
            <w:pPr>
              <w:spacing w:after="0"/>
              <w:jc w:val="right"/>
              <w:rPr>
                <w:rFonts w:cs="Calibri"/>
                <w:color w:val="000000"/>
                <w:sz w:val="22"/>
                <w:szCs w:val="22"/>
                <w:lang w:eastAsia="en-IE"/>
              </w:rPr>
            </w:pPr>
            <w:r>
              <w:rPr>
                <w:rFonts w:cs="Calibri"/>
                <w:color w:val="000000"/>
                <w:sz w:val="22"/>
                <w:szCs w:val="22"/>
              </w:rPr>
              <w:t>4.4%</w:t>
            </w:r>
          </w:p>
          <w:p w14:paraId="4F3BEEC4" w14:textId="35D7BBAF" w:rsidR="004D7A7B" w:rsidRPr="004D7A7B" w:rsidRDefault="004D7A7B" w:rsidP="004D7A7B">
            <w:pPr>
              <w:jc w:val="right"/>
              <w:rPr>
                <w:sz w:val="22"/>
                <w:szCs w:val="22"/>
              </w:rPr>
            </w:pPr>
          </w:p>
        </w:tc>
      </w:tr>
      <w:tr w:rsidR="004D7A7B" w:rsidRPr="00611BF3" w14:paraId="012921D7" w14:textId="77777777" w:rsidTr="004A3088">
        <w:trPr>
          <w:jc w:val="center"/>
        </w:trPr>
        <w:tc>
          <w:tcPr>
            <w:tcW w:w="1853" w:type="dxa"/>
          </w:tcPr>
          <w:p w14:paraId="0BEC63BD" w14:textId="60049E81" w:rsidR="004D7A7B" w:rsidRPr="004D7A7B" w:rsidRDefault="004D7A7B" w:rsidP="004D7A7B">
            <w:pPr>
              <w:rPr>
                <w:sz w:val="22"/>
                <w:szCs w:val="22"/>
              </w:rPr>
            </w:pPr>
            <w:r w:rsidRPr="004D7A7B">
              <w:rPr>
                <w:rFonts w:cs="Calibri"/>
                <w:color w:val="000000"/>
                <w:sz w:val="22"/>
                <w:szCs w:val="22"/>
              </w:rPr>
              <w:t>Health Research Board</w:t>
            </w:r>
          </w:p>
        </w:tc>
        <w:tc>
          <w:tcPr>
            <w:tcW w:w="1842" w:type="dxa"/>
          </w:tcPr>
          <w:p w14:paraId="06BAF5F2" w14:textId="52196D81" w:rsidR="004D7A7B" w:rsidRPr="004D7A7B" w:rsidRDefault="004D7A7B" w:rsidP="004D7A7B">
            <w:pPr>
              <w:jc w:val="right"/>
              <w:rPr>
                <w:sz w:val="22"/>
                <w:szCs w:val="22"/>
              </w:rPr>
            </w:pPr>
            <w:r w:rsidRPr="004D7A7B">
              <w:rPr>
                <w:rFonts w:cs="Calibri"/>
                <w:color w:val="000000"/>
                <w:sz w:val="22"/>
                <w:szCs w:val="22"/>
              </w:rPr>
              <w:t>87</w:t>
            </w:r>
          </w:p>
        </w:tc>
        <w:tc>
          <w:tcPr>
            <w:tcW w:w="1560" w:type="dxa"/>
          </w:tcPr>
          <w:p w14:paraId="4D7A05CD" w14:textId="4C528818" w:rsidR="004D7A7B" w:rsidRPr="004D7A7B" w:rsidRDefault="004D7A7B" w:rsidP="004D7A7B">
            <w:pPr>
              <w:jc w:val="right"/>
              <w:rPr>
                <w:sz w:val="22"/>
                <w:szCs w:val="22"/>
              </w:rPr>
            </w:pPr>
            <w:r w:rsidRPr="004D7A7B">
              <w:rPr>
                <w:rFonts w:cs="Calibri"/>
                <w:color w:val="000000"/>
                <w:sz w:val="22"/>
                <w:szCs w:val="22"/>
              </w:rPr>
              <w:t>5</w:t>
            </w:r>
          </w:p>
        </w:tc>
        <w:tc>
          <w:tcPr>
            <w:tcW w:w="1417" w:type="dxa"/>
          </w:tcPr>
          <w:p w14:paraId="5D3D6ED9" w14:textId="36759804" w:rsidR="004D7A7B" w:rsidRPr="004D7A7B" w:rsidRDefault="004D7A7B" w:rsidP="004D7A7B">
            <w:pPr>
              <w:jc w:val="right"/>
              <w:rPr>
                <w:sz w:val="22"/>
                <w:szCs w:val="22"/>
              </w:rPr>
            </w:pPr>
            <w:r w:rsidRPr="004D7A7B">
              <w:rPr>
                <w:rFonts w:cs="Calibri"/>
                <w:color w:val="000000"/>
                <w:sz w:val="22"/>
                <w:szCs w:val="22"/>
              </w:rPr>
              <w:t>5.7%</w:t>
            </w:r>
          </w:p>
        </w:tc>
        <w:tc>
          <w:tcPr>
            <w:tcW w:w="1418" w:type="dxa"/>
          </w:tcPr>
          <w:p w14:paraId="35354C9F" w14:textId="77777777" w:rsidR="004D7A7B" w:rsidRDefault="004D7A7B" w:rsidP="004D7A7B">
            <w:pPr>
              <w:spacing w:after="0"/>
              <w:jc w:val="right"/>
              <w:rPr>
                <w:rFonts w:cs="Calibri"/>
                <w:color w:val="000000"/>
                <w:sz w:val="22"/>
                <w:szCs w:val="22"/>
                <w:lang w:eastAsia="en-IE"/>
              </w:rPr>
            </w:pPr>
            <w:r>
              <w:rPr>
                <w:rFonts w:cs="Calibri"/>
                <w:color w:val="000000"/>
                <w:sz w:val="22"/>
                <w:szCs w:val="22"/>
              </w:rPr>
              <w:t>97</w:t>
            </w:r>
          </w:p>
          <w:p w14:paraId="18D271D2" w14:textId="0A157E7A" w:rsidR="004D7A7B" w:rsidRPr="004D7A7B" w:rsidRDefault="004D7A7B" w:rsidP="004D7A7B">
            <w:pPr>
              <w:jc w:val="right"/>
              <w:rPr>
                <w:sz w:val="22"/>
                <w:szCs w:val="22"/>
              </w:rPr>
            </w:pPr>
          </w:p>
        </w:tc>
        <w:tc>
          <w:tcPr>
            <w:tcW w:w="1559" w:type="dxa"/>
          </w:tcPr>
          <w:p w14:paraId="0596549D"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10</w:t>
            </w:r>
          </w:p>
          <w:p w14:paraId="5C6549D9" w14:textId="0D9E39A1" w:rsidR="004D7A7B" w:rsidRPr="004D7A7B" w:rsidRDefault="004D7A7B" w:rsidP="004D7A7B">
            <w:pPr>
              <w:jc w:val="right"/>
              <w:rPr>
                <w:sz w:val="22"/>
                <w:szCs w:val="22"/>
              </w:rPr>
            </w:pPr>
          </w:p>
        </w:tc>
        <w:tc>
          <w:tcPr>
            <w:tcW w:w="1417" w:type="dxa"/>
          </w:tcPr>
          <w:p w14:paraId="7A9CA5EF"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10.3%</w:t>
            </w:r>
          </w:p>
          <w:p w14:paraId="34CEEB64" w14:textId="7712218E" w:rsidR="004D7A7B" w:rsidRPr="004D7A7B" w:rsidRDefault="004D7A7B" w:rsidP="004D7A7B">
            <w:pPr>
              <w:jc w:val="right"/>
              <w:rPr>
                <w:sz w:val="22"/>
                <w:szCs w:val="22"/>
              </w:rPr>
            </w:pPr>
          </w:p>
        </w:tc>
      </w:tr>
      <w:tr w:rsidR="004D7A7B" w:rsidRPr="004D7A7B" w14:paraId="3B62D135" w14:textId="77777777" w:rsidTr="004A3088">
        <w:trPr>
          <w:jc w:val="center"/>
        </w:trPr>
        <w:tc>
          <w:tcPr>
            <w:tcW w:w="1853" w:type="dxa"/>
          </w:tcPr>
          <w:p w14:paraId="665C86F4" w14:textId="2C41960D" w:rsidR="004D7A7B" w:rsidRPr="004D7A7B" w:rsidRDefault="004D7A7B" w:rsidP="004D7A7B">
            <w:pPr>
              <w:rPr>
                <w:sz w:val="22"/>
                <w:szCs w:val="22"/>
              </w:rPr>
            </w:pPr>
            <w:r w:rsidRPr="004D7A7B">
              <w:rPr>
                <w:rFonts w:cs="Calibri"/>
                <w:color w:val="000000"/>
                <w:sz w:val="22"/>
                <w:szCs w:val="22"/>
              </w:rPr>
              <w:t>Health Service Executive</w:t>
            </w:r>
          </w:p>
        </w:tc>
        <w:tc>
          <w:tcPr>
            <w:tcW w:w="1842" w:type="dxa"/>
          </w:tcPr>
          <w:p w14:paraId="06B22273" w14:textId="0984BC70" w:rsidR="004D7A7B" w:rsidRPr="004D7A7B" w:rsidRDefault="004D7A7B" w:rsidP="004D7A7B">
            <w:pPr>
              <w:jc w:val="right"/>
              <w:rPr>
                <w:sz w:val="22"/>
                <w:szCs w:val="22"/>
              </w:rPr>
            </w:pPr>
            <w:r w:rsidRPr="004D7A7B">
              <w:rPr>
                <w:rFonts w:cs="Calibri"/>
                <w:color w:val="000000"/>
                <w:sz w:val="22"/>
                <w:szCs w:val="22"/>
              </w:rPr>
              <w:t>96,675</w:t>
            </w:r>
          </w:p>
        </w:tc>
        <w:tc>
          <w:tcPr>
            <w:tcW w:w="1560" w:type="dxa"/>
          </w:tcPr>
          <w:p w14:paraId="7AE04727" w14:textId="12E111AA" w:rsidR="004D7A7B" w:rsidRPr="004D7A7B" w:rsidRDefault="004D7A7B" w:rsidP="004D7A7B">
            <w:pPr>
              <w:jc w:val="right"/>
              <w:rPr>
                <w:sz w:val="22"/>
                <w:szCs w:val="22"/>
              </w:rPr>
            </w:pPr>
            <w:r w:rsidRPr="004D7A7B">
              <w:rPr>
                <w:rFonts w:cs="Calibri"/>
                <w:color w:val="000000"/>
                <w:sz w:val="22"/>
                <w:szCs w:val="22"/>
              </w:rPr>
              <w:t>1,508</w:t>
            </w:r>
          </w:p>
        </w:tc>
        <w:tc>
          <w:tcPr>
            <w:tcW w:w="1417" w:type="dxa"/>
          </w:tcPr>
          <w:p w14:paraId="091697E9" w14:textId="4DCBA2A2" w:rsidR="004D7A7B" w:rsidRPr="004D7A7B" w:rsidRDefault="004D7A7B" w:rsidP="004D7A7B">
            <w:pPr>
              <w:jc w:val="right"/>
              <w:rPr>
                <w:sz w:val="22"/>
                <w:szCs w:val="22"/>
              </w:rPr>
            </w:pPr>
            <w:r w:rsidRPr="004D7A7B">
              <w:rPr>
                <w:rFonts w:cs="Calibri"/>
                <w:color w:val="000000"/>
                <w:sz w:val="22"/>
                <w:szCs w:val="22"/>
              </w:rPr>
              <w:t>1.6%</w:t>
            </w:r>
          </w:p>
        </w:tc>
        <w:tc>
          <w:tcPr>
            <w:tcW w:w="1418" w:type="dxa"/>
          </w:tcPr>
          <w:p w14:paraId="36BC7D30"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101020</w:t>
            </w:r>
          </w:p>
          <w:p w14:paraId="42CE791F" w14:textId="656FD093" w:rsidR="004D7A7B" w:rsidRPr="004D7A7B" w:rsidRDefault="004D7A7B" w:rsidP="004D7A7B">
            <w:pPr>
              <w:jc w:val="right"/>
              <w:rPr>
                <w:sz w:val="22"/>
                <w:szCs w:val="22"/>
              </w:rPr>
            </w:pPr>
          </w:p>
        </w:tc>
        <w:tc>
          <w:tcPr>
            <w:tcW w:w="1559" w:type="dxa"/>
          </w:tcPr>
          <w:p w14:paraId="4535797F" w14:textId="77777777" w:rsidR="004D7A7B" w:rsidRDefault="004D7A7B" w:rsidP="004D7A7B">
            <w:pPr>
              <w:spacing w:after="0"/>
              <w:jc w:val="right"/>
              <w:rPr>
                <w:rFonts w:cs="Calibri"/>
                <w:color w:val="000000"/>
                <w:sz w:val="22"/>
                <w:szCs w:val="22"/>
                <w:lang w:eastAsia="en-IE"/>
              </w:rPr>
            </w:pPr>
            <w:r>
              <w:rPr>
                <w:rFonts w:cs="Calibri"/>
                <w:color w:val="000000"/>
                <w:sz w:val="22"/>
                <w:szCs w:val="22"/>
              </w:rPr>
              <w:t>2331</w:t>
            </w:r>
          </w:p>
          <w:p w14:paraId="06096BF0" w14:textId="5516C426" w:rsidR="004D7A7B" w:rsidRPr="004D7A7B" w:rsidRDefault="004D7A7B" w:rsidP="004D7A7B">
            <w:pPr>
              <w:jc w:val="right"/>
              <w:rPr>
                <w:sz w:val="22"/>
                <w:szCs w:val="22"/>
              </w:rPr>
            </w:pPr>
          </w:p>
        </w:tc>
        <w:tc>
          <w:tcPr>
            <w:tcW w:w="1417" w:type="dxa"/>
          </w:tcPr>
          <w:p w14:paraId="56C2F4A3" w14:textId="77777777" w:rsidR="004D7A7B" w:rsidRDefault="004D7A7B" w:rsidP="004D7A7B">
            <w:pPr>
              <w:spacing w:after="0"/>
              <w:jc w:val="right"/>
              <w:rPr>
                <w:rFonts w:cs="Calibri"/>
                <w:color w:val="000000"/>
                <w:sz w:val="22"/>
                <w:szCs w:val="22"/>
                <w:lang w:eastAsia="en-IE"/>
              </w:rPr>
            </w:pPr>
            <w:r>
              <w:rPr>
                <w:rFonts w:cs="Calibri"/>
                <w:color w:val="000000"/>
                <w:sz w:val="22"/>
                <w:szCs w:val="22"/>
              </w:rPr>
              <w:t>2.3%</w:t>
            </w:r>
          </w:p>
          <w:p w14:paraId="327E8937" w14:textId="2B14B955" w:rsidR="004D7A7B" w:rsidRPr="004D7A7B" w:rsidRDefault="004D7A7B" w:rsidP="004D7A7B">
            <w:pPr>
              <w:jc w:val="right"/>
              <w:rPr>
                <w:sz w:val="22"/>
                <w:szCs w:val="22"/>
              </w:rPr>
            </w:pPr>
          </w:p>
        </w:tc>
      </w:tr>
      <w:tr w:rsidR="004D7A7B" w:rsidRPr="004D7A7B" w14:paraId="1AD3BA95" w14:textId="77777777" w:rsidTr="004A3088">
        <w:trPr>
          <w:jc w:val="center"/>
        </w:trPr>
        <w:tc>
          <w:tcPr>
            <w:tcW w:w="1853" w:type="dxa"/>
          </w:tcPr>
          <w:p w14:paraId="15BCE3E8" w14:textId="6B264CBB" w:rsidR="004D7A7B" w:rsidRPr="004D7A7B" w:rsidRDefault="004D7A7B" w:rsidP="004D7A7B">
            <w:pPr>
              <w:rPr>
                <w:sz w:val="22"/>
                <w:szCs w:val="22"/>
              </w:rPr>
            </w:pPr>
            <w:r w:rsidRPr="004D7A7B">
              <w:rPr>
                <w:rFonts w:cs="Calibri"/>
                <w:color w:val="000000"/>
                <w:sz w:val="22"/>
                <w:szCs w:val="22"/>
              </w:rPr>
              <w:t>Institute of Public Health</w:t>
            </w:r>
          </w:p>
        </w:tc>
        <w:tc>
          <w:tcPr>
            <w:tcW w:w="1842" w:type="dxa"/>
          </w:tcPr>
          <w:p w14:paraId="0A7FEF6F" w14:textId="439E0CF2" w:rsidR="004D7A7B" w:rsidRPr="004D7A7B" w:rsidRDefault="004D7A7B" w:rsidP="004D7A7B">
            <w:pPr>
              <w:jc w:val="right"/>
              <w:rPr>
                <w:sz w:val="22"/>
                <w:szCs w:val="22"/>
              </w:rPr>
            </w:pPr>
            <w:r w:rsidRPr="004D7A7B">
              <w:rPr>
                <w:rFonts w:cs="Calibri"/>
                <w:color w:val="000000"/>
                <w:sz w:val="22"/>
                <w:szCs w:val="22"/>
              </w:rPr>
              <w:t>21</w:t>
            </w:r>
          </w:p>
        </w:tc>
        <w:tc>
          <w:tcPr>
            <w:tcW w:w="1560" w:type="dxa"/>
          </w:tcPr>
          <w:p w14:paraId="691138FB" w14:textId="02E63466" w:rsidR="004D7A7B" w:rsidRPr="004D7A7B" w:rsidRDefault="004D7A7B" w:rsidP="004D7A7B">
            <w:pPr>
              <w:jc w:val="right"/>
              <w:rPr>
                <w:sz w:val="22"/>
                <w:szCs w:val="22"/>
              </w:rPr>
            </w:pPr>
            <w:r w:rsidRPr="004D7A7B">
              <w:rPr>
                <w:rFonts w:cs="Calibri"/>
                <w:color w:val="000000"/>
                <w:sz w:val="22"/>
                <w:szCs w:val="22"/>
              </w:rPr>
              <w:t>3</w:t>
            </w:r>
          </w:p>
        </w:tc>
        <w:tc>
          <w:tcPr>
            <w:tcW w:w="1417" w:type="dxa"/>
          </w:tcPr>
          <w:p w14:paraId="54C3F636" w14:textId="215E0406" w:rsidR="004D7A7B" w:rsidRPr="004D7A7B" w:rsidRDefault="004D7A7B" w:rsidP="004D7A7B">
            <w:pPr>
              <w:jc w:val="right"/>
              <w:rPr>
                <w:sz w:val="22"/>
                <w:szCs w:val="22"/>
              </w:rPr>
            </w:pPr>
            <w:r w:rsidRPr="004D7A7B">
              <w:rPr>
                <w:rFonts w:cs="Calibri"/>
                <w:color w:val="000000"/>
                <w:sz w:val="22"/>
                <w:szCs w:val="22"/>
              </w:rPr>
              <w:t>14.3%</w:t>
            </w:r>
          </w:p>
        </w:tc>
        <w:tc>
          <w:tcPr>
            <w:tcW w:w="1418" w:type="dxa"/>
          </w:tcPr>
          <w:p w14:paraId="54022734"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19</w:t>
            </w:r>
          </w:p>
          <w:p w14:paraId="7CC94736" w14:textId="3972AFA6" w:rsidR="004D7A7B" w:rsidRPr="004D7A7B" w:rsidRDefault="004D7A7B" w:rsidP="004D7A7B">
            <w:pPr>
              <w:jc w:val="right"/>
              <w:rPr>
                <w:sz w:val="22"/>
                <w:szCs w:val="22"/>
              </w:rPr>
            </w:pPr>
          </w:p>
        </w:tc>
        <w:tc>
          <w:tcPr>
            <w:tcW w:w="1559" w:type="dxa"/>
          </w:tcPr>
          <w:p w14:paraId="1EE25C26" w14:textId="77777777" w:rsidR="004D7A7B" w:rsidRDefault="004D7A7B" w:rsidP="004D7A7B">
            <w:pPr>
              <w:spacing w:after="0"/>
              <w:jc w:val="right"/>
              <w:rPr>
                <w:rFonts w:cs="Calibri"/>
                <w:color w:val="000000"/>
                <w:sz w:val="22"/>
                <w:szCs w:val="22"/>
                <w:lang w:eastAsia="en-IE"/>
              </w:rPr>
            </w:pPr>
            <w:r>
              <w:rPr>
                <w:rFonts w:cs="Calibri"/>
                <w:color w:val="000000"/>
                <w:sz w:val="22"/>
                <w:szCs w:val="22"/>
              </w:rPr>
              <w:t>3</w:t>
            </w:r>
          </w:p>
          <w:p w14:paraId="50BDDB67" w14:textId="0A5351B8" w:rsidR="004D7A7B" w:rsidRPr="004D7A7B" w:rsidRDefault="004D7A7B" w:rsidP="004D7A7B">
            <w:pPr>
              <w:jc w:val="right"/>
              <w:rPr>
                <w:sz w:val="22"/>
                <w:szCs w:val="22"/>
              </w:rPr>
            </w:pPr>
          </w:p>
        </w:tc>
        <w:tc>
          <w:tcPr>
            <w:tcW w:w="1417" w:type="dxa"/>
          </w:tcPr>
          <w:p w14:paraId="2DCD11AD" w14:textId="77777777" w:rsidR="004D7A7B" w:rsidRDefault="004D7A7B" w:rsidP="004D7A7B">
            <w:pPr>
              <w:spacing w:after="0"/>
              <w:jc w:val="right"/>
              <w:rPr>
                <w:rFonts w:cs="Calibri"/>
                <w:color w:val="000000"/>
                <w:sz w:val="22"/>
                <w:szCs w:val="22"/>
                <w:lang w:eastAsia="en-IE"/>
              </w:rPr>
            </w:pPr>
            <w:r>
              <w:rPr>
                <w:rFonts w:cs="Calibri"/>
                <w:color w:val="000000"/>
                <w:sz w:val="22"/>
                <w:szCs w:val="22"/>
              </w:rPr>
              <w:t>15.8%</w:t>
            </w:r>
          </w:p>
          <w:p w14:paraId="1E96D0C4" w14:textId="0DA19164" w:rsidR="004D7A7B" w:rsidRPr="004D7A7B" w:rsidRDefault="004D7A7B" w:rsidP="004D7A7B">
            <w:pPr>
              <w:jc w:val="right"/>
              <w:rPr>
                <w:sz w:val="22"/>
                <w:szCs w:val="22"/>
              </w:rPr>
            </w:pPr>
          </w:p>
        </w:tc>
      </w:tr>
      <w:tr w:rsidR="006F2FFB" w:rsidRPr="004D7A7B" w14:paraId="10C5B3BA" w14:textId="77777777" w:rsidTr="004A3088">
        <w:trPr>
          <w:jc w:val="center"/>
        </w:trPr>
        <w:tc>
          <w:tcPr>
            <w:tcW w:w="1853" w:type="dxa"/>
          </w:tcPr>
          <w:p w14:paraId="40958E90" w14:textId="375AA43C" w:rsidR="006F2FFB" w:rsidRPr="004D7A7B" w:rsidRDefault="006F2FFB" w:rsidP="006F2FFB">
            <w:pPr>
              <w:rPr>
                <w:sz w:val="22"/>
                <w:szCs w:val="22"/>
              </w:rPr>
            </w:pPr>
            <w:r w:rsidRPr="004D7A7B">
              <w:rPr>
                <w:rFonts w:cs="Calibri"/>
                <w:color w:val="000000"/>
                <w:sz w:val="22"/>
                <w:szCs w:val="22"/>
              </w:rPr>
              <w:t>Irish Blood Transfusion Service</w:t>
            </w:r>
          </w:p>
        </w:tc>
        <w:tc>
          <w:tcPr>
            <w:tcW w:w="1842" w:type="dxa"/>
          </w:tcPr>
          <w:p w14:paraId="448AEEA6" w14:textId="0F5D4BFF" w:rsidR="006F2FFB" w:rsidRPr="004D7A7B" w:rsidRDefault="006F2FFB" w:rsidP="006F2FFB">
            <w:pPr>
              <w:jc w:val="right"/>
              <w:rPr>
                <w:sz w:val="22"/>
                <w:szCs w:val="22"/>
              </w:rPr>
            </w:pPr>
            <w:r w:rsidRPr="004D7A7B">
              <w:rPr>
                <w:rFonts w:cs="Calibri"/>
                <w:color w:val="000000"/>
                <w:sz w:val="22"/>
                <w:szCs w:val="22"/>
              </w:rPr>
              <w:t>573</w:t>
            </w:r>
          </w:p>
        </w:tc>
        <w:tc>
          <w:tcPr>
            <w:tcW w:w="1560" w:type="dxa"/>
          </w:tcPr>
          <w:p w14:paraId="20F222F5" w14:textId="6F13A46A" w:rsidR="006F2FFB" w:rsidRPr="004D7A7B" w:rsidRDefault="006F2FFB" w:rsidP="006F2FFB">
            <w:pPr>
              <w:jc w:val="right"/>
              <w:rPr>
                <w:sz w:val="22"/>
                <w:szCs w:val="22"/>
              </w:rPr>
            </w:pPr>
            <w:r w:rsidRPr="004D7A7B">
              <w:rPr>
                <w:rFonts w:cs="Calibri"/>
                <w:color w:val="000000"/>
                <w:sz w:val="22"/>
                <w:szCs w:val="22"/>
              </w:rPr>
              <w:t>16</w:t>
            </w:r>
          </w:p>
        </w:tc>
        <w:tc>
          <w:tcPr>
            <w:tcW w:w="1417" w:type="dxa"/>
          </w:tcPr>
          <w:p w14:paraId="0433E3E1" w14:textId="4E6D4FFD" w:rsidR="006F2FFB" w:rsidRPr="004D7A7B" w:rsidRDefault="006F2FFB" w:rsidP="006F2FFB">
            <w:pPr>
              <w:jc w:val="right"/>
              <w:rPr>
                <w:sz w:val="22"/>
                <w:szCs w:val="22"/>
              </w:rPr>
            </w:pPr>
            <w:r w:rsidRPr="004D7A7B">
              <w:rPr>
                <w:rFonts w:cs="Calibri"/>
                <w:color w:val="000000"/>
                <w:sz w:val="22"/>
                <w:szCs w:val="22"/>
              </w:rPr>
              <w:t>2.8%</w:t>
            </w:r>
          </w:p>
        </w:tc>
        <w:tc>
          <w:tcPr>
            <w:tcW w:w="1418" w:type="dxa"/>
          </w:tcPr>
          <w:p w14:paraId="55B9DE2B" w14:textId="3061E661" w:rsidR="006F2FFB" w:rsidRPr="004D7A7B" w:rsidRDefault="006F2FFB" w:rsidP="006F2FFB">
            <w:pPr>
              <w:jc w:val="right"/>
              <w:rPr>
                <w:sz w:val="22"/>
                <w:szCs w:val="22"/>
              </w:rPr>
            </w:pPr>
            <w:r>
              <w:rPr>
                <w:rFonts w:cs="Calibri"/>
                <w:color w:val="000000"/>
                <w:sz w:val="22"/>
                <w:szCs w:val="22"/>
              </w:rPr>
              <w:t>592</w:t>
            </w:r>
          </w:p>
        </w:tc>
        <w:tc>
          <w:tcPr>
            <w:tcW w:w="1559" w:type="dxa"/>
          </w:tcPr>
          <w:p w14:paraId="568CF0A3" w14:textId="603463B9" w:rsidR="006F2FFB" w:rsidRPr="004D7A7B" w:rsidRDefault="006F2FFB" w:rsidP="006F2FFB">
            <w:pPr>
              <w:jc w:val="right"/>
              <w:rPr>
                <w:sz w:val="22"/>
                <w:szCs w:val="22"/>
              </w:rPr>
            </w:pPr>
            <w:r>
              <w:rPr>
                <w:rFonts w:cs="Calibri"/>
                <w:color w:val="000000"/>
                <w:sz w:val="22"/>
                <w:szCs w:val="22"/>
              </w:rPr>
              <w:t>24</w:t>
            </w:r>
          </w:p>
        </w:tc>
        <w:tc>
          <w:tcPr>
            <w:tcW w:w="1417" w:type="dxa"/>
          </w:tcPr>
          <w:p w14:paraId="77F86EF5" w14:textId="1F8B965A" w:rsidR="006F2FFB" w:rsidRPr="004D7A7B" w:rsidRDefault="006F2FFB" w:rsidP="006F2FFB">
            <w:pPr>
              <w:jc w:val="right"/>
              <w:rPr>
                <w:sz w:val="22"/>
                <w:szCs w:val="22"/>
              </w:rPr>
            </w:pPr>
            <w:r>
              <w:rPr>
                <w:rFonts w:cs="Calibri"/>
                <w:color w:val="000000"/>
                <w:sz w:val="22"/>
                <w:szCs w:val="22"/>
              </w:rPr>
              <w:t>4.1%</w:t>
            </w:r>
          </w:p>
        </w:tc>
      </w:tr>
      <w:tr w:rsidR="006F2FFB" w:rsidRPr="004D7A7B" w14:paraId="244C8F33" w14:textId="77777777" w:rsidTr="004A3088">
        <w:trPr>
          <w:jc w:val="center"/>
        </w:trPr>
        <w:tc>
          <w:tcPr>
            <w:tcW w:w="1853" w:type="dxa"/>
          </w:tcPr>
          <w:p w14:paraId="327BCE87" w14:textId="2B5B66D8" w:rsidR="006F2FFB" w:rsidRPr="004D7A7B" w:rsidRDefault="006F2FFB" w:rsidP="006F2FFB">
            <w:pPr>
              <w:rPr>
                <w:sz w:val="22"/>
                <w:szCs w:val="22"/>
              </w:rPr>
            </w:pPr>
            <w:r w:rsidRPr="004D7A7B">
              <w:rPr>
                <w:rFonts w:cs="Calibri"/>
                <w:color w:val="000000"/>
                <w:sz w:val="22"/>
                <w:szCs w:val="22"/>
              </w:rPr>
              <w:t>Leopardstown Park Hospital</w:t>
            </w:r>
          </w:p>
        </w:tc>
        <w:tc>
          <w:tcPr>
            <w:tcW w:w="1842" w:type="dxa"/>
          </w:tcPr>
          <w:p w14:paraId="52AEE663" w14:textId="3CF1DE16" w:rsidR="006F2FFB" w:rsidRPr="004D7A7B" w:rsidRDefault="006F2FFB" w:rsidP="006F2FFB">
            <w:pPr>
              <w:jc w:val="right"/>
              <w:rPr>
                <w:sz w:val="22"/>
                <w:szCs w:val="22"/>
              </w:rPr>
            </w:pPr>
            <w:r w:rsidRPr="004D7A7B">
              <w:rPr>
                <w:rFonts w:cs="Calibri"/>
                <w:color w:val="000000"/>
                <w:sz w:val="22"/>
                <w:szCs w:val="22"/>
              </w:rPr>
              <w:t>240</w:t>
            </w:r>
          </w:p>
        </w:tc>
        <w:tc>
          <w:tcPr>
            <w:tcW w:w="1560" w:type="dxa"/>
          </w:tcPr>
          <w:p w14:paraId="1AC93989" w14:textId="63668FC3" w:rsidR="006F2FFB" w:rsidRPr="004D7A7B" w:rsidRDefault="006F2FFB" w:rsidP="006F2FFB">
            <w:pPr>
              <w:jc w:val="right"/>
              <w:rPr>
                <w:sz w:val="22"/>
                <w:szCs w:val="22"/>
              </w:rPr>
            </w:pPr>
            <w:r w:rsidRPr="004D7A7B">
              <w:rPr>
                <w:rFonts w:cs="Calibri"/>
                <w:color w:val="000000"/>
                <w:sz w:val="22"/>
                <w:szCs w:val="22"/>
              </w:rPr>
              <w:t>13</w:t>
            </w:r>
          </w:p>
        </w:tc>
        <w:tc>
          <w:tcPr>
            <w:tcW w:w="1417" w:type="dxa"/>
          </w:tcPr>
          <w:p w14:paraId="34B100E1" w14:textId="30B56206" w:rsidR="006F2FFB" w:rsidRPr="004D7A7B" w:rsidRDefault="006F2FFB" w:rsidP="006F2FFB">
            <w:pPr>
              <w:jc w:val="right"/>
              <w:rPr>
                <w:sz w:val="22"/>
                <w:szCs w:val="22"/>
              </w:rPr>
            </w:pPr>
            <w:r w:rsidRPr="004D7A7B">
              <w:rPr>
                <w:rFonts w:cs="Calibri"/>
                <w:color w:val="000000"/>
                <w:sz w:val="22"/>
                <w:szCs w:val="22"/>
              </w:rPr>
              <w:t>5.4%</w:t>
            </w:r>
          </w:p>
        </w:tc>
        <w:tc>
          <w:tcPr>
            <w:tcW w:w="1418" w:type="dxa"/>
          </w:tcPr>
          <w:p w14:paraId="057B95DA" w14:textId="36CFE96F" w:rsidR="006F2FFB" w:rsidRPr="004D7A7B" w:rsidRDefault="006F2FFB" w:rsidP="006F2FFB">
            <w:pPr>
              <w:jc w:val="right"/>
              <w:rPr>
                <w:sz w:val="22"/>
                <w:szCs w:val="22"/>
              </w:rPr>
            </w:pPr>
            <w:r>
              <w:rPr>
                <w:rFonts w:cs="Calibri"/>
                <w:color w:val="000000"/>
                <w:sz w:val="22"/>
                <w:szCs w:val="22"/>
              </w:rPr>
              <w:t>227</w:t>
            </w:r>
          </w:p>
        </w:tc>
        <w:tc>
          <w:tcPr>
            <w:tcW w:w="1559" w:type="dxa"/>
          </w:tcPr>
          <w:p w14:paraId="71308510" w14:textId="54E2AB8A" w:rsidR="006F2FFB" w:rsidRPr="004D7A7B" w:rsidRDefault="006F2FFB" w:rsidP="006F2FFB">
            <w:pPr>
              <w:jc w:val="right"/>
              <w:rPr>
                <w:sz w:val="22"/>
                <w:szCs w:val="22"/>
              </w:rPr>
            </w:pPr>
            <w:r>
              <w:rPr>
                <w:rFonts w:cs="Calibri"/>
                <w:color w:val="000000"/>
                <w:sz w:val="22"/>
                <w:szCs w:val="22"/>
              </w:rPr>
              <w:t>11</w:t>
            </w:r>
          </w:p>
        </w:tc>
        <w:tc>
          <w:tcPr>
            <w:tcW w:w="1417" w:type="dxa"/>
          </w:tcPr>
          <w:p w14:paraId="6D6DB1D8" w14:textId="4913BCB5" w:rsidR="006F2FFB" w:rsidRPr="004D7A7B" w:rsidRDefault="006F2FFB" w:rsidP="006F2FFB">
            <w:pPr>
              <w:jc w:val="right"/>
              <w:rPr>
                <w:sz w:val="22"/>
                <w:szCs w:val="22"/>
              </w:rPr>
            </w:pPr>
            <w:r>
              <w:rPr>
                <w:rFonts w:cs="Calibri"/>
                <w:color w:val="000000"/>
                <w:sz w:val="22"/>
                <w:szCs w:val="22"/>
              </w:rPr>
              <w:t>4.8%</w:t>
            </w:r>
          </w:p>
        </w:tc>
      </w:tr>
      <w:tr w:rsidR="006F2FFB" w:rsidRPr="004D7A7B" w14:paraId="01166FA5" w14:textId="77777777" w:rsidTr="004A3088">
        <w:trPr>
          <w:jc w:val="center"/>
        </w:trPr>
        <w:tc>
          <w:tcPr>
            <w:tcW w:w="1853" w:type="dxa"/>
          </w:tcPr>
          <w:p w14:paraId="6E5CB3EE" w14:textId="6C852629" w:rsidR="006F2FFB" w:rsidRPr="004D7A7B" w:rsidRDefault="006F2FFB" w:rsidP="006F2FFB">
            <w:pPr>
              <w:rPr>
                <w:sz w:val="22"/>
                <w:szCs w:val="22"/>
              </w:rPr>
            </w:pPr>
            <w:r w:rsidRPr="004D7A7B">
              <w:rPr>
                <w:rFonts w:cs="Calibri"/>
                <w:color w:val="000000"/>
                <w:sz w:val="22"/>
                <w:szCs w:val="22"/>
              </w:rPr>
              <w:lastRenderedPageBreak/>
              <w:t>Medical Council</w:t>
            </w:r>
          </w:p>
        </w:tc>
        <w:tc>
          <w:tcPr>
            <w:tcW w:w="1842" w:type="dxa"/>
          </w:tcPr>
          <w:p w14:paraId="756F9C15" w14:textId="3ED1C92E" w:rsidR="006F2FFB" w:rsidRPr="004D7A7B" w:rsidRDefault="006F2FFB" w:rsidP="006F2FFB">
            <w:pPr>
              <w:jc w:val="right"/>
              <w:rPr>
                <w:sz w:val="22"/>
                <w:szCs w:val="22"/>
              </w:rPr>
            </w:pPr>
            <w:r w:rsidRPr="004D7A7B">
              <w:rPr>
                <w:rFonts w:cs="Calibri"/>
                <w:color w:val="000000"/>
                <w:sz w:val="22"/>
                <w:szCs w:val="22"/>
              </w:rPr>
              <w:t>92</w:t>
            </w:r>
          </w:p>
        </w:tc>
        <w:tc>
          <w:tcPr>
            <w:tcW w:w="1560" w:type="dxa"/>
          </w:tcPr>
          <w:p w14:paraId="55C3BDC0" w14:textId="08FA1CC8" w:rsidR="006F2FFB" w:rsidRPr="004D7A7B" w:rsidRDefault="006F2FFB" w:rsidP="006F2FFB">
            <w:pPr>
              <w:jc w:val="right"/>
              <w:rPr>
                <w:sz w:val="22"/>
                <w:szCs w:val="22"/>
              </w:rPr>
            </w:pPr>
            <w:r w:rsidRPr="004D7A7B">
              <w:rPr>
                <w:rFonts w:cs="Calibri"/>
                <w:color w:val="000000"/>
                <w:sz w:val="22"/>
                <w:szCs w:val="22"/>
              </w:rPr>
              <w:t>8</w:t>
            </w:r>
          </w:p>
        </w:tc>
        <w:tc>
          <w:tcPr>
            <w:tcW w:w="1417" w:type="dxa"/>
          </w:tcPr>
          <w:p w14:paraId="51534CC9" w14:textId="644377C0" w:rsidR="006F2FFB" w:rsidRPr="004D7A7B" w:rsidRDefault="006F2FFB" w:rsidP="006F2FFB">
            <w:pPr>
              <w:jc w:val="right"/>
              <w:rPr>
                <w:sz w:val="22"/>
                <w:szCs w:val="22"/>
              </w:rPr>
            </w:pPr>
            <w:r w:rsidRPr="004D7A7B">
              <w:rPr>
                <w:rFonts w:cs="Calibri"/>
                <w:color w:val="000000"/>
                <w:sz w:val="22"/>
                <w:szCs w:val="22"/>
              </w:rPr>
              <w:t>8.7%</w:t>
            </w:r>
          </w:p>
        </w:tc>
        <w:tc>
          <w:tcPr>
            <w:tcW w:w="1418" w:type="dxa"/>
          </w:tcPr>
          <w:p w14:paraId="03B5934A" w14:textId="613B2B21" w:rsidR="006F2FFB" w:rsidRPr="004D7A7B" w:rsidRDefault="006F2FFB" w:rsidP="006F2FFB">
            <w:pPr>
              <w:jc w:val="right"/>
              <w:rPr>
                <w:sz w:val="22"/>
                <w:szCs w:val="22"/>
              </w:rPr>
            </w:pPr>
            <w:r>
              <w:rPr>
                <w:rFonts w:cs="Calibri"/>
                <w:color w:val="000000"/>
                <w:sz w:val="22"/>
                <w:szCs w:val="22"/>
              </w:rPr>
              <w:t>103</w:t>
            </w:r>
          </w:p>
        </w:tc>
        <w:tc>
          <w:tcPr>
            <w:tcW w:w="1559" w:type="dxa"/>
          </w:tcPr>
          <w:p w14:paraId="67E0304F" w14:textId="16DBA63A" w:rsidR="006F2FFB" w:rsidRPr="004D7A7B" w:rsidRDefault="006F2FFB" w:rsidP="006F2FFB">
            <w:pPr>
              <w:jc w:val="right"/>
              <w:rPr>
                <w:sz w:val="22"/>
                <w:szCs w:val="22"/>
              </w:rPr>
            </w:pPr>
            <w:r>
              <w:rPr>
                <w:rFonts w:cs="Calibri"/>
                <w:color w:val="000000"/>
                <w:sz w:val="22"/>
                <w:szCs w:val="22"/>
              </w:rPr>
              <w:t>4</w:t>
            </w:r>
          </w:p>
        </w:tc>
        <w:tc>
          <w:tcPr>
            <w:tcW w:w="1417" w:type="dxa"/>
          </w:tcPr>
          <w:p w14:paraId="1EAA29E8" w14:textId="153B4692" w:rsidR="006F2FFB" w:rsidRPr="004D7A7B" w:rsidRDefault="006F2FFB" w:rsidP="006F2FFB">
            <w:pPr>
              <w:jc w:val="right"/>
              <w:rPr>
                <w:sz w:val="22"/>
                <w:szCs w:val="22"/>
              </w:rPr>
            </w:pPr>
            <w:r>
              <w:rPr>
                <w:rFonts w:cs="Calibri"/>
                <w:color w:val="000000"/>
                <w:sz w:val="22"/>
                <w:szCs w:val="22"/>
              </w:rPr>
              <w:t>3.9%</w:t>
            </w:r>
          </w:p>
        </w:tc>
      </w:tr>
      <w:tr w:rsidR="006F2FFB" w:rsidRPr="004D7A7B" w14:paraId="220707A0" w14:textId="77777777" w:rsidTr="004A3088">
        <w:trPr>
          <w:jc w:val="center"/>
        </w:trPr>
        <w:tc>
          <w:tcPr>
            <w:tcW w:w="1853" w:type="dxa"/>
          </w:tcPr>
          <w:p w14:paraId="5FB9AD45" w14:textId="4B15EDDA" w:rsidR="006F2FFB" w:rsidRPr="004D7A7B" w:rsidRDefault="006F2FFB" w:rsidP="006F2FFB">
            <w:pPr>
              <w:rPr>
                <w:sz w:val="22"/>
                <w:szCs w:val="22"/>
              </w:rPr>
            </w:pPr>
            <w:r w:rsidRPr="004D7A7B">
              <w:rPr>
                <w:rFonts w:cs="Calibri"/>
                <w:color w:val="000000"/>
                <w:sz w:val="22"/>
                <w:szCs w:val="22"/>
              </w:rPr>
              <w:t>Mental Health Commission</w:t>
            </w:r>
          </w:p>
        </w:tc>
        <w:tc>
          <w:tcPr>
            <w:tcW w:w="1842" w:type="dxa"/>
          </w:tcPr>
          <w:p w14:paraId="71390DA6" w14:textId="77E921F0" w:rsidR="006F2FFB" w:rsidRPr="004D7A7B" w:rsidRDefault="006F2FFB" w:rsidP="006F2FFB">
            <w:pPr>
              <w:jc w:val="right"/>
              <w:rPr>
                <w:sz w:val="22"/>
                <w:szCs w:val="22"/>
              </w:rPr>
            </w:pPr>
            <w:r w:rsidRPr="004D7A7B">
              <w:rPr>
                <w:rFonts w:cs="Calibri"/>
                <w:color w:val="000000"/>
                <w:sz w:val="22"/>
                <w:szCs w:val="22"/>
              </w:rPr>
              <w:t>71</w:t>
            </w:r>
          </w:p>
        </w:tc>
        <w:tc>
          <w:tcPr>
            <w:tcW w:w="1560" w:type="dxa"/>
          </w:tcPr>
          <w:p w14:paraId="34CD947D" w14:textId="220BBCAF" w:rsidR="006F2FFB" w:rsidRPr="004D7A7B" w:rsidRDefault="006F2FFB" w:rsidP="006F2FFB">
            <w:pPr>
              <w:jc w:val="right"/>
              <w:rPr>
                <w:sz w:val="22"/>
                <w:szCs w:val="22"/>
              </w:rPr>
            </w:pPr>
            <w:r w:rsidRPr="004D7A7B">
              <w:rPr>
                <w:rFonts w:cs="Calibri"/>
                <w:color w:val="000000"/>
                <w:sz w:val="22"/>
                <w:szCs w:val="22"/>
              </w:rPr>
              <w:t>3</w:t>
            </w:r>
          </w:p>
        </w:tc>
        <w:tc>
          <w:tcPr>
            <w:tcW w:w="1417" w:type="dxa"/>
          </w:tcPr>
          <w:p w14:paraId="4DC64A90" w14:textId="6843DAD1" w:rsidR="006F2FFB" w:rsidRPr="004D7A7B" w:rsidRDefault="006F2FFB" w:rsidP="006F2FFB">
            <w:pPr>
              <w:jc w:val="right"/>
              <w:rPr>
                <w:sz w:val="22"/>
                <w:szCs w:val="22"/>
              </w:rPr>
            </w:pPr>
            <w:r w:rsidRPr="004D7A7B">
              <w:rPr>
                <w:rFonts w:cs="Calibri"/>
                <w:color w:val="000000"/>
                <w:sz w:val="22"/>
                <w:szCs w:val="22"/>
              </w:rPr>
              <w:t>4.2%</w:t>
            </w:r>
          </w:p>
        </w:tc>
        <w:tc>
          <w:tcPr>
            <w:tcW w:w="1418" w:type="dxa"/>
          </w:tcPr>
          <w:p w14:paraId="4B275745" w14:textId="35F268BB" w:rsidR="006F2FFB" w:rsidRPr="004D7A7B" w:rsidRDefault="006F2FFB" w:rsidP="006F2FFB">
            <w:pPr>
              <w:jc w:val="right"/>
              <w:rPr>
                <w:sz w:val="22"/>
                <w:szCs w:val="22"/>
              </w:rPr>
            </w:pPr>
            <w:r>
              <w:rPr>
                <w:rFonts w:cs="Calibri"/>
                <w:color w:val="000000"/>
                <w:sz w:val="22"/>
                <w:szCs w:val="22"/>
              </w:rPr>
              <w:t>124</w:t>
            </w:r>
          </w:p>
        </w:tc>
        <w:tc>
          <w:tcPr>
            <w:tcW w:w="1559" w:type="dxa"/>
          </w:tcPr>
          <w:p w14:paraId="3F4BCD8E" w14:textId="0384B16D" w:rsidR="006F2FFB" w:rsidRPr="004D7A7B" w:rsidRDefault="006F2FFB" w:rsidP="006F2FFB">
            <w:pPr>
              <w:jc w:val="right"/>
              <w:rPr>
                <w:sz w:val="22"/>
                <w:szCs w:val="22"/>
              </w:rPr>
            </w:pPr>
            <w:r>
              <w:rPr>
                <w:rFonts w:cs="Calibri"/>
                <w:color w:val="000000"/>
                <w:sz w:val="22"/>
                <w:szCs w:val="22"/>
              </w:rPr>
              <w:t>4</w:t>
            </w:r>
          </w:p>
        </w:tc>
        <w:tc>
          <w:tcPr>
            <w:tcW w:w="1417" w:type="dxa"/>
          </w:tcPr>
          <w:p w14:paraId="5A19921B" w14:textId="1E0F0836" w:rsidR="006F2FFB" w:rsidRPr="004D7A7B" w:rsidRDefault="006F2FFB" w:rsidP="006F2FFB">
            <w:pPr>
              <w:jc w:val="right"/>
              <w:rPr>
                <w:sz w:val="22"/>
                <w:szCs w:val="22"/>
              </w:rPr>
            </w:pPr>
            <w:r>
              <w:rPr>
                <w:rFonts w:cs="Calibri"/>
                <w:color w:val="000000"/>
                <w:sz w:val="22"/>
                <w:szCs w:val="22"/>
              </w:rPr>
              <w:t>3.2%</w:t>
            </w:r>
          </w:p>
        </w:tc>
      </w:tr>
      <w:tr w:rsidR="006F2FFB" w:rsidRPr="004D7A7B" w14:paraId="1AEF3392" w14:textId="77777777" w:rsidTr="004A3088">
        <w:trPr>
          <w:jc w:val="center"/>
        </w:trPr>
        <w:tc>
          <w:tcPr>
            <w:tcW w:w="1853" w:type="dxa"/>
          </w:tcPr>
          <w:p w14:paraId="16C4559E" w14:textId="28E16E4A" w:rsidR="006F2FFB" w:rsidRPr="004D7A7B" w:rsidRDefault="006F2FFB" w:rsidP="006F2FFB">
            <w:pPr>
              <w:rPr>
                <w:rFonts w:cs="Calibri"/>
                <w:color w:val="000000"/>
                <w:sz w:val="22"/>
                <w:szCs w:val="22"/>
              </w:rPr>
            </w:pPr>
            <w:r w:rsidRPr="004D7A7B">
              <w:rPr>
                <w:rFonts w:cs="Calibri"/>
                <w:color w:val="000000"/>
                <w:sz w:val="22"/>
                <w:szCs w:val="22"/>
              </w:rPr>
              <w:t>National Cancer Registry Board</w:t>
            </w:r>
          </w:p>
        </w:tc>
        <w:tc>
          <w:tcPr>
            <w:tcW w:w="1842" w:type="dxa"/>
          </w:tcPr>
          <w:p w14:paraId="05154028" w14:textId="24CA0EA0" w:rsidR="006F2FFB" w:rsidRPr="004D7A7B" w:rsidRDefault="006F2FFB" w:rsidP="006F2FFB">
            <w:pPr>
              <w:jc w:val="right"/>
              <w:rPr>
                <w:rFonts w:cs="Calibri"/>
                <w:color w:val="000000"/>
                <w:sz w:val="22"/>
                <w:szCs w:val="22"/>
              </w:rPr>
            </w:pPr>
            <w:r w:rsidRPr="004D7A7B">
              <w:rPr>
                <w:rFonts w:cs="Calibri"/>
                <w:color w:val="000000"/>
                <w:sz w:val="22"/>
                <w:szCs w:val="22"/>
              </w:rPr>
              <w:t>43</w:t>
            </w:r>
          </w:p>
        </w:tc>
        <w:tc>
          <w:tcPr>
            <w:tcW w:w="1560" w:type="dxa"/>
          </w:tcPr>
          <w:p w14:paraId="1B4AE306" w14:textId="6DD17211" w:rsidR="006F2FFB" w:rsidRPr="004D7A7B" w:rsidRDefault="006F2FFB" w:rsidP="006F2FFB">
            <w:pPr>
              <w:jc w:val="right"/>
              <w:rPr>
                <w:rFonts w:cs="Calibri"/>
                <w:color w:val="000000"/>
                <w:sz w:val="22"/>
                <w:szCs w:val="22"/>
              </w:rPr>
            </w:pPr>
            <w:r w:rsidRPr="004D7A7B">
              <w:rPr>
                <w:rFonts w:cs="Calibri"/>
                <w:color w:val="000000"/>
                <w:sz w:val="22"/>
                <w:szCs w:val="22"/>
              </w:rPr>
              <w:t>3</w:t>
            </w:r>
          </w:p>
        </w:tc>
        <w:tc>
          <w:tcPr>
            <w:tcW w:w="1417" w:type="dxa"/>
          </w:tcPr>
          <w:p w14:paraId="22F42244" w14:textId="25205044" w:rsidR="006F2FFB" w:rsidRPr="004D7A7B" w:rsidRDefault="006F2FFB" w:rsidP="006F2FFB">
            <w:pPr>
              <w:jc w:val="right"/>
              <w:rPr>
                <w:rFonts w:cs="Calibri"/>
                <w:color w:val="000000"/>
                <w:sz w:val="22"/>
                <w:szCs w:val="22"/>
              </w:rPr>
            </w:pPr>
            <w:r w:rsidRPr="004D7A7B">
              <w:rPr>
                <w:rFonts w:cs="Calibri"/>
                <w:color w:val="000000"/>
                <w:sz w:val="22"/>
                <w:szCs w:val="22"/>
              </w:rPr>
              <w:t>7.0%</w:t>
            </w:r>
          </w:p>
        </w:tc>
        <w:tc>
          <w:tcPr>
            <w:tcW w:w="1418" w:type="dxa"/>
          </w:tcPr>
          <w:p w14:paraId="0AD35051" w14:textId="2FA89C4F" w:rsidR="006F2FFB" w:rsidRPr="004D7A7B" w:rsidRDefault="006F2FFB" w:rsidP="006F2FFB">
            <w:pPr>
              <w:jc w:val="right"/>
              <w:rPr>
                <w:rFonts w:cs="Calibri"/>
                <w:color w:val="000000"/>
                <w:sz w:val="22"/>
                <w:szCs w:val="22"/>
              </w:rPr>
            </w:pPr>
            <w:r>
              <w:rPr>
                <w:rFonts w:cs="Calibri"/>
                <w:color w:val="000000"/>
                <w:sz w:val="22"/>
                <w:szCs w:val="22"/>
              </w:rPr>
              <w:t>46</w:t>
            </w:r>
          </w:p>
        </w:tc>
        <w:tc>
          <w:tcPr>
            <w:tcW w:w="1559" w:type="dxa"/>
          </w:tcPr>
          <w:p w14:paraId="67BCDD15" w14:textId="14975879" w:rsidR="006F2FFB" w:rsidRPr="004D7A7B" w:rsidRDefault="006F2FFB" w:rsidP="006F2FFB">
            <w:pPr>
              <w:jc w:val="right"/>
              <w:rPr>
                <w:rFonts w:cs="Calibri"/>
                <w:color w:val="000000"/>
                <w:sz w:val="22"/>
                <w:szCs w:val="22"/>
              </w:rPr>
            </w:pPr>
            <w:r>
              <w:rPr>
                <w:rFonts w:cs="Calibri"/>
                <w:color w:val="000000"/>
                <w:sz w:val="22"/>
                <w:szCs w:val="22"/>
              </w:rPr>
              <w:t>4</w:t>
            </w:r>
          </w:p>
        </w:tc>
        <w:tc>
          <w:tcPr>
            <w:tcW w:w="1417" w:type="dxa"/>
          </w:tcPr>
          <w:p w14:paraId="537A6E88" w14:textId="41BAC9CC" w:rsidR="006F2FFB" w:rsidRPr="004D7A7B" w:rsidRDefault="006F2FFB" w:rsidP="006F2FFB">
            <w:pPr>
              <w:jc w:val="right"/>
              <w:rPr>
                <w:rFonts w:cs="Calibri"/>
                <w:color w:val="000000"/>
                <w:sz w:val="22"/>
                <w:szCs w:val="22"/>
              </w:rPr>
            </w:pPr>
            <w:r>
              <w:rPr>
                <w:rFonts w:cs="Calibri"/>
                <w:color w:val="000000"/>
                <w:sz w:val="22"/>
                <w:szCs w:val="22"/>
              </w:rPr>
              <w:t>8.7%</w:t>
            </w:r>
          </w:p>
        </w:tc>
      </w:tr>
      <w:tr w:rsidR="006F2FFB" w:rsidRPr="004D7A7B" w14:paraId="52A4EB73" w14:textId="77777777" w:rsidTr="004A3088">
        <w:trPr>
          <w:jc w:val="center"/>
        </w:trPr>
        <w:tc>
          <w:tcPr>
            <w:tcW w:w="1853" w:type="dxa"/>
          </w:tcPr>
          <w:p w14:paraId="62BC7EA4" w14:textId="2352A0E2" w:rsidR="006F2FFB" w:rsidRPr="004D7A7B" w:rsidRDefault="006F2FFB" w:rsidP="006F2FFB">
            <w:pPr>
              <w:rPr>
                <w:sz w:val="22"/>
                <w:szCs w:val="22"/>
              </w:rPr>
            </w:pPr>
            <w:r w:rsidRPr="004D7A7B">
              <w:rPr>
                <w:rFonts w:cs="Calibri"/>
                <w:color w:val="000000"/>
                <w:sz w:val="22"/>
                <w:szCs w:val="22"/>
              </w:rPr>
              <w:t>National Treatment Purchase Fund</w:t>
            </w:r>
          </w:p>
        </w:tc>
        <w:tc>
          <w:tcPr>
            <w:tcW w:w="1842" w:type="dxa"/>
          </w:tcPr>
          <w:p w14:paraId="745351FC" w14:textId="0C93D8E4" w:rsidR="006F2FFB" w:rsidRPr="004D7A7B" w:rsidRDefault="006F2FFB" w:rsidP="006F2FFB">
            <w:pPr>
              <w:jc w:val="right"/>
              <w:rPr>
                <w:sz w:val="22"/>
                <w:szCs w:val="22"/>
              </w:rPr>
            </w:pPr>
            <w:r w:rsidRPr="004D7A7B">
              <w:rPr>
                <w:rFonts w:cs="Calibri"/>
                <w:color w:val="000000"/>
                <w:sz w:val="22"/>
                <w:szCs w:val="22"/>
              </w:rPr>
              <w:t>63</w:t>
            </w:r>
          </w:p>
        </w:tc>
        <w:tc>
          <w:tcPr>
            <w:tcW w:w="1560" w:type="dxa"/>
          </w:tcPr>
          <w:p w14:paraId="3B7D2CC7" w14:textId="1F941504" w:rsidR="006F2FFB" w:rsidRPr="004D7A7B" w:rsidRDefault="006F2FFB" w:rsidP="006F2FFB">
            <w:pPr>
              <w:jc w:val="right"/>
              <w:rPr>
                <w:sz w:val="22"/>
                <w:szCs w:val="22"/>
              </w:rPr>
            </w:pPr>
            <w:r w:rsidRPr="004D7A7B">
              <w:rPr>
                <w:rFonts w:cs="Calibri"/>
                <w:color w:val="000000"/>
                <w:sz w:val="22"/>
                <w:szCs w:val="22"/>
              </w:rPr>
              <w:t>5</w:t>
            </w:r>
          </w:p>
        </w:tc>
        <w:tc>
          <w:tcPr>
            <w:tcW w:w="1417" w:type="dxa"/>
          </w:tcPr>
          <w:p w14:paraId="4C2BAE6D" w14:textId="37007C5C" w:rsidR="006F2FFB" w:rsidRPr="004D7A7B" w:rsidRDefault="006F2FFB" w:rsidP="006F2FFB">
            <w:pPr>
              <w:jc w:val="right"/>
              <w:rPr>
                <w:sz w:val="22"/>
                <w:szCs w:val="22"/>
              </w:rPr>
            </w:pPr>
            <w:r w:rsidRPr="004D7A7B">
              <w:rPr>
                <w:rFonts w:cs="Calibri"/>
                <w:color w:val="000000"/>
                <w:sz w:val="22"/>
                <w:szCs w:val="22"/>
              </w:rPr>
              <w:t>7.9%</w:t>
            </w:r>
          </w:p>
        </w:tc>
        <w:tc>
          <w:tcPr>
            <w:tcW w:w="1418" w:type="dxa"/>
          </w:tcPr>
          <w:p w14:paraId="42CF6729" w14:textId="72815C63" w:rsidR="006F2FFB" w:rsidRPr="004D7A7B" w:rsidRDefault="006F2FFB" w:rsidP="006F2FFB">
            <w:pPr>
              <w:jc w:val="right"/>
              <w:rPr>
                <w:sz w:val="22"/>
                <w:szCs w:val="22"/>
              </w:rPr>
            </w:pPr>
            <w:r>
              <w:rPr>
                <w:rFonts w:cs="Calibri"/>
                <w:color w:val="000000"/>
                <w:sz w:val="22"/>
                <w:szCs w:val="22"/>
              </w:rPr>
              <w:t>75</w:t>
            </w:r>
          </w:p>
        </w:tc>
        <w:tc>
          <w:tcPr>
            <w:tcW w:w="1559" w:type="dxa"/>
          </w:tcPr>
          <w:p w14:paraId="29B56863" w14:textId="0D29E470" w:rsidR="006F2FFB" w:rsidRPr="004D7A7B" w:rsidRDefault="006F2FFB" w:rsidP="006F2FFB">
            <w:pPr>
              <w:jc w:val="right"/>
              <w:rPr>
                <w:sz w:val="22"/>
                <w:szCs w:val="22"/>
              </w:rPr>
            </w:pPr>
            <w:r>
              <w:rPr>
                <w:rFonts w:cs="Calibri"/>
                <w:color w:val="000000"/>
                <w:sz w:val="22"/>
                <w:szCs w:val="22"/>
              </w:rPr>
              <w:t>6</w:t>
            </w:r>
          </w:p>
        </w:tc>
        <w:tc>
          <w:tcPr>
            <w:tcW w:w="1417" w:type="dxa"/>
          </w:tcPr>
          <w:p w14:paraId="2F72654C" w14:textId="35DC6A35" w:rsidR="006F2FFB" w:rsidRPr="004D7A7B" w:rsidRDefault="006F2FFB" w:rsidP="006F2FFB">
            <w:pPr>
              <w:jc w:val="right"/>
              <w:rPr>
                <w:sz w:val="22"/>
                <w:szCs w:val="22"/>
              </w:rPr>
            </w:pPr>
            <w:r>
              <w:rPr>
                <w:rFonts w:cs="Calibri"/>
                <w:color w:val="000000"/>
                <w:sz w:val="22"/>
                <w:szCs w:val="22"/>
              </w:rPr>
              <w:t>8.0%</w:t>
            </w:r>
          </w:p>
        </w:tc>
      </w:tr>
      <w:tr w:rsidR="006F2FFB" w:rsidRPr="004D7A7B" w14:paraId="3C8F3970" w14:textId="77777777" w:rsidTr="004A3088">
        <w:trPr>
          <w:jc w:val="center"/>
        </w:trPr>
        <w:tc>
          <w:tcPr>
            <w:tcW w:w="1853" w:type="dxa"/>
          </w:tcPr>
          <w:p w14:paraId="73FCD8F6" w14:textId="33F2CC07" w:rsidR="006F2FFB" w:rsidRPr="004D7A7B" w:rsidRDefault="006F2FFB" w:rsidP="006F2FFB">
            <w:pPr>
              <w:rPr>
                <w:sz w:val="22"/>
                <w:szCs w:val="22"/>
              </w:rPr>
            </w:pPr>
            <w:r w:rsidRPr="004D7A7B">
              <w:rPr>
                <w:rFonts w:cs="Calibri"/>
                <w:color w:val="000000"/>
                <w:sz w:val="22"/>
                <w:szCs w:val="22"/>
              </w:rPr>
              <w:t>Nursing and Midwifery Board of Ireland</w:t>
            </w:r>
          </w:p>
        </w:tc>
        <w:tc>
          <w:tcPr>
            <w:tcW w:w="1842" w:type="dxa"/>
          </w:tcPr>
          <w:p w14:paraId="461C4F47" w14:textId="75E95A43" w:rsidR="006F2FFB" w:rsidRPr="004D7A7B" w:rsidRDefault="006F2FFB" w:rsidP="006F2FFB">
            <w:pPr>
              <w:jc w:val="right"/>
              <w:rPr>
                <w:sz w:val="22"/>
                <w:szCs w:val="22"/>
              </w:rPr>
            </w:pPr>
            <w:r w:rsidRPr="004D7A7B">
              <w:rPr>
                <w:rFonts w:cs="Calibri"/>
                <w:color w:val="000000"/>
                <w:sz w:val="22"/>
                <w:szCs w:val="22"/>
              </w:rPr>
              <w:t>46</w:t>
            </w:r>
          </w:p>
        </w:tc>
        <w:tc>
          <w:tcPr>
            <w:tcW w:w="1560" w:type="dxa"/>
          </w:tcPr>
          <w:p w14:paraId="471A1EA6" w14:textId="5BD1BE6B" w:rsidR="006F2FFB" w:rsidRPr="004D7A7B" w:rsidRDefault="006F2FFB" w:rsidP="006F2FFB">
            <w:pPr>
              <w:jc w:val="right"/>
              <w:rPr>
                <w:sz w:val="22"/>
                <w:szCs w:val="22"/>
              </w:rPr>
            </w:pPr>
            <w:r w:rsidRPr="004D7A7B">
              <w:rPr>
                <w:rFonts w:cs="Calibri"/>
                <w:color w:val="000000"/>
                <w:sz w:val="22"/>
                <w:szCs w:val="22"/>
              </w:rPr>
              <w:t>3</w:t>
            </w:r>
          </w:p>
        </w:tc>
        <w:tc>
          <w:tcPr>
            <w:tcW w:w="1417" w:type="dxa"/>
          </w:tcPr>
          <w:p w14:paraId="5016A790" w14:textId="710C80F3" w:rsidR="006F2FFB" w:rsidRPr="004D7A7B" w:rsidRDefault="006F2FFB" w:rsidP="006F2FFB">
            <w:pPr>
              <w:jc w:val="right"/>
              <w:rPr>
                <w:sz w:val="22"/>
                <w:szCs w:val="22"/>
              </w:rPr>
            </w:pPr>
            <w:r w:rsidRPr="004D7A7B">
              <w:rPr>
                <w:rFonts w:cs="Calibri"/>
                <w:color w:val="000000"/>
                <w:sz w:val="22"/>
                <w:szCs w:val="22"/>
              </w:rPr>
              <w:t>6.5%</w:t>
            </w:r>
          </w:p>
        </w:tc>
        <w:tc>
          <w:tcPr>
            <w:tcW w:w="1418" w:type="dxa"/>
          </w:tcPr>
          <w:p w14:paraId="10271050" w14:textId="67C22C10" w:rsidR="006F2FFB" w:rsidRPr="004D7A7B" w:rsidRDefault="006F2FFB" w:rsidP="006F2FFB">
            <w:pPr>
              <w:jc w:val="right"/>
              <w:rPr>
                <w:sz w:val="22"/>
                <w:szCs w:val="22"/>
              </w:rPr>
            </w:pPr>
            <w:r>
              <w:rPr>
                <w:rFonts w:cs="Calibri"/>
                <w:color w:val="000000"/>
                <w:sz w:val="22"/>
                <w:szCs w:val="22"/>
              </w:rPr>
              <w:t>64</w:t>
            </w:r>
          </w:p>
        </w:tc>
        <w:tc>
          <w:tcPr>
            <w:tcW w:w="1559" w:type="dxa"/>
          </w:tcPr>
          <w:p w14:paraId="45A98E1A" w14:textId="1B2D654C" w:rsidR="006F2FFB" w:rsidRPr="004D7A7B" w:rsidRDefault="006F2FFB" w:rsidP="006F2FFB">
            <w:pPr>
              <w:jc w:val="right"/>
              <w:rPr>
                <w:sz w:val="22"/>
                <w:szCs w:val="22"/>
              </w:rPr>
            </w:pPr>
            <w:r>
              <w:rPr>
                <w:rFonts w:cs="Calibri"/>
                <w:color w:val="000000"/>
                <w:sz w:val="22"/>
                <w:szCs w:val="22"/>
              </w:rPr>
              <w:t>4</w:t>
            </w:r>
          </w:p>
        </w:tc>
        <w:tc>
          <w:tcPr>
            <w:tcW w:w="1417" w:type="dxa"/>
          </w:tcPr>
          <w:p w14:paraId="14BD4866" w14:textId="63E33796" w:rsidR="006F2FFB" w:rsidRPr="004D7A7B" w:rsidRDefault="006F2FFB" w:rsidP="006F2FFB">
            <w:pPr>
              <w:jc w:val="right"/>
              <w:rPr>
                <w:sz w:val="22"/>
                <w:szCs w:val="22"/>
              </w:rPr>
            </w:pPr>
            <w:r>
              <w:rPr>
                <w:rFonts w:cs="Calibri"/>
                <w:color w:val="000000"/>
                <w:sz w:val="22"/>
                <w:szCs w:val="22"/>
              </w:rPr>
              <w:t>6.3%</w:t>
            </w:r>
          </w:p>
        </w:tc>
      </w:tr>
      <w:tr w:rsidR="006F2FFB" w:rsidRPr="004D7A7B" w14:paraId="5C4B632C" w14:textId="77777777" w:rsidTr="004A3088">
        <w:trPr>
          <w:jc w:val="center"/>
        </w:trPr>
        <w:tc>
          <w:tcPr>
            <w:tcW w:w="1853" w:type="dxa"/>
          </w:tcPr>
          <w:p w14:paraId="463D6742" w14:textId="0489FECA" w:rsidR="006F2FFB" w:rsidRPr="004D7A7B" w:rsidRDefault="006F2FFB" w:rsidP="006F2FFB">
            <w:pPr>
              <w:rPr>
                <w:sz w:val="22"/>
                <w:szCs w:val="22"/>
              </w:rPr>
            </w:pPr>
            <w:r w:rsidRPr="004D7A7B">
              <w:rPr>
                <w:rFonts w:cs="Calibri"/>
                <w:color w:val="000000"/>
                <w:sz w:val="22"/>
                <w:szCs w:val="22"/>
              </w:rPr>
              <w:t>Pharmaceutical Society of Ireland</w:t>
            </w:r>
          </w:p>
        </w:tc>
        <w:tc>
          <w:tcPr>
            <w:tcW w:w="1842" w:type="dxa"/>
          </w:tcPr>
          <w:p w14:paraId="3CAF2FDC" w14:textId="4EDD2554" w:rsidR="006F2FFB" w:rsidRPr="004D7A7B" w:rsidRDefault="006F2FFB" w:rsidP="006F2FFB">
            <w:pPr>
              <w:jc w:val="right"/>
              <w:rPr>
                <w:sz w:val="22"/>
                <w:szCs w:val="22"/>
              </w:rPr>
            </w:pPr>
            <w:r w:rsidRPr="004D7A7B">
              <w:rPr>
                <w:rFonts w:cs="Calibri"/>
                <w:color w:val="000000"/>
                <w:sz w:val="22"/>
                <w:szCs w:val="22"/>
              </w:rPr>
              <w:t>44</w:t>
            </w:r>
          </w:p>
        </w:tc>
        <w:tc>
          <w:tcPr>
            <w:tcW w:w="1560" w:type="dxa"/>
          </w:tcPr>
          <w:p w14:paraId="27CBDF71" w14:textId="078EB358" w:rsidR="006F2FFB" w:rsidRPr="004D7A7B" w:rsidRDefault="006F2FFB" w:rsidP="006F2FFB">
            <w:pPr>
              <w:jc w:val="right"/>
              <w:rPr>
                <w:sz w:val="22"/>
                <w:szCs w:val="22"/>
              </w:rPr>
            </w:pPr>
            <w:r w:rsidRPr="004D7A7B">
              <w:rPr>
                <w:rFonts w:cs="Calibri"/>
                <w:color w:val="000000"/>
                <w:sz w:val="22"/>
                <w:szCs w:val="22"/>
              </w:rPr>
              <w:t>2</w:t>
            </w:r>
          </w:p>
        </w:tc>
        <w:tc>
          <w:tcPr>
            <w:tcW w:w="1417" w:type="dxa"/>
          </w:tcPr>
          <w:p w14:paraId="5347C7B1" w14:textId="1FF05A08" w:rsidR="006F2FFB" w:rsidRPr="004D7A7B" w:rsidRDefault="006F2FFB" w:rsidP="006F2FFB">
            <w:pPr>
              <w:jc w:val="right"/>
              <w:rPr>
                <w:sz w:val="22"/>
                <w:szCs w:val="22"/>
              </w:rPr>
            </w:pPr>
            <w:r w:rsidRPr="004D7A7B">
              <w:rPr>
                <w:rFonts w:cs="Calibri"/>
                <w:color w:val="000000"/>
                <w:sz w:val="22"/>
                <w:szCs w:val="22"/>
              </w:rPr>
              <w:t>4.5%</w:t>
            </w:r>
          </w:p>
        </w:tc>
        <w:tc>
          <w:tcPr>
            <w:tcW w:w="1418" w:type="dxa"/>
          </w:tcPr>
          <w:p w14:paraId="03C4C2BF" w14:textId="1F214372" w:rsidR="006F2FFB" w:rsidRPr="004D7A7B" w:rsidRDefault="006F2FFB" w:rsidP="006F2FFB">
            <w:pPr>
              <w:jc w:val="right"/>
              <w:rPr>
                <w:sz w:val="22"/>
                <w:szCs w:val="22"/>
              </w:rPr>
            </w:pPr>
            <w:r>
              <w:rPr>
                <w:rFonts w:cs="Calibri"/>
                <w:color w:val="000000"/>
                <w:sz w:val="22"/>
                <w:szCs w:val="22"/>
              </w:rPr>
              <w:t>44</w:t>
            </w:r>
          </w:p>
        </w:tc>
        <w:tc>
          <w:tcPr>
            <w:tcW w:w="1559" w:type="dxa"/>
          </w:tcPr>
          <w:p w14:paraId="2E6FCD04" w14:textId="3793C876" w:rsidR="006F2FFB" w:rsidRPr="004D7A7B" w:rsidRDefault="006F2FFB" w:rsidP="006F2FFB">
            <w:pPr>
              <w:jc w:val="right"/>
              <w:rPr>
                <w:sz w:val="22"/>
                <w:szCs w:val="22"/>
              </w:rPr>
            </w:pPr>
            <w:r>
              <w:rPr>
                <w:rFonts w:cs="Calibri"/>
                <w:color w:val="000000"/>
                <w:sz w:val="22"/>
                <w:szCs w:val="22"/>
              </w:rPr>
              <w:t>2</w:t>
            </w:r>
          </w:p>
        </w:tc>
        <w:tc>
          <w:tcPr>
            <w:tcW w:w="1417" w:type="dxa"/>
          </w:tcPr>
          <w:p w14:paraId="1218CBB4" w14:textId="1ED86882" w:rsidR="006F2FFB" w:rsidRPr="004D7A7B" w:rsidRDefault="006F2FFB" w:rsidP="006F2FFB">
            <w:pPr>
              <w:jc w:val="right"/>
              <w:rPr>
                <w:sz w:val="22"/>
                <w:szCs w:val="22"/>
              </w:rPr>
            </w:pPr>
            <w:r>
              <w:rPr>
                <w:rFonts w:cs="Calibri"/>
                <w:color w:val="000000"/>
                <w:sz w:val="22"/>
                <w:szCs w:val="22"/>
              </w:rPr>
              <w:t>4.5%</w:t>
            </w:r>
          </w:p>
        </w:tc>
      </w:tr>
      <w:tr w:rsidR="006F2FFB" w:rsidRPr="004D7A7B" w14:paraId="3BCCE182" w14:textId="77777777" w:rsidTr="004A3088">
        <w:trPr>
          <w:jc w:val="center"/>
        </w:trPr>
        <w:tc>
          <w:tcPr>
            <w:tcW w:w="1853" w:type="dxa"/>
          </w:tcPr>
          <w:p w14:paraId="4A0ECC44" w14:textId="3D00417B" w:rsidR="006F2FFB" w:rsidRPr="004D7A7B" w:rsidRDefault="006F2FFB" w:rsidP="006F2FFB">
            <w:pPr>
              <w:rPr>
                <w:sz w:val="22"/>
                <w:szCs w:val="22"/>
              </w:rPr>
            </w:pPr>
            <w:r w:rsidRPr="004D7A7B">
              <w:rPr>
                <w:rFonts w:cs="Calibri"/>
                <w:color w:val="000000"/>
                <w:sz w:val="22"/>
                <w:szCs w:val="22"/>
              </w:rPr>
              <w:t>Pre-Hospital Emergency Care Council</w:t>
            </w:r>
          </w:p>
        </w:tc>
        <w:tc>
          <w:tcPr>
            <w:tcW w:w="1842" w:type="dxa"/>
          </w:tcPr>
          <w:p w14:paraId="34BF38D3" w14:textId="2BCDD544" w:rsidR="006F2FFB" w:rsidRPr="004D7A7B" w:rsidRDefault="006F2FFB" w:rsidP="006F2FFB">
            <w:pPr>
              <w:jc w:val="right"/>
              <w:rPr>
                <w:sz w:val="22"/>
                <w:szCs w:val="22"/>
              </w:rPr>
            </w:pPr>
            <w:r w:rsidRPr="004D7A7B">
              <w:rPr>
                <w:rFonts w:cs="Calibri"/>
                <w:color w:val="000000"/>
                <w:sz w:val="22"/>
                <w:szCs w:val="22"/>
              </w:rPr>
              <w:t>20</w:t>
            </w:r>
          </w:p>
        </w:tc>
        <w:tc>
          <w:tcPr>
            <w:tcW w:w="1560" w:type="dxa"/>
          </w:tcPr>
          <w:p w14:paraId="26F3D49D" w14:textId="21E27BCD" w:rsidR="006F2FFB" w:rsidRPr="004D7A7B" w:rsidRDefault="006F2FFB" w:rsidP="006F2FFB">
            <w:pPr>
              <w:jc w:val="right"/>
              <w:rPr>
                <w:sz w:val="22"/>
                <w:szCs w:val="22"/>
              </w:rPr>
            </w:pPr>
            <w:r w:rsidRPr="004D7A7B">
              <w:rPr>
                <w:rFonts w:cs="Calibri"/>
                <w:color w:val="000000"/>
                <w:sz w:val="22"/>
                <w:szCs w:val="22"/>
              </w:rPr>
              <w:t>1</w:t>
            </w:r>
          </w:p>
        </w:tc>
        <w:tc>
          <w:tcPr>
            <w:tcW w:w="1417" w:type="dxa"/>
          </w:tcPr>
          <w:p w14:paraId="73305C54" w14:textId="050119D6" w:rsidR="006F2FFB" w:rsidRPr="004D7A7B" w:rsidRDefault="006F2FFB" w:rsidP="006F2FFB">
            <w:pPr>
              <w:jc w:val="right"/>
              <w:rPr>
                <w:sz w:val="22"/>
                <w:szCs w:val="22"/>
              </w:rPr>
            </w:pPr>
            <w:r w:rsidRPr="004D7A7B">
              <w:rPr>
                <w:rFonts w:cs="Calibri"/>
                <w:color w:val="000000"/>
                <w:sz w:val="22"/>
                <w:szCs w:val="22"/>
              </w:rPr>
              <w:t>5.0%</w:t>
            </w:r>
          </w:p>
        </w:tc>
        <w:tc>
          <w:tcPr>
            <w:tcW w:w="1418" w:type="dxa"/>
          </w:tcPr>
          <w:p w14:paraId="215305CB" w14:textId="5A2539E3" w:rsidR="006F2FFB" w:rsidRPr="004D7A7B" w:rsidRDefault="006F2FFB" w:rsidP="006F2FFB">
            <w:pPr>
              <w:jc w:val="right"/>
              <w:rPr>
                <w:sz w:val="22"/>
                <w:szCs w:val="22"/>
              </w:rPr>
            </w:pPr>
            <w:r>
              <w:rPr>
                <w:rFonts w:cs="Calibri"/>
                <w:color w:val="000000"/>
                <w:sz w:val="22"/>
                <w:szCs w:val="22"/>
              </w:rPr>
              <w:t>21</w:t>
            </w:r>
          </w:p>
        </w:tc>
        <w:tc>
          <w:tcPr>
            <w:tcW w:w="1559" w:type="dxa"/>
          </w:tcPr>
          <w:p w14:paraId="0911F938" w14:textId="3B7E2505" w:rsidR="006F2FFB" w:rsidRPr="004D7A7B" w:rsidRDefault="006F2FFB" w:rsidP="006F2FFB">
            <w:pPr>
              <w:jc w:val="right"/>
              <w:rPr>
                <w:sz w:val="22"/>
                <w:szCs w:val="22"/>
              </w:rPr>
            </w:pPr>
            <w:r>
              <w:rPr>
                <w:rFonts w:cs="Calibri"/>
                <w:color w:val="000000"/>
                <w:sz w:val="22"/>
                <w:szCs w:val="22"/>
              </w:rPr>
              <w:t>1</w:t>
            </w:r>
          </w:p>
        </w:tc>
        <w:tc>
          <w:tcPr>
            <w:tcW w:w="1417" w:type="dxa"/>
          </w:tcPr>
          <w:p w14:paraId="11927CDD" w14:textId="6F2E1618" w:rsidR="006F2FFB" w:rsidRPr="004D7A7B" w:rsidRDefault="006F2FFB" w:rsidP="006F2FFB">
            <w:pPr>
              <w:jc w:val="right"/>
              <w:rPr>
                <w:sz w:val="22"/>
                <w:szCs w:val="22"/>
              </w:rPr>
            </w:pPr>
            <w:r>
              <w:rPr>
                <w:rFonts w:cs="Calibri"/>
                <w:color w:val="000000"/>
                <w:sz w:val="22"/>
                <w:szCs w:val="22"/>
              </w:rPr>
              <w:t>4.8%</w:t>
            </w:r>
          </w:p>
        </w:tc>
      </w:tr>
      <w:tr w:rsidR="006F2FFB" w:rsidRPr="004D7A7B" w14:paraId="07B961D6" w14:textId="77777777" w:rsidTr="004A3088">
        <w:trPr>
          <w:jc w:val="center"/>
        </w:trPr>
        <w:tc>
          <w:tcPr>
            <w:tcW w:w="1853" w:type="dxa"/>
          </w:tcPr>
          <w:p w14:paraId="7E62D567" w14:textId="4DDCEB11" w:rsidR="006F2FFB" w:rsidRPr="004D7A7B" w:rsidRDefault="006F2FFB" w:rsidP="006F2FFB">
            <w:pPr>
              <w:rPr>
                <w:sz w:val="22"/>
                <w:szCs w:val="22"/>
              </w:rPr>
            </w:pPr>
            <w:r w:rsidRPr="004D7A7B">
              <w:rPr>
                <w:rFonts w:cs="Calibri"/>
                <w:color w:val="000000"/>
                <w:sz w:val="22"/>
                <w:szCs w:val="22"/>
              </w:rPr>
              <w:t>safefood</w:t>
            </w:r>
          </w:p>
        </w:tc>
        <w:tc>
          <w:tcPr>
            <w:tcW w:w="1842" w:type="dxa"/>
          </w:tcPr>
          <w:p w14:paraId="30A1D2A5" w14:textId="022ADC11" w:rsidR="006F2FFB" w:rsidRPr="004D7A7B" w:rsidRDefault="006F2FFB" w:rsidP="006F2FFB">
            <w:pPr>
              <w:jc w:val="right"/>
              <w:rPr>
                <w:sz w:val="22"/>
                <w:szCs w:val="22"/>
              </w:rPr>
            </w:pPr>
            <w:r w:rsidRPr="004D7A7B">
              <w:rPr>
                <w:rFonts w:cs="Calibri"/>
                <w:color w:val="000000"/>
                <w:sz w:val="22"/>
                <w:szCs w:val="22"/>
              </w:rPr>
              <w:t>26</w:t>
            </w:r>
          </w:p>
        </w:tc>
        <w:tc>
          <w:tcPr>
            <w:tcW w:w="1560" w:type="dxa"/>
          </w:tcPr>
          <w:p w14:paraId="4B1AD217" w14:textId="2D08AF45" w:rsidR="006F2FFB" w:rsidRPr="004D7A7B" w:rsidRDefault="006F2FFB" w:rsidP="006F2FFB">
            <w:pPr>
              <w:jc w:val="right"/>
              <w:rPr>
                <w:sz w:val="22"/>
                <w:szCs w:val="22"/>
              </w:rPr>
            </w:pPr>
            <w:r w:rsidRPr="004D7A7B">
              <w:rPr>
                <w:rFonts w:cs="Calibri"/>
                <w:color w:val="000000"/>
                <w:sz w:val="22"/>
                <w:szCs w:val="22"/>
              </w:rPr>
              <w:t>2</w:t>
            </w:r>
          </w:p>
        </w:tc>
        <w:tc>
          <w:tcPr>
            <w:tcW w:w="1417" w:type="dxa"/>
          </w:tcPr>
          <w:p w14:paraId="5EFAA780" w14:textId="36A710A6" w:rsidR="006F2FFB" w:rsidRPr="004D7A7B" w:rsidRDefault="006F2FFB" w:rsidP="006F2FFB">
            <w:pPr>
              <w:jc w:val="right"/>
              <w:rPr>
                <w:sz w:val="22"/>
                <w:szCs w:val="22"/>
              </w:rPr>
            </w:pPr>
            <w:r w:rsidRPr="004D7A7B">
              <w:rPr>
                <w:rFonts w:cs="Calibri"/>
                <w:color w:val="000000"/>
                <w:sz w:val="22"/>
                <w:szCs w:val="22"/>
              </w:rPr>
              <w:t>7.7%</w:t>
            </w:r>
          </w:p>
        </w:tc>
        <w:tc>
          <w:tcPr>
            <w:tcW w:w="1418" w:type="dxa"/>
          </w:tcPr>
          <w:p w14:paraId="50F8CFF6" w14:textId="612AB29F" w:rsidR="006F2FFB" w:rsidRPr="004D7A7B" w:rsidRDefault="006F2FFB" w:rsidP="006F2FFB">
            <w:pPr>
              <w:jc w:val="right"/>
              <w:rPr>
                <w:sz w:val="22"/>
                <w:szCs w:val="22"/>
              </w:rPr>
            </w:pPr>
            <w:r>
              <w:rPr>
                <w:rFonts w:cs="Calibri"/>
                <w:color w:val="000000"/>
                <w:sz w:val="22"/>
                <w:szCs w:val="22"/>
              </w:rPr>
              <w:t>28</w:t>
            </w:r>
          </w:p>
        </w:tc>
        <w:tc>
          <w:tcPr>
            <w:tcW w:w="1559" w:type="dxa"/>
          </w:tcPr>
          <w:p w14:paraId="744EF0DF" w14:textId="715EF599" w:rsidR="006F2FFB" w:rsidRPr="004D7A7B" w:rsidRDefault="006F2FFB" w:rsidP="006F2FFB">
            <w:pPr>
              <w:jc w:val="right"/>
              <w:rPr>
                <w:sz w:val="22"/>
                <w:szCs w:val="22"/>
              </w:rPr>
            </w:pPr>
            <w:r>
              <w:rPr>
                <w:rFonts w:cs="Calibri"/>
                <w:color w:val="000000"/>
                <w:sz w:val="22"/>
                <w:szCs w:val="22"/>
              </w:rPr>
              <w:t>2</w:t>
            </w:r>
          </w:p>
        </w:tc>
        <w:tc>
          <w:tcPr>
            <w:tcW w:w="1417" w:type="dxa"/>
          </w:tcPr>
          <w:p w14:paraId="137B996B" w14:textId="561292E0" w:rsidR="006F2FFB" w:rsidRPr="004D7A7B" w:rsidRDefault="006F2FFB" w:rsidP="006F2FFB">
            <w:pPr>
              <w:jc w:val="right"/>
              <w:rPr>
                <w:sz w:val="22"/>
                <w:szCs w:val="22"/>
              </w:rPr>
            </w:pPr>
            <w:r>
              <w:rPr>
                <w:rFonts w:cs="Calibri"/>
                <w:color w:val="000000"/>
                <w:sz w:val="22"/>
                <w:szCs w:val="22"/>
              </w:rPr>
              <w:t>7.1%</w:t>
            </w:r>
          </w:p>
        </w:tc>
      </w:tr>
      <w:tr w:rsidR="006F2FFB" w:rsidRPr="004D7A7B" w14:paraId="20D0C865" w14:textId="77777777" w:rsidTr="004A3088">
        <w:trPr>
          <w:jc w:val="center"/>
        </w:trPr>
        <w:tc>
          <w:tcPr>
            <w:tcW w:w="1853" w:type="dxa"/>
          </w:tcPr>
          <w:p w14:paraId="6BECA05E" w14:textId="2F32CDC8" w:rsidR="006F2FFB" w:rsidRPr="004D7A7B" w:rsidRDefault="006F2FFB" w:rsidP="006F2FFB">
            <w:pPr>
              <w:rPr>
                <w:sz w:val="22"/>
                <w:szCs w:val="22"/>
              </w:rPr>
            </w:pPr>
            <w:r w:rsidRPr="004D7A7B">
              <w:rPr>
                <w:rFonts w:cs="Calibri"/>
                <w:color w:val="000000"/>
                <w:sz w:val="22"/>
                <w:szCs w:val="22"/>
              </w:rPr>
              <w:t>St James's Hospital</w:t>
            </w:r>
          </w:p>
        </w:tc>
        <w:tc>
          <w:tcPr>
            <w:tcW w:w="1842" w:type="dxa"/>
          </w:tcPr>
          <w:p w14:paraId="6FD129D6" w14:textId="3F47D72B" w:rsidR="006F2FFB" w:rsidRPr="004D7A7B" w:rsidRDefault="006F2FFB" w:rsidP="006F2FFB">
            <w:pPr>
              <w:jc w:val="right"/>
              <w:rPr>
                <w:sz w:val="22"/>
                <w:szCs w:val="22"/>
              </w:rPr>
            </w:pPr>
            <w:r w:rsidRPr="004D7A7B">
              <w:rPr>
                <w:rFonts w:cs="Calibri"/>
                <w:color w:val="000000"/>
                <w:sz w:val="22"/>
                <w:szCs w:val="22"/>
              </w:rPr>
              <w:t>4,985</w:t>
            </w:r>
          </w:p>
        </w:tc>
        <w:tc>
          <w:tcPr>
            <w:tcW w:w="1560" w:type="dxa"/>
          </w:tcPr>
          <w:p w14:paraId="463EE1F7" w14:textId="7037909B" w:rsidR="006F2FFB" w:rsidRPr="004D7A7B" w:rsidRDefault="006F2FFB" w:rsidP="006F2FFB">
            <w:pPr>
              <w:jc w:val="right"/>
              <w:rPr>
                <w:sz w:val="22"/>
                <w:szCs w:val="22"/>
              </w:rPr>
            </w:pPr>
            <w:r w:rsidRPr="004D7A7B">
              <w:rPr>
                <w:rFonts w:cs="Calibri"/>
                <w:color w:val="000000"/>
                <w:sz w:val="22"/>
                <w:szCs w:val="22"/>
              </w:rPr>
              <w:t>278</w:t>
            </w:r>
          </w:p>
        </w:tc>
        <w:tc>
          <w:tcPr>
            <w:tcW w:w="1417" w:type="dxa"/>
          </w:tcPr>
          <w:p w14:paraId="756F97DE" w14:textId="672668BC" w:rsidR="006F2FFB" w:rsidRPr="004D7A7B" w:rsidRDefault="006F2FFB" w:rsidP="006F2FFB">
            <w:pPr>
              <w:jc w:val="right"/>
              <w:rPr>
                <w:sz w:val="22"/>
                <w:szCs w:val="22"/>
              </w:rPr>
            </w:pPr>
            <w:r w:rsidRPr="004D7A7B">
              <w:rPr>
                <w:rFonts w:cs="Calibri"/>
                <w:color w:val="000000"/>
                <w:sz w:val="22"/>
                <w:szCs w:val="22"/>
              </w:rPr>
              <w:t>5.6%</w:t>
            </w:r>
          </w:p>
        </w:tc>
        <w:tc>
          <w:tcPr>
            <w:tcW w:w="1418" w:type="dxa"/>
          </w:tcPr>
          <w:p w14:paraId="5522295E" w14:textId="3E1372F3" w:rsidR="006F2FFB" w:rsidRPr="004D7A7B" w:rsidRDefault="006F2FFB" w:rsidP="006F2FFB">
            <w:pPr>
              <w:jc w:val="right"/>
              <w:rPr>
                <w:sz w:val="22"/>
                <w:szCs w:val="22"/>
              </w:rPr>
            </w:pPr>
            <w:r>
              <w:rPr>
                <w:rFonts w:cs="Calibri"/>
                <w:color w:val="000000"/>
                <w:sz w:val="22"/>
                <w:szCs w:val="22"/>
              </w:rPr>
              <w:t>5124</w:t>
            </w:r>
          </w:p>
        </w:tc>
        <w:tc>
          <w:tcPr>
            <w:tcW w:w="1559" w:type="dxa"/>
          </w:tcPr>
          <w:p w14:paraId="1A99CF98" w14:textId="6300E50B" w:rsidR="006F2FFB" w:rsidRPr="004D7A7B" w:rsidRDefault="006F2FFB" w:rsidP="006F2FFB">
            <w:pPr>
              <w:jc w:val="right"/>
              <w:rPr>
                <w:sz w:val="22"/>
                <w:szCs w:val="22"/>
              </w:rPr>
            </w:pPr>
            <w:r>
              <w:rPr>
                <w:rFonts w:cs="Calibri"/>
                <w:color w:val="000000"/>
                <w:sz w:val="22"/>
                <w:szCs w:val="22"/>
              </w:rPr>
              <w:t>322</w:t>
            </w:r>
          </w:p>
        </w:tc>
        <w:tc>
          <w:tcPr>
            <w:tcW w:w="1417" w:type="dxa"/>
          </w:tcPr>
          <w:p w14:paraId="19BDC8E5" w14:textId="21997478" w:rsidR="006F2FFB" w:rsidRPr="004D7A7B" w:rsidRDefault="006F2FFB" w:rsidP="006F2FFB">
            <w:pPr>
              <w:jc w:val="right"/>
              <w:rPr>
                <w:sz w:val="22"/>
                <w:szCs w:val="22"/>
              </w:rPr>
            </w:pPr>
            <w:r>
              <w:rPr>
                <w:rFonts w:cs="Calibri"/>
                <w:color w:val="000000"/>
                <w:sz w:val="22"/>
                <w:szCs w:val="22"/>
              </w:rPr>
              <w:t>6.3%</w:t>
            </w:r>
          </w:p>
        </w:tc>
      </w:tr>
      <w:tr w:rsidR="006F2FFB" w:rsidRPr="004D7A7B" w14:paraId="058799A2" w14:textId="77777777" w:rsidTr="004A3088">
        <w:trPr>
          <w:trHeight w:val="338"/>
          <w:jc w:val="center"/>
        </w:trPr>
        <w:tc>
          <w:tcPr>
            <w:tcW w:w="1853" w:type="dxa"/>
          </w:tcPr>
          <w:p w14:paraId="2E7135BB" w14:textId="4B0D4CFE" w:rsidR="006F2FFB" w:rsidRPr="004D7A7B" w:rsidRDefault="006F2FFB" w:rsidP="006F2FFB">
            <w:pPr>
              <w:rPr>
                <w:sz w:val="22"/>
                <w:szCs w:val="22"/>
              </w:rPr>
            </w:pPr>
            <w:r w:rsidRPr="004D7A7B">
              <w:rPr>
                <w:rFonts w:cs="Calibri"/>
                <w:color w:val="000000"/>
                <w:sz w:val="22"/>
                <w:szCs w:val="22"/>
              </w:rPr>
              <w:t>Tallaght University Hospital</w:t>
            </w:r>
          </w:p>
        </w:tc>
        <w:tc>
          <w:tcPr>
            <w:tcW w:w="1842" w:type="dxa"/>
          </w:tcPr>
          <w:p w14:paraId="482700C7" w14:textId="016DB3A3" w:rsidR="006F2FFB" w:rsidRPr="004D7A7B" w:rsidRDefault="006F2FFB" w:rsidP="006F2FFB">
            <w:pPr>
              <w:jc w:val="right"/>
              <w:rPr>
                <w:sz w:val="22"/>
                <w:szCs w:val="22"/>
              </w:rPr>
            </w:pPr>
            <w:r w:rsidRPr="004D7A7B">
              <w:rPr>
                <w:rFonts w:cs="Calibri"/>
                <w:color w:val="000000"/>
                <w:sz w:val="22"/>
                <w:szCs w:val="22"/>
              </w:rPr>
              <w:t>3,279</w:t>
            </w:r>
          </w:p>
        </w:tc>
        <w:tc>
          <w:tcPr>
            <w:tcW w:w="1560" w:type="dxa"/>
          </w:tcPr>
          <w:p w14:paraId="1B55B4D4" w14:textId="260B07B0" w:rsidR="006F2FFB" w:rsidRPr="004D7A7B" w:rsidRDefault="006F2FFB" w:rsidP="006F2FFB">
            <w:pPr>
              <w:jc w:val="right"/>
              <w:rPr>
                <w:sz w:val="22"/>
                <w:szCs w:val="22"/>
              </w:rPr>
            </w:pPr>
            <w:r w:rsidRPr="004D7A7B">
              <w:rPr>
                <w:rFonts w:cs="Calibri"/>
                <w:color w:val="000000"/>
                <w:sz w:val="22"/>
                <w:szCs w:val="22"/>
              </w:rPr>
              <w:t>102</w:t>
            </w:r>
          </w:p>
        </w:tc>
        <w:tc>
          <w:tcPr>
            <w:tcW w:w="1417" w:type="dxa"/>
          </w:tcPr>
          <w:p w14:paraId="4206D706" w14:textId="0486310F" w:rsidR="006F2FFB" w:rsidRPr="004D7A7B" w:rsidRDefault="006F2FFB" w:rsidP="006F2FFB">
            <w:pPr>
              <w:jc w:val="right"/>
              <w:rPr>
                <w:sz w:val="22"/>
                <w:szCs w:val="22"/>
              </w:rPr>
            </w:pPr>
            <w:r w:rsidRPr="004D7A7B">
              <w:rPr>
                <w:rFonts w:cs="Calibri"/>
                <w:color w:val="000000"/>
                <w:sz w:val="22"/>
                <w:szCs w:val="22"/>
              </w:rPr>
              <w:t>3.1%</w:t>
            </w:r>
          </w:p>
        </w:tc>
        <w:tc>
          <w:tcPr>
            <w:tcW w:w="1418" w:type="dxa"/>
          </w:tcPr>
          <w:p w14:paraId="1B73C8E3" w14:textId="0B2DB16B" w:rsidR="006F2FFB" w:rsidRPr="004D7A7B" w:rsidRDefault="006F2FFB" w:rsidP="006F2FFB">
            <w:pPr>
              <w:jc w:val="right"/>
              <w:rPr>
                <w:sz w:val="22"/>
                <w:szCs w:val="22"/>
              </w:rPr>
            </w:pPr>
            <w:r>
              <w:rPr>
                <w:rFonts w:cs="Calibri"/>
                <w:color w:val="000000"/>
                <w:sz w:val="22"/>
                <w:szCs w:val="22"/>
              </w:rPr>
              <w:t>3521</w:t>
            </w:r>
          </w:p>
        </w:tc>
        <w:tc>
          <w:tcPr>
            <w:tcW w:w="1559" w:type="dxa"/>
          </w:tcPr>
          <w:p w14:paraId="43EE7FC9" w14:textId="345FB794" w:rsidR="006F2FFB" w:rsidRPr="004D7A7B" w:rsidRDefault="006F2FFB" w:rsidP="006F2FFB">
            <w:pPr>
              <w:jc w:val="right"/>
              <w:rPr>
                <w:sz w:val="22"/>
                <w:szCs w:val="22"/>
              </w:rPr>
            </w:pPr>
            <w:r>
              <w:rPr>
                <w:rFonts w:cs="Calibri"/>
                <w:color w:val="000000"/>
                <w:sz w:val="22"/>
                <w:szCs w:val="22"/>
              </w:rPr>
              <w:t>136</w:t>
            </w:r>
          </w:p>
        </w:tc>
        <w:tc>
          <w:tcPr>
            <w:tcW w:w="1417" w:type="dxa"/>
          </w:tcPr>
          <w:p w14:paraId="2FA91B43" w14:textId="1715D1F3" w:rsidR="006F2FFB" w:rsidRPr="004D7A7B" w:rsidRDefault="006F2FFB" w:rsidP="006F2FFB">
            <w:pPr>
              <w:jc w:val="right"/>
              <w:rPr>
                <w:sz w:val="22"/>
                <w:szCs w:val="22"/>
              </w:rPr>
            </w:pPr>
            <w:r>
              <w:rPr>
                <w:rFonts w:cs="Calibri"/>
                <w:color w:val="000000"/>
                <w:sz w:val="22"/>
                <w:szCs w:val="22"/>
              </w:rPr>
              <w:t>3.9%</w:t>
            </w:r>
          </w:p>
        </w:tc>
      </w:tr>
      <w:tr w:rsidR="006F2FFB" w:rsidRPr="004D7A7B" w14:paraId="4FF95006" w14:textId="77777777" w:rsidTr="004A3088">
        <w:trPr>
          <w:jc w:val="center"/>
        </w:trPr>
        <w:tc>
          <w:tcPr>
            <w:tcW w:w="1853" w:type="dxa"/>
          </w:tcPr>
          <w:p w14:paraId="5469E157" w14:textId="584F9639" w:rsidR="006F2FFB" w:rsidRPr="004D7A7B" w:rsidRDefault="006F2FFB" w:rsidP="006F2FFB">
            <w:pPr>
              <w:rPr>
                <w:sz w:val="22"/>
                <w:szCs w:val="22"/>
              </w:rPr>
            </w:pPr>
            <w:r w:rsidRPr="004D7A7B">
              <w:rPr>
                <w:rFonts w:cs="Calibri"/>
                <w:color w:val="000000"/>
                <w:sz w:val="22"/>
                <w:szCs w:val="22"/>
              </w:rPr>
              <w:t xml:space="preserve">Vhi Insurance </w:t>
            </w:r>
          </w:p>
        </w:tc>
        <w:tc>
          <w:tcPr>
            <w:tcW w:w="1842" w:type="dxa"/>
          </w:tcPr>
          <w:p w14:paraId="7CF6A310" w14:textId="1E4E6031" w:rsidR="006F2FFB" w:rsidRPr="004D7A7B" w:rsidRDefault="006F2FFB" w:rsidP="006F2FFB">
            <w:pPr>
              <w:jc w:val="right"/>
              <w:rPr>
                <w:sz w:val="22"/>
                <w:szCs w:val="22"/>
              </w:rPr>
            </w:pPr>
            <w:r w:rsidRPr="004D7A7B">
              <w:rPr>
                <w:rFonts w:cs="Calibri"/>
                <w:color w:val="000000"/>
                <w:sz w:val="22"/>
                <w:szCs w:val="22"/>
              </w:rPr>
              <w:t>1,604</w:t>
            </w:r>
          </w:p>
        </w:tc>
        <w:tc>
          <w:tcPr>
            <w:tcW w:w="1560" w:type="dxa"/>
          </w:tcPr>
          <w:p w14:paraId="1CDAA290" w14:textId="34762870" w:rsidR="006F2FFB" w:rsidRPr="004D7A7B" w:rsidRDefault="006F2FFB" w:rsidP="006F2FFB">
            <w:pPr>
              <w:jc w:val="right"/>
              <w:rPr>
                <w:sz w:val="22"/>
                <w:szCs w:val="22"/>
              </w:rPr>
            </w:pPr>
            <w:r w:rsidRPr="004D7A7B">
              <w:rPr>
                <w:rFonts w:cs="Calibri"/>
                <w:color w:val="000000"/>
                <w:sz w:val="22"/>
                <w:szCs w:val="22"/>
              </w:rPr>
              <w:t>94</w:t>
            </w:r>
          </w:p>
        </w:tc>
        <w:tc>
          <w:tcPr>
            <w:tcW w:w="1417" w:type="dxa"/>
          </w:tcPr>
          <w:p w14:paraId="0A9B2AA2" w14:textId="1F3B6ED9" w:rsidR="006F2FFB" w:rsidRPr="004D7A7B" w:rsidRDefault="006F2FFB" w:rsidP="006F2FFB">
            <w:pPr>
              <w:jc w:val="right"/>
              <w:rPr>
                <w:sz w:val="22"/>
                <w:szCs w:val="22"/>
              </w:rPr>
            </w:pPr>
            <w:r w:rsidRPr="004D7A7B">
              <w:rPr>
                <w:rFonts w:cs="Calibri"/>
                <w:color w:val="000000"/>
                <w:sz w:val="22"/>
                <w:szCs w:val="22"/>
              </w:rPr>
              <w:t>5.9%</w:t>
            </w:r>
          </w:p>
        </w:tc>
        <w:tc>
          <w:tcPr>
            <w:tcW w:w="1418" w:type="dxa"/>
          </w:tcPr>
          <w:p w14:paraId="7DBF44CA" w14:textId="72FC00E1" w:rsidR="006F2FFB" w:rsidRPr="004D7A7B" w:rsidRDefault="006F2FFB" w:rsidP="006F2FFB">
            <w:pPr>
              <w:jc w:val="right"/>
              <w:rPr>
                <w:sz w:val="22"/>
                <w:szCs w:val="22"/>
              </w:rPr>
            </w:pPr>
            <w:r>
              <w:rPr>
                <w:rFonts w:cs="Calibri"/>
                <w:color w:val="000000"/>
                <w:sz w:val="22"/>
                <w:szCs w:val="22"/>
              </w:rPr>
              <w:t>1922</w:t>
            </w:r>
          </w:p>
        </w:tc>
        <w:tc>
          <w:tcPr>
            <w:tcW w:w="1559" w:type="dxa"/>
          </w:tcPr>
          <w:p w14:paraId="2DBF0593" w14:textId="571287C6" w:rsidR="006F2FFB" w:rsidRPr="004D7A7B" w:rsidRDefault="006F2FFB" w:rsidP="006F2FFB">
            <w:pPr>
              <w:jc w:val="right"/>
              <w:rPr>
                <w:sz w:val="22"/>
                <w:szCs w:val="22"/>
              </w:rPr>
            </w:pPr>
            <w:r>
              <w:rPr>
                <w:rFonts w:cs="Calibri"/>
                <w:color w:val="000000"/>
                <w:sz w:val="22"/>
                <w:szCs w:val="22"/>
              </w:rPr>
              <w:t>118</w:t>
            </w:r>
          </w:p>
        </w:tc>
        <w:tc>
          <w:tcPr>
            <w:tcW w:w="1417" w:type="dxa"/>
          </w:tcPr>
          <w:p w14:paraId="1445AC8D" w14:textId="3B240D27" w:rsidR="006F2FFB" w:rsidRPr="004D7A7B" w:rsidRDefault="006F2FFB" w:rsidP="006F2FFB">
            <w:pPr>
              <w:jc w:val="right"/>
              <w:rPr>
                <w:sz w:val="22"/>
                <w:szCs w:val="22"/>
              </w:rPr>
            </w:pPr>
            <w:r>
              <w:rPr>
                <w:rFonts w:cs="Calibri"/>
                <w:color w:val="000000"/>
                <w:sz w:val="22"/>
                <w:szCs w:val="22"/>
              </w:rPr>
              <w:t>6.1%</w:t>
            </w:r>
          </w:p>
        </w:tc>
      </w:tr>
      <w:tr w:rsidR="004D7A7B" w:rsidRPr="004D7A7B" w14:paraId="05506347" w14:textId="77777777" w:rsidTr="004A3088">
        <w:trPr>
          <w:trHeight w:val="517"/>
          <w:jc w:val="center"/>
        </w:trPr>
        <w:tc>
          <w:tcPr>
            <w:tcW w:w="1853" w:type="dxa"/>
          </w:tcPr>
          <w:p w14:paraId="46FA73E9" w14:textId="0A31B96C" w:rsidR="004D7A7B" w:rsidRPr="004D7A7B" w:rsidRDefault="004D7A7B" w:rsidP="004D7A7B">
            <w:pPr>
              <w:spacing w:after="0"/>
              <w:rPr>
                <w:b/>
                <w:sz w:val="22"/>
                <w:szCs w:val="22"/>
              </w:rPr>
            </w:pPr>
            <w:r w:rsidRPr="004D7A7B">
              <w:rPr>
                <w:b/>
                <w:sz w:val="22"/>
                <w:szCs w:val="22"/>
              </w:rPr>
              <w:t xml:space="preserve">Grand Total </w:t>
            </w:r>
          </w:p>
        </w:tc>
        <w:tc>
          <w:tcPr>
            <w:tcW w:w="1842" w:type="dxa"/>
          </w:tcPr>
          <w:p w14:paraId="461831FB" w14:textId="77777777" w:rsidR="004D7A7B" w:rsidRPr="004D7A7B" w:rsidRDefault="004D7A7B" w:rsidP="004D7A7B">
            <w:pPr>
              <w:spacing w:after="0"/>
              <w:jc w:val="right"/>
              <w:rPr>
                <w:rFonts w:cs="Calibri"/>
                <w:b/>
                <w:bCs/>
                <w:color w:val="000000"/>
                <w:sz w:val="22"/>
                <w:szCs w:val="22"/>
                <w:lang w:eastAsia="en-IE"/>
              </w:rPr>
            </w:pPr>
            <w:r w:rsidRPr="004D7A7B">
              <w:rPr>
                <w:rFonts w:cs="Calibri"/>
                <w:b/>
                <w:bCs/>
                <w:color w:val="000000"/>
                <w:sz w:val="22"/>
                <w:szCs w:val="22"/>
              </w:rPr>
              <w:t>113,399</w:t>
            </w:r>
          </w:p>
          <w:p w14:paraId="113D84BE" w14:textId="71A1111D" w:rsidR="004D7A7B" w:rsidRPr="004D7A7B" w:rsidRDefault="004D7A7B" w:rsidP="004D7A7B">
            <w:pPr>
              <w:spacing w:after="0"/>
              <w:jc w:val="right"/>
              <w:rPr>
                <w:sz w:val="22"/>
                <w:szCs w:val="22"/>
              </w:rPr>
            </w:pPr>
          </w:p>
        </w:tc>
        <w:tc>
          <w:tcPr>
            <w:tcW w:w="1560" w:type="dxa"/>
          </w:tcPr>
          <w:p w14:paraId="29423809" w14:textId="77777777" w:rsidR="004D7A7B" w:rsidRPr="004D7A7B" w:rsidRDefault="004D7A7B" w:rsidP="004D7A7B">
            <w:pPr>
              <w:spacing w:after="0"/>
              <w:jc w:val="right"/>
              <w:rPr>
                <w:rFonts w:cs="Calibri"/>
                <w:b/>
                <w:bCs/>
                <w:color w:val="000000"/>
                <w:sz w:val="22"/>
                <w:szCs w:val="22"/>
                <w:lang w:eastAsia="en-IE"/>
              </w:rPr>
            </w:pPr>
            <w:r w:rsidRPr="004D7A7B">
              <w:rPr>
                <w:rFonts w:cs="Calibri"/>
                <w:b/>
                <w:bCs/>
                <w:color w:val="000000"/>
                <w:sz w:val="22"/>
                <w:szCs w:val="22"/>
              </w:rPr>
              <w:t>2,296</w:t>
            </w:r>
          </w:p>
          <w:p w14:paraId="001A315D" w14:textId="5A6F18DA" w:rsidR="004D7A7B" w:rsidRPr="004D7A7B" w:rsidRDefault="004D7A7B" w:rsidP="004D7A7B">
            <w:pPr>
              <w:spacing w:after="0"/>
              <w:jc w:val="right"/>
              <w:rPr>
                <w:b/>
                <w:sz w:val="22"/>
                <w:szCs w:val="22"/>
              </w:rPr>
            </w:pPr>
          </w:p>
        </w:tc>
        <w:tc>
          <w:tcPr>
            <w:tcW w:w="1417" w:type="dxa"/>
          </w:tcPr>
          <w:p w14:paraId="07E46314" w14:textId="198C3515" w:rsidR="004D7A7B" w:rsidRPr="004D7A7B" w:rsidRDefault="004D7A7B" w:rsidP="004D7A7B">
            <w:pPr>
              <w:spacing w:after="0"/>
              <w:jc w:val="right"/>
              <w:rPr>
                <w:b/>
                <w:sz w:val="22"/>
                <w:szCs w:val="22"/>
              </w:rPr>
            </w:pPr>
            <w:r w:rsidRPr="004D7A7B">
              <w:rPr>
                <w:b/>
                <w:sz w:val="22"/>
                <w:szCs w:val="22"/>
              </w:rPr>
              <w:t>2.0%</w:t>
            </w:r>
          </w:p>
        </w:tc>
        <w:tc>
          <w:tcPr>
            <w:tcW w:w="1418" w:type="dxa"/>
          </w:tcPr>
          <w:p w14:paraId="4BFE4855" w14:textId="0E2B0A76" w:rsidR="006F2FFB" w:rsidRDefault="006F2FFB" w:rsidP="006F2FFB">
            <w:pPr>
              <w:spacing w:after="0"/>
              <w:jc w:val="right"/>
              <w:rPr>
                <w:rFonts w:cs="Calibri"/>
                <w:b/>
                <w:bCs/>
                <w:color w:val="000000"/>
                <w:sz w:val="22"/>
                <w:szCs w:val="22"/>
                <w:lang w:eastAsia="en-IE"/>
              </w:rPr>
            </w:pPr>
            <w:r>
              <w:rPr>
                <w:rFonts w:cs="Calibri"/>
                <w:b/>
                <w:bCs/>
                <w:color w:val="000000"/>
                <w:sz w:val="22"/>
                <w:szCs w:val="22"/>
              </w:rPr>
              <w:t>118</w:t>
            </w:r>
            <w:r w:rsidR="00C70456">
              <w:rPr>
                <w:rFonts w:cs="Calibri"/>
                <w:b/>
                <w:bCs/>
                <w:color w:val="000000"/>
                <w:sz w:val="22"/>
                <w:szCs w:val="22"/>
              </w:rPr>
              <w:t>,</w:t>
            </w:r>
            <w:r>
              <w:rPr>
                <w:rFonts w:cs="Calibri"/>
                <w:b/>
                <w:bCs/>
                <w:color w:val="000000"/>
                <w:sz w:val="22"/>
                <w:szCs w:val="22"/>
              </w:rPr>
              <w:t>913</w:t>
            </w:r>
          </w:p>
          <w:p w14:paraId="5FB9A2C6" w14:textId="41F1CC38" w:rsidR="004D7A7B" w:rsidRPr="004D7A7B" w:rsidRDefault="004D7A7B" w:rsidP="004D7A7B">
            <w:pPr>
              <w:spacing w:after="0"/>
              <w:jc w:val="right"/>
              <w:rPr>
                <w:b/>
                <w:sz w:val="22"/>
                <w:szCs w:val="22"/>
              </w:rPr>
            </w:pPr>
          </w:p>
        </w:tc>
        <w:tc>
          <w:tcPr>
            <w:tcW w:w="1559" w:type="dxa"/>
          </w:tcPr>
          <w:p w14:paraId="6B9239FB" w14:textId="77777777" w:rsidR="006F2FFB" w:rsidRDefault="006F2FFB" w:rsidP="006F2FFB">
            <w:pPr>
              <w:spacing w:after="0"/>
              <w:jc w:val="right"/>
              <w:rPr>
                <w:rFonts w:cs="Calibri"/>
                <w:b/>
                <w:bCs/>
                <w:color w:val="000000"/>
                <w:sz w:val="22"/>
                <w:szCs w:val="22"/>
                <w:lang w:eastAsia="en-IE"/>
              </w:rPr>
            </w:pPr>
            <w:r>
              <w:rPr>
                <w:rFonts w:cs="Calibri"/>
                <w:b/>
                <w:bCs/>
                <w:color w:val="000000"/>
                <w:sz w:val="22"/>
                <w:szCs w:val="22"/>
              </w:rPr>
              <w:t>3241</w:t>
            </w:r>
          </w:p>
          <w:p w14:paraId="6FA66A19" w14:textId="59F5B371" w:rsidR="004D7A7B" w:rsidRPr="004D7A7B" w:rsidRDefault="004D7A7B" w:rsidP="004D7A7B">
            <w:pPr>
              <w:spacing w:after="0"/>
              <w:jc w:val="right"/>
              <w:rPr>
                <w:b/>
                <w:sz w:val="22"/>
                <w:szCs w:val="22"/>
              </w:rPr>
            </w:pPr>
          </w:p>
        </w:tc>
        <w:tc>
          <w:tcPr>
            <w:tcW w:w="1417" w:type="dxa"/>
          </w:tcPr>
          <w:p w14:paraId="29103E3F" w14:textId="77777777" w:rsidR="006F2FFB" w:rsidRDefault="006F2FFB" w:rsidP="006F2FFB">
            <w:pPr>
              <w:spacing w:after="0"/>
              <w:jc w:val="right"/>
              <w:rPr>
                <w:rFonts w:cs="Calibri"/>
                <w:b/>
                <w:bCs/>
                <w:color w:val="000000"/>
                <w:sz w:val="22"/>
                <w:szCs w:val="22"/>
                <w:lang w:eastAsia="en-IE"/>
              </w:rPr>
            </w:pPr>
            <w:r>
              <w:rPr>
                <w:rFonts w:cs="Calibri"/>
                <w:b/>
                <w:bCs/>
                <w:color w:val="000000"/>
                <w:sz w:val="22"/>
                <w:szCs w:val="22"/>
              </w:rPr>
              <w:t>2.7%</w:t>
            </w:r>
          </w:p>
          <w:p w14:paraId="5E412C61" w14:textId="4002C452" w:rsidR="004D7A7B" w:rsidRPr="004D7A7B" w:rsidRDefault="004D7A7B" w:rsidP="004D7A7B">
            <w:pPr>
              <w:spacing w:after="0"/>
              <w:jc w:val="right"/>
              <w:rPr>
                <w:b/>
                <w:sz w:val="22"/>
                <w:szCs w:val="22"/>
              </w:rPr>
            </w:pPr>
          </w:p>
        </w:tc>
      </w:tr>
    </w:tbl>
    <w:p w14:paraId="0F5B2E45" w14:textId="0EF6DD6D" w:rsidR="00692A75" w:rsidRPr="00611BF3" w:rsidRDefault="00692A75">
      <w:pPr>
        <w:spacing w:after="0"/>
        <w:rPr>
          <w:rFonts w:cs="Arial"/>
          <w:b/>
          <w:sz w:val="22"/>
          <w:szCs w:val="22"/>
          <w:highlight w:val="green"/>
          <w:lang w:eastAsia="en-IE"/>
        </w:rPr>
      </w:pPr>
    </w:p>
    <w:p w14:paraId="7F7C73BC" w14:textId="77777777" w:rsidR="001624B2" w:rsidRPr="006F2FFB" w:rsidRDefault="001624B2" w:rsidP="00DA2B08">
      <w:pPr>
        <w:rPr>
          <w:lang w:eastAsia="en-IE"/>
        </w:rPr>
      </w:pPr>
    </w:p>
    <w:p w14:paraId="364D35AF" w14:textId="77777777" w:rsidR="00500B99" w:rsidRDefault="00500B99" w:rsidP="00DA2B08">
      <w:pPr>
        <w:rPr>
          <w:lang w:eastAsia="en-IE"/>
        </w:rPr>
      </w:pPr>
    </w:p>
    <w:p w14:paraId="726A5D7B" w14:textId="75E8C286" w:rsidR="00500B99" w:rsidRDefault="00500B99" w:rsidP="00DA2B08">
      <w:pPr>
        <w:rPr>
          <w:lang w:eastAsia="en-IE"/>
        </w:rPr>
      </w:pPr>
    </w:p>
    <w:p w14:paraId="7D7B87E9" w14:textId="77777777" w:rsidR="00FB47DE" w:rsidRDefault="00FB47DE" w:rsidP="00DA2B08">
      <w:pPr>
        <w:rPr>
          <w:lang w:eastAsia="en-IE"/>
        </w:rPr>
      </w:pPr>
    </w:p>
    <w:p w14:paraId="7FF59402" w14:textId="64238D58" w:rsidR="00001536" w:rsidRPr="006F2FFB" w:rsidRDefault="00624403" w:rsidP="00001536">
      <w:pPr>
        <w:pStyle w:val="Heading2"/>
        <w:rPr>
          <w:color w:val="000000" w:themeColor="text1"/>
          <w:lang w:eastAsia="en-IE"/>
        </w:rPr>
      </w:pPr>
      <w:bookmarkStart w:id="76" w:name="_Toc146113881"/>
      <w:r w:rsidRPr="006F2FFB">
        <w:rPr>
          <w:color w:val="000000" w:themeColor="text1"/>
          <w:lang w:eastAsia="en-IE"/>
        </w:rPr>
        <w:lastRenderedPageBreak/>
        <w:t>Department of Housing, Local Gove</w:t>
      </w:r>
      <w:r w:rsidR="00927185" w:rsidRPr="006F2FFB">
        <w:rPr>
          <w:color w:val="000000" w:themeColor="text1"/>
          <w:lang w:eastAsia="en-IE"/>
        </w:rPr>
        <w:t>rnment &amp; Heritage</w:t>
      </w:r>
      <w:bookmarkEnd w:id="76"/>
      <w:r w:rsidR="00927185" w:rsidRPr="006F2FFB">
        <w:rPr>
          <w:color w:val="000000" w:themeColor="text1"/>
          <w:lang w:eastAsia="en-IE"/>
        </w:rPr>
        <w:t xml:space="preserve"> </w:t>
      </w:r>
    </w:p>
    <w:p w14:paraId="2892E4E8" w14:textId="77777777" w:rsidR="00031890" w:rsidRPr="006F2FFB" w:rsidRDefault="00031890" w:rsidP="00031890">
      <w:pPr>
        <w:rPr>
          <w:sz w:val="6"/>
          <w:szCs w:val="6"/>
          <w:lang w:eastAsia="en-IE"/>
        </w:rPr>
      </w:pPr>
    </w:p>
    <w:tbl>
      <w:tblPr>
        <w:tblStyle w:val="TableGrid"/>
        <w:tblW w:w="11208" w:type="dxa"/>
        <w:jc w:val="center"/>
        <w:tblLayout w:type="fixed"/>
        <w:tblLook w:val="04A0" w:firstRow="1" w:lastRow="0" w:firstColumn="1" w:lastColumn="0" w:noHBand="0" w:noVBand="1"/>
        <w:tblCaption w:val="Department of Housing, Local Government &amp; Heritage"/>
        <w:tblDescription w:val="Department of Housing, Local Government &amp; Heritage (comparison to the former Department of Housing, Planning &amp; Local Government in 2019)"/>
      </w:tblPr>
      <w:tblGrid>
        <w:gridCol w:w="2278"/>
        <w:gridCol w:w="1559"/>
        <w:gridCol w:w="1560"/>
        <w:gridCol w:w="1417"/>
        <w:gridCol w:w="1418"/>
        <w:gridCol w:w="1559"/>
        <w:gridCol w:w="1417"/>
      </w:tblGrid>
      <w:tr w:rsidR="00107D01" w:rsidRPr="006F2FFB" w14:paraId="7A0873C6" w14:textId="77777777" w:rsidTr="00C52262">
        <w:trPr>
          <w:tblHeader/>
          <w:jc w:val="center"/>
        </w:trPr>
        <w:tc>
          <w:tcPr>
            <w:tcW w:w="2278" w:type="dxa"/>
          </w:tcPr>
          <w:p w14:paraId="27950BF4" w14:textId="77777777" w:rsidR="00107D01" w:rsidRPr="006F2FFB" w:rsidRDefault="00107D01" w:rsidP="00812E67">
            <w:pPr>
              <w:pStyle w:val="TableHead"/>
              <w:rPr>
                <w:sz w:val="22"/>
                <w:szCs w:val="22"/>
              </w:rPr>
            </w:pPr>
            <w:r w:rsidRPr="006F2FFB">
              <w:rPr>
                <w:sz w:val="22"/>
                <w:szCs w:val="22"/>
              </w:rPr>
              <w:t>Public Body</w:t>
            </w:r>
          </w:p>
        </w:tc>
        <w:tc>
          <w:tcPr>
            <w:tcW w:w="1559" w:type="dxa"/>
          </w:tcPr>
          <w:p w14:paraId="1ADC5270" w14:textId="77777777" w:rsidR="00F516FE" w:rsidRPr="006F2FFB" w:rsidRDefault="00107D01" w:rsidP="00812E67">
            <w:pPr>
              <w:pStyle w:val="TableHead"/>
              <w:rPr>
                <w:sz w:val="22"/>
                <w:szCs w:val="22"/>
              </w:rPr>
            </w:pPr>
            <w:r w:rsidRPr="006F2FFB">
              <w:rPr>
                <w:sz w:val="22"/>
                <w:szCs w:val="22"/>
              </w:rPr>
              <w:t xml:space="preserve">Total number </w:t>
            </w:r>
          </w:p>
          <w:p w14:paraId="1BF86343" w14:textId="0EB1BF99" w:rsidR="00107D01" w:rsidRPr="006F2FFB" w:rsidRDefault="00107D01" w:rsidP="00812E67">
            <w:pPr>
              <w:pStyle w:val="TableHead"/>
              <w:rPr>
                <w:sz w:val="22"/>
                <w:szCs w:val="22"/>
              </w:rPr>
            </w:pPr>
            <w:r w:rsidRPr="006F2FFB">
              <w:rPr>
                <w:sz w:val="22"/>
                <w:szCs w:val="22"/>
              </w:rPr>
              <w:t>of</w:t>
            </w:r>
            <w:r w:rsidR="00F1261F" w:rsidRPr="006F2FFB">
              <w:rPr>
                <w:sz w:val="22"/>
                <w:szCs w:val="22"/>
              </w:rPr>
              <w:t xml:space="preserve"> employees  202</w:t>
            </w:r>
            <w:r w:rsidR="006F2FFB">
              <w:rPr>
                <w:sz w:val="22"/>
                <w:szCs w:val="22"/>
              </w:rPr>
              <w:t>1</w:t>
            </w:r>
          </w:p>
        </w:tc>
        <w:tc>
          <w:tcPr>
            <w:tcW w:w="1560" w:type="dxa"/>
          </w:tcPr>
          <w:p w14:paraId="2304D017" w14:textId="721F865B" w:rsidR="00107D01" w:rsidRPr="006F2FFB" w:rsidRDefault="00107D01" w:rsidP="00812E67">
            <w:pPr>
              <w:pStyle w:val="TableHead"/>
              <w:rPr>
                <w:sz w:val="22"/>
                <w:szCs w:val="22"/>
              </w:rPr>
            </w:pPr>
            <w:r w:rsidRPr="006F2FFB">
              <w:rPr>
                <w:sz w:val="22"/>
                <w:szCs w:val="22"/>
              </w:rPr>
              <w:t xml:space="preserve">Number of employees reporting </w:t>
            </w:r>
            <w:r w:rsidR="004B379F" w:rsidRPr="006F2FFB">
              <w:rPr>
                <w:sz w:val="22"/>
                <w:szCs w:val="22"/>
              </w:rPr>
              <w:t>a disability</w:t>
            </w:r>
            <w:r w:rsidRPr="006F2FFB">
              <w:rPr>
                <w:sz w:val="22"/>
                <w:szCs w:val="22"/>
              </w:rPr>
              <w:t xml:space="preserve"> </w:t>
            </w:r>
          </w:p>
          <w:p w14:paraId="0AAFD887" w14:textId="091EBB18" w:rsidR="00107D01" w:rsidRPr="006F2FFB" w:rsidRDefault="00F1261F" w:rsidP="00812E67">
            <w:pPr>
              <w:pStyle w:val="TableHead"/>
              <w:rPr>
                <w:sz w:val="22"/>
                <w:szCs w:val="22"/>
              </w:rPr>
            </w:pPr>
            <w:r w:rsidRPr="006F2FFB">
              <w:rPr>
                <w:sz w:val="22"/>
                <w:szCs w:val="22"/>
              </w:rPr>
              <w:t>202</w:t>
            </w:r>
            <w:r w:rsidR="006F2FFB">
              <w:rPr>
                <w:sz w:val="22"/>
                <w:szCs w:val="22"/>
              </w:rPr>
              <w:t>1</w:t>
            </w:r>
          </w:p>
        </w:tc>
        <w:tc>
          <w:tcPr>
            <w:tcW w:w="1417" w:type="dxa"/>
          </w:tcPr>
          <w:p w14:paraId="1712622D" w14:textId="47FD9542" w:rsidR="00107D01" w:rsidRPr="006F2FFB" w:rsidRDefault="00107D01" w:rsidP="00812E67">
            <w:pPr>
              <w:pStyle w:val="TableHead"/>
              <w:rPr>
                <w:sz w:val="22"/>
                <w:szCs w:val="22"/>
              </w:rPr>
            </w:pPr>
            <w:r w:rsidRPr="006F2FFB">
              <w:rPr>
                <w:sz w:val="22"/>
                <w:szCs w:val="22"/>
              </w:rPr>
              <w:t>% of employees reporting</w:t>
            </w:r>
            <w:r w:rsidR="004B379F" w:rsidRPr="006F2FFB">
              <w:rPr>
                <w:sz w:val="22"/>
                <w:szCs w:val="22"/>
              </w:rPr>
              <w:t xml:space="preserve"> a</w:t>
            </w:r>
          </w:p>
          <w:p w14:paraId="374D157D" w14:textId="39E7D9CB" w:rsidR="00107D01" w:rsidRPr="006F2FFB" w:rsidRDefault="004B379F" w:rsidP="00812E67">
            <w:pPr>
              <w:pStyle w:val="TableHead"/>
              <w:rPr>
                <w:sz w:val="22"/>
                <w:szCs w:val="22"/>
              </w:rPr>
            </w:pPr>
            <w:r w:rsidRPr="006F2FFB">
              <w:rPr>
                <w:sz w:val="22"/>
                <w:szCs w:val="22"/>
              </w:rPr>
              <w:t>disability</w:t>
            </w:r>
            <w:r w:rsidR="00F1261F" w:rsidRPr="006F2FFB">
              <w:rPr>
                <w:sz w:val="22"/>
                <w:szCs w:val="22"/>
              </w:rPr>
              <w:t xml:space="preserve"> 202</w:t>
            </w:r>
            <w:r w:rsidR="006F2FFB">
              <w:rPr>
                <w:sz w:val="22"/>
                <w:szCs w:val="22"/>
              </w:rPr>
              <w:t>1</w:t>
            </w:r>
          </w:p>
        </w:tc>
        <w:tc>
          <w:tcPr>
            <w:tcW w:w="1418" w:type="dxa"/>
          </w:tcPr>
          <w:p w14:paraId="5AFC1F58" w14:textId="77777777" w:rsidR="00F516FE" w:rsidRPr="006F2FFB" w:rsidRDefault="00F1261F" w:rsidP="00812E67">
            <w:pPr>
              <w:pStyle w:val="TableHead"/>
              <w:rPr>
                <w:sz w:val="22"/>
                <w:szCs w:val="22"/>
              </w:rPr>
            </w:pPr>
            <w:r w:rsidRPr="006F2FFB">
              <w:rPr>
                <w:sz w:val="22"/>
                <w:szCs w:val="22"/>
              </w:rPr>
              <w:t xml:space="preserve">Total number </w:t>
            </w:r>
          </w:p>
          <w:p w14:paraId="233E3EA5" w14:textId="6E328B5A" w:rsidR="00107D01" w:rsidRPr="006F2FFB" w:rsidRDefault="00F1261F" w:rsidP="00812E67">
            <w:pPr>
              <w:pStyle w:val="TableHead"/>
              <w:rPr>
                <w:sz w:val="22"/>
                <w:szCs w:val="22"/>
              </w:rPr>
            </w:pPr>
            <w:r w:rsidRPr="006F2FFB">
              <w:rPr>
                <w:sz w:val="22"/>
                <w:szCs w:val="22"/>
              </w:rPr>
              <w:t>of employees  202</w:t>
            </w:r>
            <w:r w:rsidR="006F2FFB">
              <w:rPr>
                <w:sz w:val="22"/>
                <w:szCs w:val="22"/>
              </w:rPr>
              <w:t>2</w:t>
            </w:r>
          </w:p>
        </w:tc>
        <w:tc>
          <w:tcPr>
            <w:tcW w:w="1559" w:type="dxa"/>
          </w:tcPr>
          <w:p w14:paraId="25F5F870" w14:textId="0CD8B15A" w:rsidR="00107D01" w:rsidRPr="006F2FFB" w:rsidRDefault="004B379F" w:rsidP="00812E67">
            <w:pPr>
              <w:pStyle w:val="TableHead"/>
              <w:rPr>
                <w:sz w:val="22"/>
                <w:szCs w:val="22"/>
              </w:rPr>
            </w:pPr>
            <w:r w:rsidRPr="006F2FFB">
              <w:rPr>
                <w:sz w:val="22"/>
                <w:szCs w:val="22"/>
              </w:rPr>
              <w:t xml:space="preserve">Number </w:t>
            </w:r>
            <w:r w:rsidR="00107D01" w:rsidRPr="006F2FFB">
              <w:rPr>
                <w:sz w:val="22"/>
                <w:szCs w:val="22"/>
              </w:rPr>
              <w:t xml:space="preserve">of employees reporting </w:t>
            </w:r>
            <w:r w:rsidRPr="006F2FFB">
              <w:rPr>
                <w:sz w:val="22"/>
                <w:szCs w:val="22"/>
              </w:rPr>
              <w:t>a disability</w:t>
            </w:r>
            <w:r w:rsidR="00107D01" w:rsidRPr="006F2FFB">
              <w:rPr>
                <w:sz w:val="22"/>
                <w:szCs w:val="22"/>
              </w:rPr>
              <w:t xml:space="preserve"> </w:t>
            </w:r>
          </w:p>
          <w:p w14:paraId="6848B8E0" w14:textId="6D33FBEC" w:rsidR="00107D01" w:rsidRPr="006F2FFB" w:rsidRDefault="00F1261F" w:rsidP="00812E67">
            <w:pPr>
              <w:pStyle w:val="TableHead"/>
              <w:rPr>
                <w:sz w:val="22"/>
                <w:szCs w:val="22"/>
              </w:rPr>
            </w:pPr>
            <w:r w:rsidRPr="006F2FFB">
              <w:rPr>
                <w:sz w:val="22"/>
                <w:szCs w:val="22"/>
              </w:rPr>
              <w:t>202</w:t>
            </w:r>
            <w:r w:rsidR="006F2FFB">
              <w:rPr>
                <w:sz w:val="22"/>
                <w:szCs w:val="22"/>
              </w:rPr>
              <w:t>2</w:t>
            </w:r>
          </w:p>
        </w:tc>
        <w:tc>
          <w:tcPr>
            <w:tcW w:w="1417" w:type="dxa"/>
          </w:tcPr>
          <w:p w14:paraId="48E9618F" w14:textId="0A23B395" w:rsidR="00107D01" w:rsidRPr="006F2FFB" w:rsidRDefault="00107D01" w:rsidP="00812E67">
            <w:pPr>
              <w:pStyle w:val="TableHead"/>
              <w:rPr>
                <w:sz w:val="22"/>
                <w:szCs w:val="22"/>
              </w:rPr>
            </w:pPr>
            <w:r w:rsidRPr="006F2FFB">
              <w:rPr>
                <w:sz w:val="22"/>
                <w:szCs w:val="22"/>
              </w:rPr>
              <w:t>% of employees reporting</w:t>
            </w:r>
            <w:r w:rsidR="004B379F" w:rsidRPr="006F2FFB">
              <w:rPr>
                <w:sz w:val="22"/>
                <w:szCs w:val="22"/>
              </w:rPr>
              <w:t xml:space="preserve"> a</w:t>
            </w:r>
          </w:p>
          <w:p w14:paraId="3C509247" w14:textId="07F57B76" w:rsidR="00107D01" w:rsidRPr="006F2FFB" w:rsidRDefault="004B379F" w:rsidP="00812E67">
            <w:pPr>
              <w:pStyle w:val="TableHead"/>
              <w:rPr>
                <w:sz w:val="22"/>
                <w:szCs w:val="22"/>
              </w:rPr>
            </w:pPr>
            <w:r w:rsidRPr="006F2FFB">
              <w:rPr>
                <w:sz w:val="22"/>
                <w:szCs w:val="22"/>
              </w:rPr>
              <w:t>disability</w:t>
            </w:r>
            <w:r w:rsidR="00F1261F" w:rsidRPr="006F2FFB">
              <w:rPr>
                <w:sz w:val="22"/>
                <w:szCs w:val="22"/>
              </w:rPr>
              <w:t xml:space="preserve"> 202</w:t>
            </w:r>
            <w:r w:rsidR="006F2FFB">
              <w:rPr>
                <w:sz w:val="22"/>
                <w:szCs w:val="22"/>
              </w:rPr>
              <w:t>2</w:t>
            </w:r>
          </w:p>
        </w:tc>
      </w:tr>
      <w:tr w:rsidR="006F2FFB" w:rsidRPr="006F2FFB" w14:paraId="205E78D3" w14:textId="77777777" w:rsidTr="00C52262">
        <w:trPr>
          <w:jc w:val="center"/>
        </w:trPr>
        <w:tc>
          <w:tcPr>
            <w:tcW w:w="2278" w:type="dxa"/>
          </w:tcPr>
          <w:p w14:paraId="6CC20903" w14:textId="419FFD09" w:rsidR="006F2FFB" w:rsidRPr="006F2FFB" w:rsidRDefault="006F2FFB" w:rsidP="006F2FFB">
            <w:pPr>
              <w:rPr>
                <w:sz w:val="22"/>
                <w:szCs w:val="22"/>
              </w:rPr>
            </w:pPr>
            <w:r w:rsidRPr="006F2FFB">
              <w:rPr>
                <w:rFonts w:cs="Calibri"/>
                <w:color w:val="000000"/>
                <w:sz w:val="22"/>
                <w:szCs w:val="22"/>
              </w:rPr>
              <w:t>An Bord Pleanála</w:t>
            </w:r>
          </w:p>
        </w:tc>
        <w:tc>
          <w:tcPr>
            <w:tcW w:w="1559" w:type="dxa"/>
          </w:tcPr>
          <w:p w14:paraId="6AE0AC27" w14:textId="5E5F7346" w:rsidR="006F2FFB" w:rsidRPr="006F2FFB" w:rsidRDefault="006F2FFB" w:rsidP="006F2FFB">
            <w:pPr>
              <w:jc w:val="right"/>
              <w:rPr>
                <w:sz w:val="22"/>
                <w:szCs w:val="22"/>
              </w:rPr>
            </w:pPr>
            <w:r w:rsidRPr="006F2FFB">
              <w:rPr>
                <w:rFonts w:cs="Calibri"/>
                <w:color w:val="000000"/>
                <w:sz w:val="22"/>
                <w:szCs w:val="22"/>
              </w:rPr>
              <w:t>203</w:t>
            </w:r>
          </w:p>
        </w:tc>
        <w:tc>
          <w:tcPr>
            <w:tcW w:w="1560" w:type="dxa"/>
          </w:tcPr>
          <w:p w14:paraId="48393BF2" w14:textId="494DF7FA" w:rsidR="006F2FFB" w:rsidRPr="006F2FFB" w:rsidRDefault="006F2FFB" w:rsidP="006F2FFB">
            <w:pPr>
              <w:jc w:val="right"/>
              <w:rPr>
                <w:sz w:val="22"/>
                <w:szCs w:val="22"/>
              </w:rPr>
            </w:pPr>
            <w:r w:rsidRPr="006F2FFB">
              <w:rPr>
                <w:rFonts w:cs="Calibri"/>
                <w:color w:val="000000"/>
                <w:sz w:val="22"/>
                <w:szCs w:val="22"/>
              </w:rPr>
              <w:t>22</w:t>
            </w:r>
          </w:p>
        </w:tc>
        <w:tc>
          <w:tcPr>
            <w:tcW w:w="1417" w:type="dxa"/>
          </w:tcPr>
          <w:p w14:paraId="56BD7C6B" w14:textId="5B57DEA2" w:rsidR="006F2FFB" w:rsidRPr="006F2FFB" w:rsidRDefault="006F2FFB" w:rsidP="006F2FFB">
            <w:pPr>
              <w:jc w:val="right"/>
              <w:rPr>
                <w:sz w:val="22"/>
                <w:szCs w:val="22"/>
              </w:rPr>
            </w:pPr>
            <w:r w:rsidRPr="006F2FFB">
              <w:rPr>
                <w:rFonts w:cs="Calibri"/>
                <w:color w:val="000000"/>
                <w:sz w:val="22"/>
                <w:szCs w:val="22"/>
              </w:rPr>
              <w:t>10.8%</w:t>
            </w:r>
          </w:p>
        </w:tc>
        <w:tc>
          <w:tcPr>
            <w:tcW w:w="1418" w:type="dxa"/>
          </w:tcPr>
          <w:p w14:paraId="3E5AF5FB" w14:textId="173A2837" w:rsidR="006F2FFB" w:rsidRPr="006F2FFB" w:rsidRDefault="006F2FFB" w:rsidP="006F2FFB">
            <w:pPr>
              <w:jc w:val="right"/>
              <w:rPr>
                <w:sz w:val="22"/>
                <w:szCs w:val="22"/>
              </w:rPr>
            </w:pPr>
            <w:r>
              <w:rPr>
                <w:rFonts w:cs="Calibri"/>
                <w:color w:val="000000"/>
                <w:sz w:val="22"/>
                <w:szCs w:val="22"/>
              </w:rPr>
              <w:t>203</w:t>
            </w:r>
          </w:p>
        </w:tc>
        <w:tc>
          <w:tcPr>
            <w:tcW w:w="1559" w:type="dxa"/>
          </w:tcPr>
          <w:p w14:paraId="429B613F" w14:textId="78C50155" w:rsidR="006F2FFB" w:rsidRPr="006F2FFB" w:rsidRDefault="006F2FFB" w:rsidP="006F2FFB">
            <w:pPr>
              <w:jc w:val="right"/>
              <w:rPr>
                <w:sz w:val="22"/>
                <w:szCs w:val="22"/>
              </w:rPr>
            </w:pPr>
            <w:r>
              <w:rPr>
                <w:rFonts w:cs="Calibri"/>
                <w:color w:val="000000"/>
                <w:sz w:val="22"/>
                <w:szCs w:val="22"/>
              </w:rPr>
              <w:t>19</w:t>
            </w:r>
          </w:p>
        </w:tc>
        <w:tc>
          <w:tcPr>
            <w:tcW w:w="1417" w:type="dxa"/>
          </w:tcPr>
          <w:p w14:paraId="5DEE772A" w14:textId="3CAAD0BA" w:rsidR="006F2FFB" w:rsidRPr="006F2FFB" w:rsidRDefault="006F2FFB" w:rsidP="006F2FFB">
            <w:pPr>
              <w:jc w:val="right"/>
              <w:rPr>
                <w:sz w:val="22"/>
                <w:szCs w:val="22"/>
              </w:rPr>
            </w:pPr>
            <w:r>
              <w:rPr>
                <w:rFonts w:cs="Calibri"/>
                <w:color w:val="000000"/>
                <w:sz w:val="22"/>
                <w:szCs w:val="22"/>
              </w:rPr>
              <w:t>9.4%</w:t>
            </w:r>
          </w:p>
        </w:tc>
      </w:tr>
      <w:tr w:rsidR="006F2FFB" w:rsidRPr="006F2FFB" w14:paraId="5D7AAD41" w14:textId="77777777" w:rsidTr="00C52262">
        <w:trPr>
          <w:jc w:val="center"/>
        </w:trPr>
        <w:tc>
          <w:tcPr>
            <w:tcW w:w="2278" w:type="dxa"/>
          </w:tcPr>
          <w:p w14:paraId="566A9DFE" w14:textId="18183F1D" w:rsidR="006F2FFB" w:rsidRPr="006F2FFB" w:rsidRDefault="006F2FFB" w:rsidP="006F2FFB">
            <w:pPr>
              <w:rPr>
                <w:sz w:val="22"/>
                <w:szCs w:val="22"/>
              </w:rPr>
            </w:pPr>
            <w:r w:rsidRPr="006F2FFB">
              <w:rPr>
                <w:rFonts w:cs="Calibri"/>
                <w:color w:val="000000"/>
                <w:sz w:val="22"/>
                <w:szCs w:val="22"/>
              </w:rPr>
              <w:t>Approved Housing Bodies Regulatory Authority (AHBRA)</w:t>
            </w:r>
            <w:r w:rsidRPr="006F2FFB">
              <w:rPr>
                <w:b/>
                <w:sz w:val="22"/>
                <w:szCs w:val="22"/>
              </w:rPr>
              <w:t xml:space="preserve"> </w:t>
            </w:r>
          </w:p>
        </w:tc>
        <w:tc>
          <w:tcPr>
            <w:tcW w:w="1559" w:type="dxa"/>
          </w:tcPr>
          <w:p w14:paraId="533C0458" w14:textId="3604A66B" w:rsidR="006F2FFB" w:rsidRPr="006F2FFB" w:rsidRDefault="006F2FFB" w:rsidP="006F2FFB">
            <w:pPr>
              <w:jc w:val="right"/>
              <w:rPr>
                <w:sz w:val="22"/>
                <w:szCs w:val="22"/>
              </w:rPr>
            </w:pPr>
            <w:r w:rsidRPr="006F2FFB">
              <w:rPr>
                <w:rFonts w:cs="Calibri"/>
                <w:color w:val="000000"/>
                <w:sz w:val="22"/>
                <w:szCs w:val="22"/>
              </w:rPr>
              <w:t>18</w:t>
            </w:r>
          </w:p>
        </w:tc>
        <w:tc>
          <w:tcPr>
            <w:tcW w:w="1560" w:type="dxa"/>
          </w:tcPr>
          <w:p w14:paraId="407F9376" w14:textId="6F1ED688" w:rsidR="006F2FFB" w:rsidRPr="006F2FFB" w:rsidRDefault="006F2FFB" w:rsidP="006F2FFB">
            <w:pPr>
              <w:jc w:val="right"/>
              <w:rPr>
                <w:sz w:val="22"/>
                <w:szCs w:val="22"/>
              </w:rPr>
            </w:pPr>
            <w:r w:rsidRPr="006F2FFB">
              <w:rPr>
                <w:rFonts w:cs="Calibri"/>
                <w:color w:val="000000"/>
                <w:sz w:val="22"/>
                <w:szCs w:val="22"/>
              </w:rPr>
              <w:t>3</w:t>
            </w:r>
          </w:p>
        </w:tc>
        <w:tc>
          <w:tcPr>
            <w:tcW w:w="1417" w:type="dxa"/>
          </w:tcPr>
          <w:p w14:paraId="7948FA7E" w14:textId="1377A81E" w:rsidR="006F2FFB" w:rsidRPr="006F2FFB" w:rsidRDefault="006F2FFB" w:rsidP="006F2FFB">
            <w:pPr>
              <w:jc w:val="right"/>
              <w:rPr>
                <w:sz w:val="22"/>
                <w:szCs w:val="22"/>
              </w:rPr>
            </w:pPr>
            <w:r w:rsidRPr="006F2FFB">
              <w:rPr>
                <w:rFonts w:cs="Calibri"/>
                <w:color w:val="000000"/>
                <w:sz w:val="22"/>
                <w:szCs w:val="22"/>
              </w:rPr>
              <w:t>16.7%</w:t>
            </w:r>
          </w:p>
        </w:tc>
        <w:tc>
          <w:tcPr>
            <w:tcW w:w="1418" w:type="dxa"/>
          </w:tcPr>
          <w:p w14:paraId="7FBEB1CD" w14:textId="2D2578DC" w:rsidR="006F2FFB" w:rsidRPr="006F2FFB" w:rsidRDefault="006F2FFB" w:rsidP="006F2FFB">
            <w:pPr>
              <w:jc w:val="right"/>
              <w:rPr>
                <w:sz w:val="22"/>
                <w:szCs w:val="22"/>
              </w:rPr>
            </w:pPr>
            <w:r>
              <w:rPr>
                <w:rFonts w:cs="Calibri"/>
                <w:color w:val="000000"/>
                <w:sz w:val="22"/>
                <w:szCs w:val="22"/>
              </w:rPr>
              <w:t>16</w:t>
            </w:r>
          </w:p>
        </w:tc>
        <w:tc>
          <w:tcPr>
            <w:tcW w:w="1559" w:type="dxa"/>
          </w:tcPr>
          <w:p w14:paraId="51B7F364" w14:textId="38D11D01" w:rsidR="006F2FFB" w:rsidRPr="006F2FFB" w:rsidRDefault="006F2FFB" w:rsidP="006F2FFB">
            <w:pPr>
              <w:jc w:val="right"/>
              <w:rPr>
                <w:sz w:val="22"/>
                <w:szCs w:val="22"/>
              </w:rPr>
            </w:pPr>
            <w:r>
              <w:rPr>
                <w:rFonts w:cs="Calibri"/>
                <w:color w:val="000000"/>
                <w:sz w:val="22"/>
                <w:szCs w:val="22"/>
              </w:rPr>
              <w:t>4</w:t>
            </w:r>
          </w:p>
        </w:tc>
        <w:tc>
          <w:tcPr>
            <w:tcW w:w="1417" w:type="dxa"/>
          </w:tcPr>
          <w:p w14:paraId="19012F27" w14:textId="00164D4F" w:rsidR="006F2FFB" w:rsidRPr="006F2FFB" w:rsidRDefault="006F2FFB" w:rsidP="006F2FFB">
            <w:pPr>
              <w:jc w:val="right"/>
              <w:rPr>
                <w:sz w:val="22"/>
                <w:szCs w:val="22"/>
              </w:rPr>
            </w:pPr>
            <w:r>
              <w:rPr>
                <w:rFonts w:cs="Calibri"/>
                <w:color w:val="000000"/>
                <w:sz w:val="22"/>
                <w:szCs w:val="22"/>
              </w:rPr>
              <w:t>25.0%</w:t>
            </w:r>
          </w:p>
        </w:tc>
      </w:tr>
      <w:tr w:rsidR="006F2FFB" w:rsidRPr="006F2FFB" w14:paraId="2DA2D1FE" w14:textId="77777777" w:rsidTr="00C52262">
        <w:trPr>
          <w:jc w:val="center"/>
        </w:trPr>
        <w:tc>
          <w:tcPr>
            <w:tcW w:w="2278" w:type="dxa"/>
          </w:tcPr>
          <w:p w14:paraId="4A935158" w14:textId="6FCDEB63" w:rsidR="006F2FFB" w:rsidRPr="006F2FFB" w:rsidRDefault="006F2FFB" w:rsidP="006F2FFB">
            <w:pPr>
              <w:rPr>
                <w:sz w:val="22"/>
                <w:szCs w:val="22"/>
              </w:rPr>
            </w:pPr>
            <w:r w:rsidRPr="006F2FFB">
              <w:rPr>
                <w:rFonts w:cs="Calibri"/>
                <w:color w:val="000000"/>
                <w:sz w:val="22"/>
                <w:szCs w:val="22"/>
              </w:rPr>
              <w:t>Carlow County Council</w:t>
            </w:r>
          </w:p>
        </w:tc>
        <w:tc>
          <w:tcPr>
            <w:tcW w:w="1559" w:type="dxa"/>
          </w:tcPr>
          <w:p w14:paraId="10A47683" w14:textId="775C540D" w:rsidR="006F2FFB" w:rsidRPr="006F2FFB" w:rsidRDefault="006F2FFB" w:rsidP="006F2FFB">
            <w:pPr>
              <w:jc w:val="right"/>
              <w:rPr>
                <w:sz w:val="22"/>
                <w:szCs w:val="22"/>
              </w:rPr>
            </w:pPr>
            <w:r w:rsidRPr="006F2FFB">
              <w:rPr>
                <w:rFonts w:cs="Calibri"/>
                <w:color w:val="000000"/>
                <w:sz w:val="22"/>
                <w:szCs w:val="22"/>
              </w:rPr>
              <w:t>376</w:t>
            </w:r>
          </w:p>
        </w:tc>
        <w:tc>
          <w:tcPr>
            <w:tcW w:w="1560" w:type="dxa"/>
          </w:tcPr>
          <w:p w14:paraId="10633564" w14:textId="32EA0C6B" w:rsidR="006F2FFB" w:rsidRPr="006F2FFB" w:rsidRDefault="006F2FFB" w:rsidP="006F2FFB">
            <w:pPr>
              <w:jc w:val="right"/>
              <w:rPr>
                <w:sz w:val="22"/>
                <w:szCs w:val="22"/>
              </w:rPr>
            </w:pPr>
            <w:r w:rsidRPr="006F2FFB">
              <w:rPr>
                <w:rFonts w:cs="Calibri"/>
                <w:color w:val="000000"/>
                <w:sz w:val="22"/>
                <w:szCs w:val="22"/>
              </w:rPr>
              <w:t>14</w:t>
            </w:r>
          </w:p>
        </w:tc>
        <w:tc>
          <w:tcPr>
            <w:tcW w:w="1417" w:type="dxa"/>
          </w:tcPr>
          <w:p w14:paraId="490400D7" w14:textId="74679997" w:rsidR="006F2FFB" w:rsidRPr="006F2FFB" w:rsidRDefault="006F2FFB" w:rsidP="006F2FFB">
            <w:pPr>
              <w:jc w:val="right"/>
              <w:rPr>
                <w:sz w:val="22"/>
                <w:szCs w:val="22"/>
              </w:rPr>
            </w:pPr>
            <w:r w:rsidRPr="006F2FFB">
              <w:rPr>
                <w:rFonts w:cs="Calibri"/>
                <w:color w:val="000000"/>
                <w:sz w:val="22"/>
                <w:szCs w:val="22"/>
              </w:rPr>
              <w:t>3.7%</w:t>
            </w:r>
          </w:p>
        </w:tc>
        <w:tc>
          <w:tcPr>
            <w:tcW w:w="1418" w:type="dxa"/>
          </w:tcPr>
          <w:p w14:paraId="39A104D5" w14:textId="119A6737" w:rsidR="006F2FFB" w:rsidRPr="006F2FFB" w:rsidRDefault="006F2FFB" w:rsidP="006F2FFB">
            <w:pPr>
              <w:jc w:val="right"/>
              <w:rPr>
                <w:sz w:val="22"/>
                <w:szCs w:val="22"/>
              </w:rPr>
            </w:pPr>
            <w:r>
              <w:rPr>
                <w:rFonts w:cs="Calibri"/>
                <w:color w:val="000000"/>
                <w:sz w:val="22"/>
                <w:szCs w:val="22"/>
              </w:rPr>
              <w:t>386</w:t>
            </w:r>
          </w:p>
        </w:tc>
        <w:tc>
          <w:tcPr>
            <w:tcW w:w="1559" w:type="dxa"/>
          </w:tcPr>
          <w:p w14:paraId="71433937" w14:textId="49528468" w:rsidR="006F2FFB" w:rsidRPr="006F2FFB" w:rsidRDefault="006F2FFB" w:rsidP="006F2FFB">
            <w:pPr>
              <w:jc w:val="right"/>
              <w:rPr>
                <w:sz w:val="22"/>
                <w:szCs w:val="22"/>
              </w:rPr>
            </w:pPr>
            <w:r>
              <w:rPr>
                <w:rFonts w:cs="Calibri"/>
                <w:color w:val="000000"/>
                <w:sz w:val="22"/>
                <w:szCs w:val="22"/>
              </w:rPr>
              <w:t>13</w:t>
            </w:r>
          </w:p>
        </w:tc>
        <w:tc>
          <w:tcPr>
            <w:tcW w:w="1417" w:type="dxa"/>
          </w:tcPr>
          <w:p w14:paraId="3AF6EB04" w14:textId="72A08C17" w:rsidR="006F2FFB" w:rsidRPr="006F2FFB" w:rsidRDefault="006F2FFB" w:rsidP="006F2FFB">
            <w:pPr>
              <w:jc w:val="right"/>
              <w:rPr>
                <w:sz w:val="22"/>
                <w:szCs w:val="22"/>
              </w:rPr>
            </w:pPr>
            <w:r>
              <w:rPr>
                <w:rFonts w:cs="Calibri"/>
                <w:color w:val="000000"/>
                <w:sz w:val="22"/>
                <w:szCs w:val="22"/>
              </w:rPr>
              <w:t>3.4%</w:t>
            </w:r>
          </w:p>
        </w:tc>
      </w:tr>
      <w:tr w:rsidR="006F2FFB" w:rsidRPr="006F2FFB" w14:paraId="2AD3EDD5" w14:textId="77777777" w:rsidTr="00C52262">
        <w:trPr>
          <w:jc w:val="center"/>
        </w:trPr>
        <w:tc>
          <w:tcPr>
            <w:tcW w:w="2278" w:type="dxa"/>
          </w:tcPr>
          <w:p w14:paraId="2C6B0D0C" w14:textId="49CC3026" w:rsidR="006F2FFB" w:rsidRPr="006F2FFB" w:rsidRDefault="006F2FFB" w:rsidP="006F2FFB">
            <w:pPr>
              <w:rPr>
                <w:sz w:val="22"/>
                <w:szCs w:val="22"/>
              </w:rPr>
            </w:pPr>
            <w:r w:rsidRPr="006F2FFB">
              <w:rPr>
                <w:rFonts w:cs="Calibri"/>
                <w:color w:val="000000"/>
                <w:sz w:val="22"/>
                <w:szCs w:val="22"/>
              </w:rPr>
              <w:t xml:space="preserve">Cavan County Council </w:t>
            </w:r>
          </w:p>
        </w:tc>
        <w:tc>
          <w:tcPr>
            <w:tcW w:w="1559" w:type="dxa"/>
          </w:tcPr>
          <w:p w14:paraId="21E05456" w14:textId="49AE49B6" w:rsidR="006F2FFB" w:rsidRPr="006F2FFB" w:rsidRDefault="006F2FFB" w:rsidP="006F2FFB">
            <w:pPr>
              <w:jc w:val="right"/>
              <w:rPr>
                <w:sz w:val="22"/>
                <w:szCs w:val="22"/>
              </w:rPr>
            </w:pPr>
            <w:r w:rsidRPr="006F2FFB">
              <w:rPr>
                <w:rFonts w:cs="Calibri"/>
                <w:color w:val="000000"/>
                <w:sz w:val="22"/>
                <w:szCs w:val="22"/>
              </w:rPr>
              <w:t>414</w:t>
            </w:r>
          </w:p>
        </w:tc>
        <w:tc>
          <w:tcPr>
            <w:tcW w:w="1560" w:type="dxa"/>
          </w:tcPr>
          <w:p w14:paraId="36102BF4" w14:textId="68914E64" w:rsidR="006F2FFB" w:rsidRPr="006F2FFB" w:rsidRDefault="006F2FFB" w:rsidP="006F2FFB">
            <w:pPr>
              <w:jc w:val="right"/>
              <w:rPr>
                <w:sz w:val="22"/>
                <w:szCs w:val="22"/>
              </w:rPr>
            </w:pPr>
            <w:r w:rsidRPr="006F2FFB">
              <w:rPr>
                <w:rFonts w:cs="Calibri"/>
                <w:color w:val="000000"/>
                <w:sz w:val="22"/>
                <w:szCs w:val="22"/>
              </w:rPr>
              <w:t>18</w:t>
            </w:r>
          </w:p>
        </w:tc>
        <w:tc>
          <w:tcPr>
            <w:tcW w:w="1417" w:type="dxa"/>
          </w:tcPr>
          <w:p w14:paraId="2572F8C6" w14:textId="2CADF09C" w:rsidR="006F2FFB" w:rsidRPr="006F2FFB" w:rsidRDefault="006F2FFB" w:rsidP="006F2FFB">
            <w:pPr>
              <w:jc w:val="right"/>
              <w:rPr>
                <w:sz w:val="22"/>
                <w:szCs w:val="22"/>
              </w:rPr>
            </w:pPr>
            <w:r w:rsidRPr="006F2FFB">
              <w:rPr>
                <w:rFonts w:cs="Calibri"/>
                <w:color w:val="000000"/>
                <w:sz w:val="22"/>
                <w:szCs w:val="22"/>
              </w:rPr>
              <w:t>4.3%</w:t>
            </w:r>
          </w:p>
        </w:tc>
        <w:tc>
          <w:tcPr>
            <w:tcW w:w="1418" w:type="dxa"/>
          </w:tcPr>
          <w:p w14:paraId="46BE8232" w14:textId="6B7673E8" w:rsidR="006F2FFB" w:rsidRPr="006F2FFB" w:rsidRDefault="006F2FFB" w:rsidP="006F2FFB">
            <w:pPr>
              <w:jc w:val="right"/>
              <w:rPr>
                <w:sz w:val="22"/>
                <w:szCs w:val="22"/>
              </w:rPr>
            </w:pPr>
            <w:r>
              <w:rPr>
                <w:rFonts w:cs="Calibri"/>
                <w:color w:val="000000"/>
                <w:sz w:val="22"/>
                <w:szCs w:val="22"/>
              </w:rPr>
              <w:t>446</w:t>
            </w:r>
          </w:p>
        </w:tc>
        <w:tc>
          <w:tcPr>
            <w:tcW w:w="1559" w:type="dxa"/>
          </w:tcPr>
          <w:p w14:paraId="15958FD5" w14:textId="7DAE69D6" w:rsidR="006F2FFB" w:rsidRPr="006F2FFB" w:rsidRDefault="006F2FFB" w:rsidP="006F2FFB">
            <w:pPr>
              <w:jc w:val="right"/>
              <w:rPr>
                <w:sz w:val="22"/>
                <w:szCs w:val="22"/>
              </w:rPr>
            </w:pPr>
            <w:r>
              <w:rPr>
                <w:rFonts w:cs="Calibri"/>
                <w:color w:val="000000"/>
                <w:sz w:val="22"/>
                <w:szCs w:val="22"/>
              </w:rPr>
              <w:t>28</w:t>
            </w:r>
          </w:p>
        </w:tc>
        <w:tc>
          <w:tcPr>
            <w:tcW w:w="1417" w:type="dxa"/>
          </w:tcPr>
          <w:p w14:paraId="25BBA5CA" w14:textId="142B37A2" w:rsidR="006F2FFB" w:rsidRPr="006F2FFB" w:rsidRDefault="006F2FFB" w:rsidP="006F2FFB">
            <w:pPr>
              <w:jc w:val="right"/>
              <w:rPr>
                <w:sz w:val="22"/>
                <w:szCs w:val="22"/>
              </w:rPr>
            </w:pPr>
            <w:r>
              <w:rPr>
                <w:rFonts w:cs="Calibri"/>
                <w:color w:val="000000"/>
                <w:sz w:val="22"/>
                <w:szCs w:val="22"/>
              </w:rPr>
              <w:t>6.3%</w:t>
            </w:r>
          </w:p>
        </w:tc>
      </w:tr>
      <w:tr w:rsidR="006F2FFB" w:rsidRPr="006F2FFB" w14:paraId="0DCFD366" w14:textId="77777777" w:rsidTr="00C52262">
        <w:trPr>
          <w:jc w:val="center"/>
        </w:trPr>
        <w:tc>
          <w:tcPr>
            <w:tcW w:w="2278" w:type="dxa"/>
          </w:tcPr>
          <w:p w14:paraId="425F5896" w14:textId="395FECF5" w:rsidR="006F2FFB" w:rsidRPr="006F2FFB" w:rsidRDefault="006F2FFB" w:rsidP="006F2FFB">
            <w:pPr>
              <w:rPr>
                <w:sz w:val="22"/>
                <w:szCs w:val="22"/>
              </w:rPr>
            </w:pPr>
            <w:r w:rsidRPr="006F2FFB">
              <w:rPr>
                <w:rFonts w:cs="Calibri"/>
                <w:color w:val="000000"/>
                <w:sz w:val="22"/>
                <w:szCs w:val="22"/>
              </w:rPr>
              <w:t>Clare County Council</w:t>
            </w:r>
          </w:p>
        </w:tc>
        <w:tc>
          <w:tcPr>
            <w:tcW w:w="1559" w:type="dxa"/>
          </w:tcPr>
          <w:p w14:paraId="5ED64031" w14:textId="621AC9A3" w:rsidR="006F2FFB" w:rsidRPr="006F2FFB" w:rsidRDefault="006F2FFB" w:rsidP="006F2FFB">
            <w:pPr>
              <w:jc w:val="right"/>
              <w:rPr>
                <w:sz w:val="22"/>
                <w:szCs w:val="22"/>
              </w:rPr>
            </w:pPr>
            <w:r w:rsidRPr="006F2FFB">
              <w:rPr>
                <w:rFonts w:cs="Calibri"/>
                <w:color w:val="000000"/>
                <w:sz w:val="22"/>
                <w:szCs w:val="22"/>
              </w:rPr>
              <w:t>974</w:t>
            </w:r>
          </w:p>
        </w:tc>
        <w:tc>
          <w:tcPr>
            <w:tcW w:w="1560" w:type="dxa"/>
          </w:tcPr>
          <w:p w14:paraId="5C697F80" w14:textId="4767C60A" w:rsidR="006F2FFB" w:rsidRPr="006F2FFB" w:rsidRDefault="006F2FFB" w:rsidP="006F2FFB">
            <w:pPr>
              <w:jc w:val="right"/>
              <w:rPr>
                <w:sz w:val="22"/>
                <w:szCs w:val="22"/>
              </w:rPr>
            </w:pPr>
            <w:r w:rsidRPr="006F2FFB">
              <w:rPr>
                <w:rFonts w:cs="Calibri"/>
                <w:color w:val="000000"/>
                <w:sz w:val="22"/>
                <w:szCs w:val="22"/>
              </w:rPr>
              <w:t>34</w:t>
            </w:r>
          </w:p>
        </w:tc>
        <w:tc>
          <w:tcPr>
            <w:tcW w:w="1417" w:type="dxa"/>
          </w:tcPr>
          <w:p w14:paraId="564D3A53" w14:textId="771CEB2C" w:rsidR="006F2FFB" w:rsidRPr="006F2FFB" w:rsidRDefault="006F2FFB" w:rsidP="006F2FFB">
            <w:pPr>
              <w:jc w:val="right"/>
              <w:rPr>
                <w:sz w:val="22"/>
                <w:szCs w:val="22"/>
              </w:rPr>
            </w:pPr>
            <w:r w:rsidRPr="006F2FFB">
              <w:rPr>
                <w:rFonts w:cs="Calibri"/>
                <w:color w:val="000000"/>
                <w:sz w:val="22"/>
                <w:szCs w:val="22"/>
              </w:rPr>
              <w:t>3.5%</w:t>
            </w:r>
          </w:p>
        </w:tc>
        <w:tc>
          <w:tcPr>
            <w:tcW w:w="1418" w:type="dxa"/>
          </w:tcPr>
          <w:p w14:paraId="6BC36069" w14:textId="3A497DB3" w:rsidR="006F2FFB" w:rsidRPr="006F2FFB" w:rsidRDefault="006F2FFB" w:rsidP="006F2FFB">
            <w:pPr>
              <w:jc w:val="right"/>
              <w:rPr>
                <w:sz w:val="22"/>
                <w:szCs w:val="22"/>
              </w:rPr>
            </w:pPr>
            <w:r>
              <w:rPr>
                <w:rFonts w:cs="Calibri"/>
                <w:color w:val="000000"/>
                <w:sz w:val="22"/>
                <w:szCs w:val="22"/>
              </w:rPr>
              <w:t>973</w:t>
            </w:r>
          </w:p>
        </w:tc>
        <w:tc>
          <w:tcPr>
            <w:tcW w:w="1559" w:type="dxa"/>
          </w:tcPr>
          <w:p w14:paraId="41568951" w14:textId="271F31B4" w:rsidR="006F2FFB" w:rsidRPr="006F2FFB" w:rsidRDefault="006F2FFB" w:rsidP="006F2FFB">
            <w:pPr>
              <w:jc w:val="right"/>
              <w:rPr>
                <w:sz w:val="22"/>
                <w:szCs w:val="22"/>
              </w:rPr>
            </w:pPr>
            <w:r>
              <w:rPr>
                <w:rFonts w:cs="Calibri"/>
                <w:color w:val="000000"/>
                <w:sz w:val="22"/>
                <w:szCs w:val="22"/>
              </w:rPr>
              <w:t>40</w:t>
            </w:r>
          </w:p>
        </w:tc>
        <w:tc>
          <w:tcPr>
            <w:tcW w:w="1417" w:type="dxa"/>
          </w:tcPr>
          <w:p w14:paraId="2FDEB4EE" w14:textId="59020AE8" w:rsidR="006F2FFB" w:rsidRPr="006F2FFB" w:rsidRDefault="006F2FFB" w:rsidP="006F2FFB">
            <w:pPr>
              <w:jc w:val="right"/>
              <w:rPr>
                <w:sz w:val="22"/>
                <w:szCs w:val="22"/>
              </w:rPr>
            </w:pPr>
            <w:r>
              <w:rPr>
                <w:rFonts w:cs="Calibri"/>
                <w:color w:val="000000"/>
                <w:sz w:val="22"/>
                <w:szCs w:val="22"/>
              </w:rPr>
              <w:t>4.1%</w:t>
            </w:r>
          </w:p>
        </w:tc>
      </w:tr>
      <w:tr w:rsidR="006F2FFB" w:rsidRPr="006F2FFB" w14:paraId="7E2FD676" w14:textId="77777777" w:rsidTr="00C52262">
        <w:trPr>
          <w:jc w:val="center"/>
        </w:trPr>
        <w:tc>
          <w:tcPr>
            <w:tcW w:w="2278" w:type="dxa"/>
          </w:tcPr>
          <w:p w14:paraId="36150334" w14:textId="301253F6" w:rsidR="006F2FFB" w:rsidRPr="006F2FFB" w:rsidRDefault="006F2FFB" w:rsidP="006F2FFB">
            <w:pPr>
              <w:rPr>
                <w:sz w:val="22"/>
                <w:szCs w:val="22"/>
              </w:rPr>
            </w:pPr>
            <w:r w:rsidRPr="006F2FFB">
              <w:rPr>
                <w:rFonts w:cs="Calibri"/>
                <w:color w:val="000000"/>
                <w:sz w:val="22"/>
                <w:szCs w:val="22"/>
              </w:rPr>
              <w:t>Cork City Council</w:t>
            </w:r>
          </w:p>
        </w:tc>
        <w:tc>
          <w:tcPr>
            <w:tcW w:w="1559" w:type="dxa"/>
          </w:tcPr>
          <w:p w14:paraId="5F28C013" w14:textId="0A91A53F" w:rsidR="006F2FFB" w:rsidRPr="006F2FFB" w:rsidRDefault="006F2FFB" w:rsidP="006F2FFB">
            <w:pPr>
              <w:jc w:val="right"/>
              <w:rPr>
                <w:sz w:val="22"/>
                <w:szCs w:val="22"/>
              </w:rPr>
            </w:pPr>
            <w:r w:rsidRPr="006F2FFB">
              <w:rPr>
                <w:rFonts w:cs="Calibri"/>
                <w:color w:val="000000"/>
                <w:sz w:val="22"/>
                <w:szCs w:val="22"/>
              </w:rPr>
              <w:t>1,559</w:t>
            </w:r>
          </w:p>
        </w:tc>
        <w:tc>
          <w:tcPr>
            <w:tcW w:w="1560" w:type="dxa"/>
          </w:tcPr>
          <w:p w14:paraId="395D7F1B" w14:textId="276D5C32" w:rsidR="006F2FFB" w:rsidRPr="006F2FFB" w:rsidRDefault="006F2FFB" w:rsidP="006F2FFB">
            <w:pPr>
              <w:jc w:val="right"/>
              <w:rPr>
                <w:sz w:val="22"/>
                <w:szCs w:val="22"/>
              </w:rPr>
            </w:pPr>
            <w:r w:rsidRPr="006F2FFB">
              <w:rPr>
                <w:rFonts w:cs="Calibri"/>
                <w:color w:val="000000"/>
                <w:sz w:val="22"/>
                <w:szCs w:val="22"/>
              </w:rPr>
              <w:t>49</w:t>
            </w:r>
          </w:p>
        </w:tc>
        <w:tc>
          <w:tcPr>
            <w:tcW w:w="1417" w:type="dxa"/>
          </w:tcPr>
          <w:p w14:paraId="52E1FF5B" w14:textId="48A3F611" w:rsidR="006F2FFB" w:rsidRPr="006F2FFB" w:rsidRDefault="006F2FFB" w:rsidP="006F2FFB">
            <w:pPr>
              <w:jc w:val="right"/>
              <w:rPr>
                <w:sz w:val="22"/>
                <w:szCs w:val="22"/>
              </w:rPr>
            </w:pPr>
            <w:r w:rsidRPr="006F2FFB">
              <w:rPr>
                <w:rFonts w:cs="Calibri"/>
                <w:color w:val="000000"/>
                <w:sz w:val="22"/>
                <w:szCs w:val="22"/>
              </w:rPr>
              <w:t>3.1%</w:t>
            </w:r>
          </w:p>
        </w:tc>
        <w:tc>
          <w:tcPr>
            <w:tcW w:w="1418" w:type="dxa"/>
          </w:tcPr>
          <w:p w14:paraId="430E2A03" w14:textId="3067FD97" w:rsidR="006F2FFB" w:rsidRPr="006F2FFB" w:rsidRDefault="006F2FFB" w:rsidP="006F2FFB">
            <w:pPr>
              <w:jc w:val="right"/>
              <w:rPr>
                <w:sz w:val="22"/>
                <w:szCs w:val="22"/>
              </w:rPr>
            </w:pPr>
            <w:r>
              <w:rPr>
                <w:rFonts w:cs="Calibri"/>
                <w:color w:val="000000"/>
                <w:sz w:val="22"/>
                <w:szCs w:val="22"/>
              </w:rPr>
              <w:t>1589</w:t>
            </w:r>
          </w:p>
        </w:tc>
        <w:tc>
          <w:tcPr>
            <w:tcW w:w="1559" w:type="dxa"/>
          </w:tcPr>
          <w:p w14:paraId="116E9AC5" w14:textId="72C27CB6" w:rsidR="006F2FFB" w:rsidRPr="006F2FFB" w:rsidRDefault="006F2FFB" w:rsidP="006F2FFB">
            <w:pPr>
              <w:jc w:val="right"/>
              <w:rPr>
                <w:sz w:val="22"/>
                <w:szCs w:val="22"/>
              </w:rPr>
            </w:pPr>
            <w:r>
              <w:rPr>
                <w:rFonts w:cs="Calibri"/>
                <w:color w:val="000000"/>
                <w:sz w:val="22"/>
                <w:szCs w:val="22"/>
              </w:rPr>
              <w:t>59</w:t>
            </w:r>
          </w:p>
        </w:tc>
        <w:tc>
          <w:tcPr>
            <w:tcW w:w="1417" w:type="dxa"/>
          </w:tcPr>
          <w:p w14:paraId="5B343DB3" w14:textId="3E6943F1" w:rsidR="006F2FFB" w:rsidRPr="006F2FFB" w:rsidRDefault="006F2FFB" w:rsidP="006F2FFB">
            <w:pPr>
              <w:jc w:val="right"/>
              <w:rPr>
                <w:sz w:val="22"/>
                <w:szCs w:val="22"/>
              </w:rPr>
            </w:pPr>
            <w:r>
              <w:rPr>
                <w:rFonts w:cs="Calibri"/>
                <w:color w:val="000000"/>
                <w:sz w:val="22"/>
                <w:szCs w:val="22"/>
              </w:rPr>
              <w:t>3.7%</w:t>
            </w:r>
          </w:p>
        </w:tc>
      </w:tr>
      <w:tr w:rsidR="006F2FFB" w:rsidRPr="006F2FFB" w14:paraId="7712F50E" w14:textId="77777777" w:rsidTr="00C52262">
        <w:trPr>
          <w:jc w:val="center"/>
        </w:trPr>
        <w:tc>
          <w:tcPr>
            <w:tcW w:w="2278" w:type="dxa"/>
          </w:tcPr>
          <w:p w14:paraId="0BC622D0" w14:textId="4A2BDFDB" w:rsidR="006F2FFB" w:rsidRPr="006F2FFB" w:rsidRDefault="006F2FFB" w:rsidP="006F2FFB">
            <w:pPr>
              <w:rPr>
                <w:sz w:val="22"/>
                <w:szCs w:val="22"/>
              </w:rPr>
            </w:pPr>
            <w:r w:rsidRPr="006F2FFB">
              <w:rPr>
                <w:rFonts w:cs="Calibri"/>
                <w:color w:val="000000"/>
                <w:sz w:val="22"/>
                <w:szCs w:val="22"/>
              </w:rPr>
              <w:t>Cork County Council</w:t>
            </w:r>
          </w:p>
        </w:tc>
        <w:tc>
          <w:tcPr>
            <w:tcW w:w="1559" w:type="dxa"/>
          </w:tcPr>
          <w:p w14:paraId="4B324A6C" w14:textId="579105B8" w:rsidR="006F2FFB" w:rsidRPr="006F2FFB" w:rsidRDefault="006F2FFB" w:rsidP="006F2FFB">
            <w:pPr>
              <w:jc w:val="right"/>
              <w:rPr>
                <w:sz w:val="22"/>
                <w:szCs w:val="22"/>
              </w:rPr>
            </w:pPr>
            <w:r w:rsidRPr="006F2FFB">
              <w:rPr>
                <w:rFonts w:cs="Calibri"/>
                <w:color w:val="000000"/>
                <w:sz w:val="22"/>
                <w:szCs w:val="22"/>
              </w:rPr>
              <w:t>2,640</w:t>
            </w:r>
          </w:p>
        </w:tc>
        <w:tc>
          <w:tcPr>
            <w:tcW w:w="1560" w:type="dxa"/>
          </w:tcPr>
          <w:p w14:paraId="635DE84D" w14:textId="081B3557" w:rsidR="006F2FFB" w:rsidRPr="006F2FFB" w:rsidRDefault="006F2FFB" w:rsidP="006F2FFB">
            <w:pPr>
              <w:jc w:val="right"/>
              <w:rPr>
                <w:sz w:val="22"/>
                <w:szCs w:val="22"/>
              </w:rPr>
            </w:pPr>
            <w:r w:rsidRPr="006F2FFB">
              <w:rPr>
                <w:rFonts w:cs="Calibri"/>
                <w:color w:val="000000"/>
                <w:sz w:val="22"/>
                <w:szCs w:val="22"/>
              </w:rPr>
              <w:t>91</w:t>
            </w:r>
          </w:p>
        </w:tc>
        <w:tc>
          <w:tcPr>
            <w:tcW w:w="1417" w:type="dxa"/>
          </w:tcPr>
          <w:p w14:paraId="24A5AE5C" w14:textId="45C6E85A" w:rsidR="006F2FFB" w:rsidRPr="006F2FFB" w:rsidRDefault="006F2FFB" w:rsidP="006F2FFB">
            <w:pPr>
              <w:jc w:val="right"/>
              <w:rPr>
                <w:sz w:val="22"/>
                <w:szCs w:val="22"/>
              </w:rPr>
            </w:pPr>
            <w:r w:rsidRPr="006F2FFB">
              <w:rPr>
                <w:rFonts w:cs="Calibri"/>
                <w:color w:val="000000"/>
                <w:sz w:val="22"/>
                <w:szCs w:val="22"/>
              </w:rPr>
              <w:t>3.4%</w:t>
            </w:r>
          </w:p>
        </w:tc>
        <w:tc>
          <w:tcPr>
            <w:tcW w:w="1418" w:type="dxa"/>
          </w:tcPr>
          <w:p w14:paraId="031ED7D7" w14:textId="20786139" w:rsidR="006F2FFB" w:rsidRPr="006F2FFB" w:rsidRDefault="006F2FFB" w:rsidP="006F2FFB">
            <w:pPr>
              <w:jc w:val="right"/>
              <w:rPr>
                <w:sz w:val="22"/>
                <w:szCs w:val="22"/>
              </w:rPr>
            </w:pPr>
            <w:r>
              <w:rPr>
                <w:rFonts w:cs="Calibri"/>
                <w:color w:val="000000"/>
                <w:sz w:val="22"/>
                <w:szCs w:val="22"/>
              </w:rPr>
              <w:t>2707</w:t>
            </w:r>
          </w:p>
        </w:tc>
        <w:tc>
          <w:tcPr>
            <w:tcW w:w="1559" w:type="dxa"/>
          </w:tcPr>
          <w:p w14:paraId="514B1378" w14:textId="2A374668" w:rsidR="006F2FFB" w:rsidRPr="006F2FFB" w:rsidRDefault="006F2FFB" w:rsidP="006F2FFB">
            <w:pPr>
              <w:jc w:val="right"/>
              <w:rPr>
                <w:sz w:val="22"/>
                <w:szCs w:val="22"/>
              </w:rPr>
            </w:pPr>
            <w:r>
              <w:rPr>
                <w:rFonts w:cs="Calibri"/>
                <w:color w:val="000000"/>
                <w:sz w:val="22"/>
                <w:szCs w:val="22"/>
              </w:rPr>
              <w:t>102</w:t>
            </w:r>
          </w:p>
        </w:tc>
        <w:tc>
          <w:tcPr>
            <w:tcW w:w="1417" w:type="dxa"/>
          </w:tcPr>
          <w:p w14:paraId="4836BD8F" w14:textId="67605056" w:rsidR="006F2FFB" w:rsidRPr="006F2FFB" w:rsidRDefault="006F2FFB" w:rsidP="006F2FFB">
            <w:pPr>
              <w:jc w:val="right"/>
              <w:rPr>
                <w:sz w:val="22"/>
                <w:szCs w:val="22"/>
              </w:rPr>
            </w:pPr>
            <w:r>
              <w:rPr>
                <w:rFonts w:cs="Calibri"/>
                <w:color w:val="000000"/>
                <w:sz w:val="22"/>
                <w:szCs w:val="22"/>
              </w:rPr>
              <w:t>3.8%</w:t>
            </w:r>
          </w:p>
        </w:tc>
      </w:tr>
      <w:tr w:rsidR="006F2FFB" w:rsidRPr="006F2FFB" w14:paraId="6C780DDD" w14:textId="77777777" w:rsidTr="00C52262">
        <w:trPr>
          <w:jc w:val="center"/>
        </w:trPr>
        <w:tc>
          <w:tcPr>
            <w:tcW w:w="2278" w:type="dxa"/>
          </w:tcPr>
          <w:p w14:paraId="2EFDF2EC" w14:textId="1037A615" w:rsidR="006F2FFB" w:rsidRPr="006F2FFB" w:rsidRDefault="006F2FFB" w:rsidP="006F2FFB">
            <w:pPr>
              <w:rPr>
                <w:sz w:val="22"/>
                <w:szCs w:val="22"/>
              </w:rPr>
            </w:pPr>
            <w:r w:rsidRPr="006F2FFB">
              <w:rPr>
                <w:rFonts w:cs="Calibri"/>
                <w:color w:val="000000"/>
                <w:sz w:val="22"/>
                <w:szCs w:val="22"/>
              </w:rPr>
              <w:t>Donegal County Council</w:t>
            </w:r>
          </w:p>
        </w:tc>
        <w:tc>
          <w:tcPr>
            <w:tcW w:w="1559" w:type="dxa"/>
          </w:tcPr>
          <w:p w14:paraId="5F5D0972" w14:textId="14895ADD" w:rsidR="006F2FFB" w:rsidRPr="006F2FFB" w:rsidRDefault="006F2FFB" w:rsidP="006F2FFB">
            <w:pPr>
              <w:jc w:val="right"/>
              <w:rPr>
                <w:sz w:val="22"/>
                <w:szCs w:val="22"/>
              </w:rPr>
            </w:pPr>
            <w:r w:rsidRPr="006F2FFB">
              <w:rPr>
                <w:rFonts w:cs="Calibri"/>
                <w:color w:val="000000"/>
                <w:sz w:val="22"/>
                <w:szCs w:val="22"/>
              </w:rPr>
              <w:t>1,198</w:t>
            </w:r>
          </w:p>
        </w:tc>
        <w:tc>
          <w:tcPr>
            <w:tcW w:w="1560" w:type="dxa"/>
          </w:tcPr>
          <w:p w14:paraId="0F403FB8" w14:textId="73C5B107" w:rsidR="006F2FFB" w:rsidRPr="006F2FFB" w:rsidRDefault="006F2FFB" w:rsidP="006F2FFB">
            <w:pPr>
              <w:jc w:val="right"/>
              <w:rPr>
                <w:sz w:val="22"/>
                <w:szCs w:val="22"/>
              </w:rPr>
            </w:pPr>
            <w:r w:rsidRPr="006F2FFB">
              <w:rPr>
                <w:rFonts w:cs="Calibri"/>
                <w:color w:val="000000"/>
                <w:sz w:val="22"/>
                <w:szCs w:val="22"/>
              </w:rPr>
              <w:t>51</w:t>
            </w:r>
          </w:p>
        </w:tc>
        <w:tc>
          <w:tcPr>
            <w:tcW w:w="1417" w:type="dxa"/>
          </w:tcPr>
          <w:p w14:paraId="2ED93F80" w14:textId="6D444DE4" w:rsidR="006F2FFB" w:rsidRPr="006F2FFB" w:rsidRDefault="006F2FFB" w:rsidP="006F2FFB">
            <w:pPr>
              <w:jc w:val="right"/>
              <w:rPr>
                <w:sz w:val="22"/>
                <w:szCs w:val="22"/>
              </w:rPr>
            </w:pPr>
            <w:r w:rsidRPr="006F2FFB">
              <w:rPr>
                <w:rFonts w:cs="Calibri"/>
                <w:color w:val="000000"/>
                <w:sz w:val="22"/>
                <w:szCs w:val="22"/>
              </w:rPr>
              <w:t>4.3%</w:t>
            </w:r>
          </w:p>
        </w:tc>
        <w:tc>
          <w:tcPr>
            <w:tcW w:w="1418" w:type="dxa"/>
          </w:tcPr>
          <w:p w14:paraId="5F65DA2E" w14:textId="4536999B" w:rsidR="006F2FFB" w:rsidRPr="006F2FFB" w:rsidRDefault="006F2FFB" w:rsidP="006F2FFB">
            <w:pPr>
              <w:jc w:val="right"/>
              <w:rPr>
                <w:sz w:val="22"/>
                <w:szCs w:val="22"/>
              </w:rPr>
            </w:pPr>
            <w:r>
              <w:rPr>
                <w:rFonts w:cs="Calibri"/>
                <w:color w:val="000000"/>
                <w:sz w:val="22"/>
                <w:szCs w:val="22"/>
              </w:rPr>
              <w:t>1190</w:t>
            </w:r>
          </w:p>
        </w:tc>
        <w:tc>
          <w:tcPr>
            <w:tcW w:w="1559" w:type="dxa"/>
          </w:tcPr>
          <w:p w14:paraId="616FF7E4" w14:textId="2594DA07" w:rsidR="006F2FFB" w:rsidRPr="006F2FFB" w:rsidRDefault="006F2FFB" w:rsidP="006F2FFB">
            <w:pPr>
              <w:jc w:val="right"/>
              <w:rPr>
                <w:sz w:val="22"/>
                <w:szCs w:val="22"/>
              </w:rPr>
            </w:pPr>
            <w:r>
              <w:rPr>
                <w:rFonts w:cs="Calibri"/>
                <w:color w:val="000000"/>
                <w:sz w:val="22"/>
                <w:szCs w:val="22"/>
              </w:rPr>
              <w:t>59</w:t>
            </w:r>
          </w:p>
        </w:tc>
        <w:tc>
          <w:tcPr>
            <w:tcW w:w="1417" w:type="dxa"/>
          </w:tcPr>
          <w:p w14:paraId="1F85D639" w14:textId="74F6E0A2" w:rsidR="006F2FFB" w:rsidRPr="006F2FFB" w:rsidRDefault="006F2FFB" w:rsidP="006F2FFB">
            <w:pPr>
              <w:jc w:val="right"/>
              <w:rPr>
                <w:sz w:val="22"/>
                <w:szCs w:val="22"/>
              </w:rPr>
            </w:pPr>
            <w:r>
              <w:rPr>
                <w:rFonts w:cs="Calibri"/>
                <w:color w:val="000000"/>
                <w:sz w:val="22"/>
                <w:szCs w:val="22"/>
              </w:rPr>
              <w:t>5.0%</w:t>
            </w:r>
          </w:p>
        </w:tc>
      </w:tr>
      <w:tr w:rsidR="006F2FFB" w:rsidRPr="006F2FFB" w14:paraId="0F8D6818" w14:textId="77777777" w:rsidTr="00C52262">
        <w:trPr>
          <w:jc w:val="center"/>
        </w:trPr>
        <w:tc>
          <w:tcPr>
            <w:tcW w:w="2278" w:type="dxa"/>
          </w:tcPr>
          <w:p w14:paraId="751F1719" w14:textId="41EB3F15" w:rsidR="006F2FFB" w:rsidRPr="006F2FFB" w:rsidRDefault="006F2FFB" w:rsidP="006F2FFB">
            <w:pPr>
              <w:rPr>
                <w:sz w:val="22"/>
                <w:szCs w:val="22"/>
              </w:rPr>
            </w:pPr>
            <w:r w:rsidRPr="006F2FFB">
              <w:rPr>
                <w:rFonts w:cs="Calibri"/>
                <w:color w:val="000000"/>
                <w:sz w:val="22"/>
                <w:szCs w:val="22"/>
              </w:rPr>
              <w:t>Dublin City Council</w:t>
            </w:r>
          </w:p>
        </w:tc>
        <w:tc>
          <w:tcPr>
            <w:tcW w:w="1559" w:type="dxa"/>
          </w:tcPr>
          <w:p w14:paraId="44C6029B" w14:textId="23D5E923" w:rsidR="006F2FFB" w:rsidRPr="006F2FFB" w:rsidRDefault="006F2FFB" w:rsidP="006F2FFB">
            <w:pPr>
              <w:jc w:val="right"/>
              <w:rPr>
                <w:sz w:val="22"/>
                <w:szCs w:val="22"/>
              </w:rPr>
            </w:pPr>
            <w:r w:rsidRPr="006F2FFB">
              <w:rPr>
                <w:rFonts w:cs="Calibri"/>
                <w:color w:val="000000"/>
                <w:sz w:val="22"/>
                <w:szCs w:val="22"/>
              </w:rPr>
              <w:t>5,882</w:t>
            </w:r>
          </w:p>
        </w:tc>
        <w:tc>
          <w:tcPr>
            <w:tcW w:w="1560" w:type="dxa"/>
          </w:tcPr>
          <w:p w14:paraId="7B5EDD21" w14:textId="020DBE03" w:rsidR="006F2FFB" w:rsidRPr="006F2FFB" w:rsidRDefault="006F2FFB" w:rsidP="006F2FFB">
            <w:pPr>
              <w:jc w:val="right"/>
              <w:rPr>
                <w:sz w:val="22"/>
                <w:szCs w:val="22"/>
              </w:rPr>
            </w:pPr>
            <w:r w:rsidRPr="006F2FFB">
              <w:rPr>
                <w:rFonts w:cs="Calibri"/>
                <w:color w:val="000000"/>
                <w:sz w:val="22"/>
                <w:szCs w:val="22"/>
              </w:rPr>
              <w:t>259</w:t>
            </w:r>
          </w:p>
        </w:tc>
        <w:tc>
          <w:tcPr>
            <w:tcW w:w="1417" w:type="dxa"/>
          </w:tcPr>
          <w:p w14:paraId="01563F9E" w14:textId="646A21B2" w:rsidR="006F2FFB" w:rsidRPr="006F2FFB" w:rsidRDefault="006F2FFB" w:rsidP="006F2FFB">
            <w:pPr>
              <w:jc w:val="right"/>
              <w:rPr>
                <w:sz w:val="22"/>
                <w:szCs w:val="22"/>
              </w:rPr>
            </w:pPr>
            <w:r w:rsidRPr="006F2FFB">
              <w:rPr>
                <w:rFonts w:cs="Calibri"/>
                <w:color w:val="000000"/>
                <w:sz w:val="22"/>
                <w:szCs w:val="22"/>
              </w:rPr>
              <w:t>4.4%</w:t>
            </w:r>
          </w:p>
        </w:tc>
        <w:tc>
          <w:tcPr>
            <w:tcW w:w="1418" w:type="dxa"/>
          </w:tcPr>
          <w:p w14:paraId="64D330FE" w14:textId="5AAF973D" w:rsidR="006F2FFB" w:rsidRPr="006F2FFB" w:rsidRDefault="006F2FFB" w:rsidP="006F2FFB">
            <w:pPr>
              <w:jc w:val="right"/>
              <w:rPr>
                <w:sz w:val="22"/>
                <w:szCs w:val="22"/>
              </w:rPr>
            </w:pPr>
            <w:r>
              <w:rPr>
                <w:rFonts w:cs="Calibri"/>
                <w:color w:val="000000"/>
                <w:sz w:val="22"/>
                <w:szCs w:val="22"/>
              </w:rPr>
              <w:t>5897</w:t>
            </w:r>
          </w:p>
        </w:tc>
        <w:tc>
          <w:tcPr>
            <w:tcW w:w="1559" w:type="dxa"/>
          </w:tcPr>
          <w:p w14:paraId="150B5AA4" w14:textId="5A7CF4A4" w:rsidR="006F2FFB" w:rsidRPr="006F2FFB" w:rsidRDefault="006F2FFB" w:rsidP="006F2FFB">
            <w:pPr>
              <w:jc w:val="right"/>
              <w:rPr>
                <w:sz w:val="22"/>
                <w:szCs w:val="22"/>
              </w:rPr>
            </w:pPr>
            <w:r>
              <w:rPr>
                <w:rFonts w:cs="Calibri"/>
                <w:color w:val="000000"/>
                <w:sz w:val="22"/>
                <w:szCs w:val="22"/>
              </w:rPr>
              <w:t>248</w:t>
            </w:r>
          </w:p>
        </w:tc>
        <w:tc>
          <w:tcPr>
            <w:tcW w:w="1417" w:type="dxa"/>
          </w:tcPr>
          <w:p w14:paraId="6FA106C3" w14:textId="3E14AE8C" w:rsidR="006F2FFB" w:rsidRPr="006F2FFB" w:rsidRDefault="006F2FFB" w:rsidP="006F2FFB">
            <w:pPr>
              <w:jc w:val="right"/>
              <w:rPr>
                <w:sz w:val="22"/>
                <w:szCs w:val="22"/>
              </w:rPr>
            </w:pPr>
            <w:r>
              <w:rPr>
                <w:rFonts w:cs="Calibri"/>
                <w:color w:val="000000"/>
                <w:sz w:val="22"/>
                <w:szCs w:val="22"/>
              </w:rPr>
              <w:t>4.2%</w:t>
            </w:r>
          </w:p>
        </w:tc>
      </w:tr>
      <w:tr w:rsidR="006F2FFB" w:rsidRPr="006F2FFB" w14:paraId="6DF349E9" w14:textId="77777777" w:rsidTr="00C52262">
        <w:trPr>
          <w:jc w:val="center"/>
        </w:trPr>
        <w:tc>
          <w:tcPr>
            <w:tcW w:w="2278" w:type="dxa"/>
          </w:tcPr>
          <w:p w14:paraId="3E1CA063" w14:textId="78DFDF18" w:rsidR="006F2FFB" w:rsidRPr="006F2FFB" w:rsidRDefault="006F2FFB" w:rsidP="006F2FFB">
            <w:pPr>
              <w:rPr>
                <w:sz w:val="22"/>
                <w:szCs w:val="22"/>
              </w:rPr>
            </w:pPr>
            <w:r w:rsidRPr="006F2FFB">
              <w:rPr>
                <w:rFonts w:cs="Calibri"/>
                <w:color w:val="000000"/>
                <w:sz w:val="22"/>
                <w:szCs w:val="22"/>
              </w:rPr>
              <w:t>Dún Laoghaire–Rathdown County Council</w:t>
            </w:r>
          </w:p>
        </w:tc>
        <w:tc>
          <w:tcPr>
            <w:tcW w:w="1559" w:type="dxa"/>
          </w:tcPr>
          <w:p w14:paraId="6B41DABE" w14:textId="2AC272FD" w:rsidR="006F2FFB" w:rsidRPr="006F2FFB" w:rsidRDefault="006F2FFB" w:rsidP="006F2FFB">
            <w:pPr>
              <w:jc w:val="right"/>
              <w:rPr>
                <w:sz w:val="22"/>
                <w:szCs w:val="22"/>
              </w:rPr>
            </w:pPr>
            <w:r w:rsidRPr="006F2FFB">
              <w:rPr>
                <w:rFonts w:cs="Calibri"/>
                <w:color w:val="000000"/>
                <w:sz w:val="22"/>
                <w:szCs w:val="22"/>
              </w:rPr>
              <w:t>1,125</w:t>
            </w:r>
          </w:p>
        </w:tc>
        <w:tc>
          <w:tcPr>
            <w:tcW w:w="1560" w:type="dxa"/>
          </w:tcPr>
          <w:p w14:paraId="587190A0" w14:textId="3259A7D5" w:rsidR="006F2FFB" w:rsidRPr="006F2FFB" w:rsidRDefault="006F2FFB" w:rsidP="006F2FFB">
            <w:pPr>
              <w:jc w:val="right"/>
              <w:rPr>
                <w:sz w:val="22"/>
                <w:szCs w:val="22"/>
              </w:rPr>
            </w:pPr>
            <w:r w:rsidRPr="006F2FFB">
              <w:rPr>
                <w:rFonts w:cs="Calibri"/>
                <w:color w:val="000000"/>
                <w:sz w:val="22"/>
                <w:szCs w:val="22"/>
              </w:rPr>
              <w:t>45</w:t>
            </w:r>
          </w:p>
        </w:tc>
        <w:tc>
          <w:tcPr>
            <w:tcW w:w="1417" w:type="dxa"/>
          </w:tcPr>
          <w:p w14:paraId="17C62FA8" w14:textId="6E017726" w:rsidR="006F2FFB" w:rsidRPr="006F2FFB" w:rsidRDefault="006F2FFB" w:rsidP="006F2FFB">
            <w:pPr>
              <w:jc w:val="right"/>
              <w:rPr>
                <w:sz w:val="22"/>
                <w:szCs w:val="22"/>
              </w:rPr>
            </w:pPr>
            <w:r w:rsidRPr="006F2FFB">
              <w:rPr>
                <w:rFonts w:cs="Calibri"/>
                <w:color w:val="000000"/>
                <w:sz w:val="22"/>
                <w:szCs w:val="22"/>
              </w:rPr>
              <w:t>4.0%</w:t>
            </w:r>
          </w:p>
        </w:tc>
        <w:tc>
          <w:tcPr>
            <w:tcW w:w="1418" w:type="dxa"/>
          </w:tcPr>
          <w:p w14:paraId="291EF83B" w14:textId="1D49E763" w:rsidR="006F2FFB" w:rsidRPr="006F2FFB" w:rsidRDefault="006F2FFB" w:rsidP="006F2FFB">
            <w:pPr>
              <w:jc w:val="right"/>
              <w:rPr>
                <w:sz w:val="22"/>
                <w:szCs w:val="22"/>
              </w:rPr>
            </w:pPr>
            <w:r>
              <w:rPr>
                <w:rFonts w:cs="Calibri"/>
                <w:color w:val="000000"/>
                <w:sz w:val="22"/>
                <w:szCs w:val="22"/>
              </w:rPr>
              <w:t>1121</w:t>
            </w:r>
          </w:p>
        </w:tc>
        <w:tc>
          <w:tcPr>
            <w:tcW w:w="1559" w:type="dxa"/>
          </w:tcPr>
          <w:p w14:paraId="2425ABC1" w14:textId="06C216F7" w:rsidR="006F2FFB" w:rsidRPr="006F2FFB" w:rsidRDefault="006F2FFB" w:rsidP="006F2FFB">
            <w:pPr>
              <w:jc w:val="right"/>
              <w:rPr>
                <w:sz w:val="22"/>
                <w:szCs w:val="22"/>
              </w:rPr>
            </w:pPr>
            <w:r>
              <w:rPr>
                <w:rFonts w:cs="Calibri"/>
                <w:color w:val="000000"/>
                <w:sz w:val="22"/>
                <w:szCs w:val="22"/>
              </w:rPr>
              <w:t>45</w:t>
            </w:r>
          </w:p>
        </w:tc>
        <w:tc>
          <w:tcPr>
            <w:tcW w:w="1417" w:type="dxa"/>
          </w:tcPr>
          <w:p w14:paraId="543AC70E" w14:textId="3A7908E7" w:rsidR="006F2FFB" w:rsidRPr="006F2FFB" w:rsidRDefault="006F2FFB" w:rsidP="006F2FFB">
            <w:pPr>
              <w:jc w:val="right"/>
              <w:rPr>
                <w:sz w:val="22"/>
                <w:szCs w:val="22"/>
              </w:rPr>
            </w:pPr>
            <w:r>
              <w:rPr>
                <w:rFonts w:cs="Calibri"/>
                <w:color w:val="000000"/>
                <w:sz w:val="22"/>
                <w:szCs w:val="22"/>
              </w:rPr>
              <w:t>4.0%</w:t>
            </w:r>
          </w:p>
        </w:tc>
      </w:tr>
      <w:tr w:rsidR="006F2FFB" w:rsidRPr="006F2FFB" w14:paraId="4BFFF82B" w14:textId="77777777" w:rsidTr="00C52262">
        <w:trPr>
          <w:jc w:val="center"/>
        </w:trPr>
        <w:tc>
          <w:tcPr>
            <w:tcW w:w="2278" w:type="dxa"/>
          </w:tcPr>
          <w:p w14:paraId="24ED2C56" w14:textId="3F7E8D16" w:rsidR="006F2FFB" w:rsidRPr="006F2FFB" w:rsidRDefault="006F2FFB" w:rsidP="006F2FFB">
            <w:pPr>
              <w:rPr>
                <w:sz w:val="22"/>
                <w:szCs w:val="22"/>
              </w:rPr>
            </w:pPr>
            <w:r w:rsidRPr="006F2FFB">
              <w:rPr>
                <w:rFonts w:cs="Calibri"/>
                <w:color w:val="000000"/>
                <w:sz w:val="22"/>
                <w:szCs w:val="22"/>
              </w:rPr>
              <w:t xml:space="preserve">Eastern &amp; Midland Regional Assembly </w:t>
            </w:r>
          </w:p>
        </w:tc>
        <w:tc>
          <w:tcPr>
            <w:tcW w:w="1559" w:type="dxa"/>
          </w:tcPr>
          <w:p w14:paraId="39CAA035" w14:textId="72247FF1" w:rsidR="006F2FFB" w:rsidRPr="006F2FFB" w:rsidRDefault="006F2FFB" w:rsidP="006F2FFB">
            <w:pPr>
              <w:jc w:val="right"/>
              <w:rPr>
                <w:sz w:val="22"/>
                <w:szCs w:val="22"/>
              </w:rPr>
            </w:pPr>
            <w:r w:rsidRPr="006F2FFB">
              <w:rPr>
                <w:rFonts w:cs="Calibri"/>
                <w:color w:val="000000"/>
                <w:sz w:val="22"/>
                <w:szCs w:val="22"/>
              </w:rPr>
              <w:t>20</w:t>
            </w:r>
          </w:p>
        </w:tc>
        <w:tc>
          <w:tcPr>
            <w:tcW w:w="1560" w:type="dxa"/>
          </w:tcPr>
          <w:p w14:paraId="2D70D73D" w14:textId="147B4350" w:rsidR="006F2FFB" w:rsidRPr="006F2FFB" w:rsidRDefault="006F2FFB" w:rsidP="006F2FFB">
            <w:pPr>
              <w:jc w:val="right"/>
              <w:rPr>
                <w:sz w:val="22"/>
                <w:szCs w:val="22"/>
              </w:rPr>
            </w:pPr>
            <w:r w:rsidRPr="006F2FFB">
              <w:rPr>
                <w:rFonts w:cs="Calibri"/>
                <w:color w:val="000000"/>
                <w:sz w:val="22"/>
                <w:szCs w:val="22"/>
              </w:rPr>
              <w:t>0</w:t>
            </w:r>
          </w:p>
        </w:tc>
        <w:tc>
          <w:tcPr>
            <w:tcW w:w="1417" w:type="dxa"/>
          </w:tcPr>
          <w:p w14:paraId="5CFE0BA9" w14:textId="31C2706C" w:rsidR="006F2FFB" w:rsidRPr="006F2FFB" w:rsidRDefault="006F2FFB" w:rsidP="006F2FFB">
            <w:pPr>
              <w:jc w:val="right"/>
              <w:rPr>
                <w:sz w:val="22"/>
                <w:szCs w:val="22"/>
              </w:rPr>
            </w:pPr>
            <w:r w:rsidRPr="006F2FFB">
              <w:rPr>
                <w:rFonts w:cs="Calibri"/>
                <w:color w:val="000000"/>
                <w:sz w:val="22"/>
                <w:szCs w:val="22"/>
              </w:rPr>
              <w:t>0.0%</w:t>
            </w:r>
          </w:p>
        </w:tc>
        <w:tc>
          <w:tcPr>
            <w:tcW w:w="1418" w:type="dxa"/>
          </w:tcPr>
          <w:p w14:paraId="19123DB2" w14:textId="373E8DD8" w:rsidR="006F2FFB" w:rsidRPr="006F2FFB" w:rsidRDefault="006F2FFB" w:rsidP="006F2FFB">
            <w:pPr>
              <w:jc w:val="right"/>
              <w:rPr>
                <w:sz w:val="22"/>
                <w:szCs w:val="22"/>
              </w:rPr>
            </w:pPr>
            <w:r>
              <w:rPr>
                <w:rFonts w:cs="Calibri"/>
                <w:color w:val="000000"/>
                <w:sz w:val="22"/>
                <w:szCs w:val="22"/>
              </w:rPr>
              <w:t>17</w:t>
            </w:r>
          </w:p>
        </w:tc>
        <w:tc>
          <w:tcPr>
            <w:tcW w:w="1559" w:type="dxa"/>
          </w:tcPr>
          <w:p w14:paraId="6BD58D55" w14:textId="5EF7BDF9" w:rsidR="006F2FFB" w:rsidRPr="006F2FFB" w:rsidRDefault="006F2FFB" w:rsidP="006F2FFB">
            <w:pPr>
              <w:jc w:val="right"/>
              <w:rPr>
                <w:sz w:val="22"/>
                <w:szCs w:val="22"/>
              </w:rPr>
            </w:pPr>
            <w:r>
              <w:rPr>
                <w:rFonts w:cs="Calibri"/>
                <w:color w:val="000000"/>
                <w:sz w:val="22"/>
                <w:szCs w:val="22"/>
              </w:rPr>
              <w:t>0</w:t>
            </w:r>
          </w:p>
        </w:tc>
        <w:tc>
          <w:tcPr>
            <w:tcW w:w="1417" w:type="dxa"/>
          </w:tcPr>
          <w:p w14:paraId="7A9BF481" w14:textId="505749CD" w:rsidR="006F2FFB" w:rsidRPr="006F2FFB" w:rsidRDefault="006F2FFB" w:rsidP="006F2FFB">
            <w:pPr>
              <w:jc w:val="right"/>
              <w:rPr>
                <w:sz w:val="22"/>
                <w:szCs w:val="22"/>
              </w:rPr>
            </w:pPr>
            <w:r>
              <w:rPr>
                <w:rFonts w:cs="Calibri"/>
                <w:color w:val="000000"/>
                <w:sz w:val="22"/>
                <w:szCs w:val="22"/>
              </w:rPr>
              <w:t>0.0%</w:t>
            </w:r>
          </w:p>
        </w:tc>
      </w:tr>
      <w:tr w:rsidR="006F2FFB" w:rsidRPr="006F2FFB" w14:paraId="4F456943" w14:textId="77777777" w:rsidTr="00C52262">
        <w:trPr>
          <w:jc w:val="center"/>
        </w:trPr>
        <w:tc>
          <w:tcPr>
            <w:tcW w:w="2278" w:type="dxa"/>
          </w:tcPr>
          <w:p w14:paraId="40593F1A" w14:textId="74F75816" w:rsidR="006F2FFB" w:rsidRPr="006F2FFB" w:rsidRDefault="006F2FFB" w:rsidP="006F2FFB">
            <w:pPr>
              <w:rPr>
                <w:sz w:val="22"/>
                <w:szCs w:val="22"/>
              </w:rPr>
            </w:pPr>
            <w:r w:rsidRPr="006F2FFB">
              <w:rPr>
                <w:rFonts w:cs="Calibri"/>
                <w:color w:val="000000"/>
                <w:sz w:val="22"/>
                <w:szCs w:val="22"/>
              </w:rPr>
              <w:t>Ervia/Gas Networks Ireland</w:t>
            </w:r>
          </w:p>
        </w:tc>
        <w:tc>
          <w:tcPr>
            <w:tcW w:w="1559" w:type="dxa"/>
          </w:tcPr>
          <w:p w14:paraId="3AD69E50" w14:textId="72B91AA8" w:rsidR="006F2FFB" w:rsidRPr="006F2FFB" w:rsidRDefault="006F2FFB" w:rsidP="006F2FFB">
            <w:pPr>
              <w:jc w:val="right"/>
              <w:rPr>
                <w:sz w:val="22"/>
                <w:szCs w:val="22"/>
              </w:rPr>
            </w:pPr>
            <w:r w:rsidRPr="006F2FFB">
              <w:rPr>
                <w:rFonts w:cs="Calibri"/>
                <w:color w:val="000000"/>
                <w:sz w:val="22"/>
                <w:szCs w:val="22"/>
              </w:rPr>
              <w:t>708</w:t>
            </w:r>
          </w:p>
        </w:tc>
        <w:tc>
          <w:tcPr>
            <w:tcW w:w="1560" w:type="dxa"/>
          </w:tcPr>
          <w:p w14:paraId="5684430B" w14:textId="439F98C0" w:rsidR="006F2FFB" w:rsidRPr="006F2FFB" w:rsidRDefault="006F2FFB" w:rsidP="006F2FFB">
            <w:pPr>
              <w:jc w:val="right"/>
              <w:rPr>
                <w:sz w:val="22"/>
                <w:szCs w:val="22"/>
              </w:rPr>
            </w:pPr>
            <w:r w:rsidRPr="006F2FFB">
              <w:rPr>
                <w:rFonts w:cs="Calibri"/>
                <w:color w:val="000000"/>
                <w:sz w:val="22"/>
                <w:szCs w:val="22"/>
              </w:rPr>
              <w:t>33</w:t>
            </w:r>
          </w:p>
        </w:tc>
        <w:tc>
          <w:tcPr>
            <w:tcW w:w="1417" w:type="dxa"/>
          </w:tcPr>
          <w:p w14:paraId="2B0CF0FD" w14:textId="7C4297ED" w:rsidR="006F2FFB" w:rsidRPr="006F2FFB" w:rsidRDefault="006F2FFB" w:rsidP="006F2FFB">
            <w:pPr>
              <w:jc w:val="right"/>
              <w:rPr>
                <w:sz w:val="22"/>
                <w:szCs w:val="22"/>
              </w:rPr>
            </w:pPr>
            <w:r w:rsidRPr="006F2FFB">
              <w:rPr>
                <w:rFonts w:cs="Calibri"/>
                <w:color w:val="000000"/>
                <w:sz w:val="22"/>
                <w:szCs w:val="22"/>
              </w:rPr>
              <w:t>4.7%</w:t>
            </w:r>
          </w:p>
        </w:tc>
        <w:tc>
          <w:tcPr>
            <w:tcW w:w="1418" w:type="dxa"/>
          </w:tcPr>
          <w:p w14:paraId="2A85D448" w14:textId="75D458E1" w:rsidR="006F2FFB" w:rsidRPr="006F2FFB" w:rsidRDefault="006F2FFB" w:rsidP="006F2FFB">
            <w:pPr>
              <w:jc w:val="right"/>
              <w:rPr>
                <w:sz w:val="22"/>
                <w:szCs w:val="22"/>
              </w:rPr>
            </w:pPr>
            <w:r>
              <w:rPr>
                <w:rFonts w:cs="Calibri"/>
                <w:color w:val="000000"/>
                <w:sz w:val="22"/>
                <w:szCs w:val="22"/>
              </w:rPr>
              <w:t>726</w:t>
            </w:r>
          </w:p>
        </w:tc>
        <w:tc>
          <w:tcPr>
            <w:tcW w:w="1559" w:type="dxa"/>
          </w:tcPr>
          <w:p w14:paraId="6B2D94BD" w14:textId="613FD4CB" w:rsidR="006F2FFB" w:rsidRPr="006F2FFB" w:rsidRDefault="006F2FFB" w:rsidP="006F2FFB">
            <w:pPr>
              <w:jc w:val="right"/>
              <w:rPr>
                <w:sz w:val="22"/>
                <w:szCs w:val="22"/>
              </w:rPr>
            </w:pPr>
            <w:r>
              <w:rPr>
                <w:rFonts w:cs="Calibri"/>
                <w:color w:val="000000"/>
                <w:sz w:val="22"/>
                <w:szCs w:val="22"/>
              </w:rPr>
              <w:t>35</w:t>
            </w:r>
          </w:p>
        </w:tc>
        <w:tc>
          <w:tcPr>
            <w:tcW w:w="1417" w:type="dxa"/>
          </w:tcPr>
          <w:p w14:paraId="4EAFF48B" w14:textId="3FB72D0B" w:rsidR="006F2FFB" w:rsidRPr="006F2FFB" w:rsidRDefault="006F2FFB" w:rsidP="006F2FFB">
            <w:pPr>
              <w:jc w:val="right"/>
              <w:rPr>
                <w:sz w:val="22"/>
                <w:szCs w:val="22"/>
              </w:rPr>
            </w:pPr>
            <w:r>
              <w:rPr>
                <w:rFonts w:cs="Calibri"/>
                <w:color w:val="000000"/>
                <w:sz w:val="22"/>
                <w:szCs w:val="22"/>
              </w:rPr>
              <w:t>4.8%</w:t>
            </w:r>
          </w:p>
        </w:tc>
      </w:tr>
      <w:tr w:rsidR="006F2FFB" w:rsidRPr="006F2FFB" w14:paraId="58099D19" w14:textId="77777777" w:rsidTr="00C52262">
        <w:trPr>
          <w:jc w:val="center"/>
        </w:trPr>
        <w:tc>
          <w:tcPr>
            <w:tcW w:w="2278" w:type="dxa"/>
          </w:tcPr>
          <w:p w14:paraId="5E4756DD" w14:textId="4FFB2EB0" w:rsidR="006F2FFB" w:rsidRPr="006F2FFB" w:rsidRDefault="006F2FFB" w:rsidP="006F2FFB">
            <w:pPr>
              <w:rPr>
                <w:sz w:val="22"/>
                <w:szCs w:val="22"/>
              </w:rPr>
            </w:pPr>
            <w:r w:rsidRPr="006F2FFB">
              <w:rPr>
                <w:rFonts w:cs="Calibri"/>
                <w:color w:val="000000"/>
                <w:sz w:val="22"/>
                <w:szCs w:val="22"/>
              </w:rPr>
              <w:t>Fingal County Council</w:t>
            </w:r>
          </w:p>
        </w:tc>
        <w:tc>
          <w:tcPr>
            <w:tcW w:w="1559" w:type="dxa"/>
          </w:tcPr>
          <w:p w14:paraId="71DC4F86" w14:textId="125BBB6A" w:rsidR="006F2FFB" w:rsidRPr="006F2FFB" w:rsidRDefault="006F2FFB" w:rsidP="006F2FFB">
            <w:pPr>
              <w:jc w:val="right"/>
              <w:rPr>
                <w:sz w:val="22"/>
                <w:szCs w:val="22"/>
              </w:rPr>
            </w:pPr>
            <w:r w:rsidRPr="006F2FFB">
              <w:rPr>
                <w:rFonts w:cs="Calibri"/>
                <w:color w:val="000000"/>
                <w:sz w:val="22"/>
                <w:szCs w:val="22"/>
              </w:rPr>
              <w:t>1,487</w:t>
            </w:r>
          </w:p>
        </w:tc>
        <w:tc>
          <w:tcPr>
            <w:tcW w:w="1560" w:type="dxa"/>
          </w:tcPr>
          <w:p w14:paraId="2BE3AF75" w14:textId="5C85152C" w:rsidR="006F2FFB" w:rsidRPr="006F2FFB" w:rsidRDefault="006F2FFB" w:rsidP="006F2FFB">
            <w:pPr>
              <w:jc w:val="right"/>
              <w:rPr>
                <w:sz w:val="22"/>
                <w:szCs w:val="22"/>
              </w:rPr>
            </w:pPr>
            <w:r w:rsidRPr="006F2FFB">
              <w:rPr>
                <w:rFonts w:cs="Calibri"/>
                <w:color w:val="000000"/>
                <w:sz w:val="22"/>
                <w:szCs w:val="22"/>
              </w:rPr>
              <w:t>45</w:t>
            </w:r>
          </w:p>
        </w:tc>
        <w:tc>
          <w:tcPr>
            <w:tcW w:w="1417" w:type="dxa"/>
          </w:tcPr>
          <w:p w14:paraId="58CEE502" w14:textId="65F243F3" w:rsidR="006F2FFB" w:rsidRPr="006F2FFB" w:rsidRDefault="006F2FFB" w:rsidP="006F2FFB">
            <w:pPr>
              <w:jc w:val="right"/>
              <w:rPr>
                <w:sz w:val="22"/>
                <w:szCs w:val="22"/>
              </w:rPr>
            </w:pPr>
            <w:r w:rsidRPr="006F2FFB">
              <w:rPr>
                <w:rFonts w:cs="Calibri"/>
                <w:color w:val="000000"/>
                <w:sz w:val="22"/>
                <w:szCs w:val="22"/>
              </w:rPr>
              <w:t>3.0%</w:t>
            </w:r>
          </w:p>
        </w:tc>
        <w:tc>
          <w:tcPr>
            <w:tcW w:w="1418" w:type="dxa"/>
          </w:tcPr>
          <w:p w14:paraId="14345ED6" w14:textId="6E629F87" w:rsidR="006F2FFB" w:rsidRPr="006F2FFB" w:rsidRDefault="006F2FFB" w:rsidP="006F2FFB">
            <w:pPr>
              <w:jc w:val="right"/>
              <w:rPr>
                <w:sz w:val="22"/>
                <w:szCs w:val="22"/>
              </w:rPr>
            </w:pPr>
            <w:r>
              <w:rPr>
                <w:rFonts w:cs="Calibri"/>
                <w:color w:val="000000"/>
                <w:sz w:val="22"/>
                <w:szCs w:val="22"/>
              </w:rPr>
              <w:t>1580</w:t>
            </w:r>
          </w:p>
        </w:tc>
        <w:tc>
          <w:tcPr>
            <w:tcW w:w="1559" w:type="dxa"/>
          </w:tcPr>
          <w:p w14:paraId="3826FACE" w14:textId="68D359B1" w:rsidR="006F2FFB" w:rsidRPr="006F2FFB" w:rsidRDefault="006F2FFB" w:rsidP="006F2FFB">
            <w:pPr>
              <w:jc w:val="right"/>
              <w:rPr>
                <w:sz w:val="22"/>
                <w:szCs w:val="22"/>
              </w:rPr>
            </w:pPr>
            <w:r>
              <w:rPr>
                <w:rFonts w:cs="Calibri"/>
                <w:color w:val="000000"/>
                <w:sz w:val="22"/>
                <w:szCs w:val="22"/>
              </w:rPr>
              <w:t>48</w:t>
            </w:r>
          </w:p>
        </w:tc>
        <w:tc>
          <w:tcPr>
            <w:tcW w:w="1417" w:type="dxa"/>
          </w:tcPr>
          <w:p w14:paraId="4A707A1E" w14:textId="7147C43A" w:rsidR="006F2FFB" w:rsidRPr="006F2FFB" w:rsidRDefault="006F2FFB" w:rsidP="006F2FFB">
            <w:pPr>
              <w:jc w:val="right"/>
              <w:rPr>
                <w:sz w:val="22"/>
                <w:szCs w:val="22"/>
              </w:rPr>
            </w:pPr>
            <w:r>
              <w:rPr>
                <w:rFonts w:cs="Calibri"/>
                <w:color w:val="000000"/>
                <w:sz w:val="22"/>
                <w:szCs w:val="22"/>
              </w:rPr>
              <w:t>3.0%</w:t>
            </w:r>
          </w:p>
        </w:tc>
      </w:tr>
      <w:tr w:rsidR="006F2FFB" w:rsidRPr="006F2FFB" w14:paraId="4CC3D455" w14:textId="77777777" w:rsidTr="00C52262">
        <w:trPr>
          <w:jc w:val="center"/>
        </w:trPr>
        <w:tc>
          <w:tcPr>
            <w:tcW w:w="2278" w:type="dxa"/>
          </w:tcPr>
          <w:p w14:paraId="73400DA1" w14:textId="723B08F3" w:rsidR="006F2FFB" w:rsidRPr="006F2FFB" w:rsidRDefault="006F2FFB" w:rsidP="006F2FFB">
            <w:pPr>
              <w:rPr>
                <w:sz w:val="22"/>
                <w:szCs w:val="22"/>
              </w:rPr>
            </w:pPr>
            <w:r w:rsidRPr="006F2FFB">
              <w:rPr>
                <w:rFonts w:cs="Calibri"/>
                <w:color w:val="000000"/>
                <w:sz w:val="22"/>
                <w:szCs w:val="22"/>
              </w:rPr>
              <w:t>Galway City Council</w:t>
            </w:r>
          </w:p>
        </w:tc>
        <w:tc>
          <w:tcPr>
            <w:tcW w:w="1559" w:type="dxa"/>
          </w:tcPr>
          <w:p w14:paraId="7B57DC62" w14:textId="321284AC" w:rsidR="006F2FFB" w:rsidRPr="006F2FFB" w:rsidRDefault="006F2FFB" w:rsidP="006F2FFB">
            <w:pPr>
              <w:jc w:val="right"/>
              <w:rPr>
                <w:sz w:val="22"/>
                <w:szCs w:val="22"/>
              </w:rPr>
            </w:pPr>
            <w:r w:rsidRPr="006F2FFB">
              <w:rPr>
                <w:rFonts w:cs="Calibri"/>
                <w:color w:val="000000"/>
                <w:sz w:val="22"/>
                <w:szCs w:val="22"/>
              </w:rPr>
              <w:t>554</w:t>
            </w:r>
          </w:p>
        </w:tc>
        <w:tc>
          <w:tcPr>
            <w:tcW w:w="1560" w:type="dxa"/>
          </w:tcPr>
          <w:p w14:paraId="74AEA864" w14:textId="29D3DD5D" w:rsidR="006F2FFB" w:rsidRPr="006F2FFB" w:rsidRDefault="006F2FFB" w:rsidP="006F2FFB">
            <w:pPr>
              <w:jc w:val="right"/>
              <w:rPr>
                <w:sz w:val="22"/>
                <w:szCs w:val="22"/>
              </w:rPr>
            </w:pPr>
            <w:r w:rsidRPr="006F2FFB">
              <w:rPr>
                <w:rFonts w:cs="Calibri"/>
                <w:color w:val="000000"/>
                <w:sz w:val="22"/>
                <w:szCs w:val="22"/>
              </w:rPr>
              <w:t>28</w:t>
            </w:r>
          </w:p>
        </w:tc>
        <w:tc>
          <w:tcPr>
            <w:tcW w:w="1417" w:type="dxa"/>
          </w:tcPr>
          <w:p w14:paraId="6B7EE9DB" w14:textId="0F90F452" w:rsidR="006F2FFB" w:rsidRPr="006F2FFB" w:rsidRDefault="006F2FFB" w:rsidP="006F2FFB">
            <w:pPr>
              <w:jc w:val="right"/>
              <w:rPr>
                <w:sz w:val="22"/>
                <w:szCs w:val="22"/>
              </w:rPr>
            </w:pPr>
            <w:r w:rsidRPr="006F2FFB">
              <w:rPr>
                <w:rFonts w:cs="Calibri"/>
                <w:color w:val="000000"/>
                <w:sz w:val="22"/>
                <w:szCs w:val="22"/>
              </w:rPr>
              <w:t>5.1%</w:t>
            </w:r>
          </w:p>
        </w:tc>
        <w:tc>
          <w:tcPr>
            <w:tcW w:w="1418" w:type="dxa"/>
          </w:tcPr>
          <w:p w14:paraId="7EDE5531" w14:textId="588EFE8B" w:rsidR="006F2FFB" w:rsidRPr="006F2FFB" w:rsidRDefault="006F2FFB" w:rsidP="006F2FFB">
            <w:pPr>
              <w:jc w:val="right"/>
              <w:rPr>
                <w:sz w:val="22"/>
                <w:szCs w:val="22"/>
              </w:rPr>
            </w:pPr>
            <w:r>
              <w:rPr>
                <w:rFonts w:cs="Calibri"/>
                <w:color w:val="000000"/>
                <w:sz w:val="22"/>
                <w:szCs w:val="22"/>
              </w:rPr>
              <w:t>553</w:t>
            </w:r>
          </w:p>
        </w:tc>
        <w:tc>
          <w:tcPr>
            <w:tcW w:w="1559" w:type="dxa"/>
          </w:tcPr>
          <w:p w14:paraId="32772287" w14:textId="0F24D55D" w:rsidR="006F2FFB" w:rsidRPr="006F2FFB" w:rsidRDefault="006F2FFB" w:rsidP="006F2FFB">
            <w:pPr>
              <w:jc w:val="right"/>
              <w:rPr>
                <w:sz w:val="22"/>
                <w:szCs w:val="22"/>
              </w:rPr>
            </w:pPr>
            <w:r>
              <w:rPr>
                <w:rFonts w:cs="Calibri"/>
                <w:color w:val="000000"/>
                <w:sz w:val="22"/>
                <w:szCs w:val="22"/>
              </w:rPr>
              <w:t>17</w:t>
            </w:r>
          </w:p>
        </w:tc>
        <w:tc>
          <w:tcPr>
            <w:tcW w:w="1417" w:type="dxa"/>
          </w:tcPr>
          <w:p w14:paraId="1F7453E9" w14:textId="693FDEFA" w:rsidR="006F2FFB" w:rsidRPr="006F2FFB" w:rsidRDefault="006F2FFB" w:rsidP="006F2FFB">
            <w:pPr>
              <w:jc w:val="right"/>
              <w:rPr>
                <w:sz w:val="22"/>
                <w:szCs w:val="22"/>
              </w:rPr>
            </w:pPr>
            <w:r>
              <w:rPr>
                <w:rFonts w:cs="Calibri"/>
                <w:color w:val="000000"/>
                <w:sz w:val="22"/>
                <w:szCs w:val="22"/>
              </w:rPr>
              <w:t>3.1%</w:t>
            </w:r>
          </w:p>
        </w:tc>
      </w:tr>
      <w:tr w:rsidR="006F2FFB" w:rsidRPr="006F2FFB" w14:paraId="09695495" w14:textId="77777777" w:rsidTr="00C52262">
        <w:trPr>
          <w:jc w:val="center"/>
        </w:trPr>
        <w:tc>
          <w:tcPr>
            <w:tcW w:w="2278" w:type="dxa"/>
          </w:tcPr>
          <w:p w14:paraId="167394FF" w14:textId="5DD34B83" w:rsidR="006F2FFB" w:rsidRPr="006F2FFB" w:rsidRDefault="006F2FFB" w:rsidP="006F2FFB">
            <w:pPr>
              <w:rPr>
                <w:b/>
                <w:sz w:val="22"/>
                <w:szCs w:val="22"/>
              </w:rPr>
            </w:pPr>
            <w:r w:rsidRPr="006F2FFB">
              <w:rPr>
                <w:rFonts w:cs="Calibri"/>
                <w:color w:val="000000"/>
                <w:sz w:val="22"/>
                <w:szCs w:val="22"/>
              </w:rPr>
              <w:t>Galway County Council</w:t>
            </w:r>
          </w:p>
        </w:tc>
        <w:tc>
          <w:tcPr>
            <w:tcW w:w="1559" w:type="dxa"/>
          </w:tcPr>
          <w:p w14:paraId="6B27C33D" w14:textId="73A0A8DF" w:rsidR="006F2FFB" w:rsidRPr="00514589" w:rsidRDefault="006F2FFB" w:rsidP="006F2FFB">
            <w:pPr>
              <w:pStyle w:val="TableHead"/>
              <w:jc w:val="right"/>
              <w:rPr>
                <w:b w:val="0"/>
                <w:bCs/>
                <w:sz w:val="22"/>
                <w:szCs w:val="22"/>
              </w:rPr>
            </w:pPr>
            <w:r w:rsidRPr="00514589">
              <w:rPr>
                <w:rFonts w:cs="Calibri"/>
                <w:b w:val="0"/>
                <w:bCs/>
                <w:color w:val="000000"/>
                <w:sz w:val="22"/>
                <w:szCs w:val="22"/>
              </w:rPr>
              <w:t>845</w:t>
            </w:r>
          </w:p>
        </w:tc>
        <w:tc>
          <w:tcPr>
            <w:tcW w:w="1560" w:type="dxa"/>
          </w:tcPr>
          <w:p w14:paraId="6F79FBBC" w14:textId="17F5054A" w:rsidR="006F2FFB" w:rsidRPr="00514589" w:rsidRDefault="006F2FFB" w:rsidP="006F2FFB">
            <w:pPr>
              <w:pStyle w:val="TableHead"/>
              <w:jc w:val="right"/>
              <w:rPr>
                <w:b w:val="0"/>
                <w:bCs/>
                <w:sz w:val="22"/>
                <w:szCs w:val="22"/>
              </w:rPr>
            </w:pPr>
            <w:r w:rsidRPr="00514589">
              <w:rPr>
                <w:rFonts w:cs="Calibri"/>
                <w:b w:val="0"/>
                <w:bCs/>
                <w:color w:val="000000"/>
                <w:sz w:val="22"/>
                <w:szCs w:val="22"/>
              </w:rPr>
              <w:t>29</w:t>
            </w:r>
          </w:p>
        </w:tc>
        <w:tc>
          <w:tcPr>
            <w:tcW w:w="1417" w:type="dxa"/>
          </w:tcPr>
          <w:p w14:paraId="35BB4FD0" w14:textId="68E6F470" w:rsidR="006F2FFB" w:rsidRPr="00514589" w:rsidRDefault="006F2FFB" w:rsidP="006F2FFB">
            <w:pPr>
              <w:pStyle w:val="TableHead"/>
              <w:jc w:val="right"/>
              <w:rPr>
                <w:b w:val="0"/>
                <w:bCs/>
                <w:sz w:val="22"/>
                <w:szCs w:val="22"/>
              </w:rPr>
            </w:pPr>
            <w:r w:rsidRPr="00514589">
              <w:rPr>
                <w:rFonts w:cs="Calibri"/>
                <w:b w:val="0"/>
                <w:bCs/>
                <w:color w:val="000000"/>
                <w:sz w:val="22"/>
                <w:szCs w:val="22"/>
              </w:rPr>
              <w:t>3.4%</w:t>
            </w:r>
          </w:p>
        </w:tc>
        <w:tc>
          <w:tcPr>
            <w:tcW w:w="1418" w:type="dxa"/>
          </w:tcPr>
          <w:p w14:paraId="6DF1A36B" w14:textId="00C8081F" w:rsidR="006F2FFB" w:rsidRPr="006F2FFB" w:rsidRDefault="006F2FFB" w:rsidP="006F2FFB">
            <w:pPr>
              <w:jc w:val="right"/>
              <w:rPr>
                <w:sz w:val="22"/>
                <w:szCs w:val="22"/>
              </w:rPr>
            </w:pPr>
            <w:r>
              <w:rPr>
                <w:rFonts w:cs="Calibri"/>
                <w:color w:val="000000"/>
                <w:sz w:val="22"/>
                <w:szCs w:val="22"/>
              </w:rPr>
              <w:t>857</w:t>
            </w:r>
          </w:p>
        </w:tc>
        <w:tc>
          <w:tcPr>
            <w:tcW w:w="1559" w:type="dxa"/>
          </w:tcPr>
          <w:p w14:paraId="6A173D4C" w14:textId="131A0025" w:rsidR="006F2FFB" w:rsidRPr="006F2FFB" w:rsidRDefault="006F2FFB" w:rsidP="006F2FFB">
            <w:pPr>
              <w:jc w:val="right"/>
              <w:rPr>
                <w:sz w:val="22"/>
                <w:szCs w:val="22"/>
              </w:rPr>
            </w:pPr>
            <w:r>
              <w:rPr>
                <w:rFonts w:cs="Calibri"/>
                <w:color w:val="000000"/>
                <w:sz w:val="22"/>
                <w:szCs w:val="22"/>
              </w:rPr>
              <w:t>30</w:t>
            </w:r>
          </w:p>
        </w:tc>
        <w:tc>
          <w:tcPr>
            <w:tcW w:w="1417" w:type="dxa"/>
          </w:tcPr>
          <w:p w14:paraId="18978F83" w14:textId="525A0B0A" w:rsidR="006F2FFB" w:rsidRPr="006F2FFB" w:rsidRDefault="006F2FFB" w:rsidP="006F2FFB">
            <w:pPr>
              <w:jc w:val="right"/>
              <w:rPr>
                <w:sz w:val="22"/>
                <w:szCs w:val="22"/>
              </w:rPr>
            </w:pPr>
            <w:r>
              <w:rPr>
                <w:rFonts w:cs="Calibri"/>
                <w:color w:val="000000"/>
                <w:sz w:val="22"/>
                <w:szCs w:val="22"/>
              </w:rPr>
              <w:t>3.5%</w:t>
            </w:r>
          </w:p>
        </w:tc>
      </w:tr>
      <w:tr w:rsidR="006F2FFB" w:rsidRPr="006F2FFB" w14:paraId="42B92880" w14:textId="77777777" w:rsidTr="00C52262">
        <w:trPr>
          <w:jc w:val="center"/>
        </w:trPr>
        <w:tc>
          <w:tcPr>
            <w:tcW w:w="2278" w:type="dxa"/>
          </w:tcPr>
          <w:p w14:paraId="7D606E79" w14:textId="0E04B689" w:rsidR="006F2FFB" w:rsidRPr="006F2FFB" w:rsidRDefault="006F2FFB" w:rsidP="006F2FFB">
            <w:pPr>
              <w:rPr>
                <w:sz w:val="22"/>
                <w:szCs w:val="22"/>
              </w:rPr>
            </w:pPr>
            <w:r w:rsidRPr="006F2FFB">
              <w:rPr>
                <w:rFonts w:cs="Calibri"/>
                <w:color w:val="000000"/>
                <w:sz w:val="22"/>
                <w:szCs w:val="22"/>
              </w:rPr>
              <w:t>Heritage Council</w:t>
            </w:r>
          </w:p>
        </w:tc>
        <w:tc>
          <w:tcPr>
            <w:tcW w:w="1559" w:type="dxa"/>
          </w:tcPr>
          <w:p w14:paraId="777B044D" w14:textId="49C3142D" w:rsidR="006F2FFB" w:rsidRPr="006F2FFB" w:rsidRDefault="006F2FFB" w:rsidP="006F2FFB">
            <w:pPr>
              <w:jc w:val="right"/>
              <w:rPr>
                <w:sz w:val="22"/>
                <w:szCs w:val="22"/>
              </w:rPr>
            </w:pPr>
            <w:r w:rsidRPr="006F2FFB">
              <w:rPr>
                <w:rFonts w:cs="Calibri"/>
                <w:color w:val="000000"/>
                <w:sz w:val="22"/>
                <w:szCs w:val="22"/>
              </w:rPr>
              <w:t>19</w:t>
            </w:r>
          </w:p>
        </w:tc>
        <w:tc>
          <w:tcPr>
            <w:tcW w:w="1560" w:type="dxa"/>
          </w:tcPr>
          <w:p w14:paraId="4560F0FD" w14:textId="358E70AA" w:rsidR="006F2FFB" w:rsidRPr="006F2FFB" w:rsidRDefault="006F2FFB" w:rsidP="006F2FFB">
            <w:pPr>
              <w:jc w:val="right"/>
              <w:rPr>
                <w:sz w:val="22"/>
                <w:szCs w:val="22"/>
              </w:rPr>
            </w:pPr>
            <w:r w:rsidRPr="006F2FFB">
              <w:rPr>
                <w:rFonts w:cs="Calibri"/>
                <w:color w:val="000000"/>
                <w:sz w:val="22"/>
                <w:szCs w:val="22"/>
              </w:rPr>
              <w:t>0</w:t>
            </w:r>
          </w:p>
        </w:tc>
        <w:tc>
          <w:tcPr>
            <w:tcW w:w="1417" w:type="dxa"/>
          </w:tcPr>
          <w:p w14:paraId="3309ECDB" w14:textId="69C0461A" w:rsidR="006F2FFB" w:rsidRPr="006F2FFB" w:rsidRDefault="006F2FFB" w:rsidP="006F2FFB">
            <w:pPr>
              <w:jc w:val="right"/>
              <w:rPr>
                <w:sz w:val="22"/>
                <w:szCs w:val="22"/>
              </w:rPr>
            </w:pPr>
            <w:r w:rsidRPr="006F2FFB">
              <w:rPr>
                <w:rFonts w:cs="Calibri"/>
                <w:color w:val="000000"/>
                <w:sz w:val="22"/>
                <w:szCs w:val="22"/>
              </w:rPr>
              <w:t>0.0%</w:t>
            </w:r>
          </w:p>
        </w:tc>
        <w:tc>
          <w:tcPr>
            <w:tcW w:w="1418" w:type="dxa"/>
          </w:tcPr>
          <w:p w14:paraId="1ED06A52" w14:textId="14EC36C6" w:rsidR="006F2FFB" w:rsidRPr="006F2FFB" w:rsidRDefault="006F2FFB" w:rsidP="006F2FFB">
            <w:pPr>
              <w:jc w:val="right"/>
              <w:rPr>
                <w:sz w:val="22"/>
                <w:szCs w:val="22"/>
              </w:rPr>
            </w:pPr>
            <w:r>
              <w:rPr>
                <w:rFonts w:cs="Calibri"/>
                <w:color w:val="000000"/>
                <w:sz w:val="22"/>
                <w:szCs w:val="22"/>
              </w:rPr>
              <w:t>25</w:t>
            </w:r>
          </w:p>
        </w:tc>
        <w:tc>
          <w:tcPr>
            <w:tcW w:w="1559" w:type="dxa"/>
          </w:tcPr>
          <w:p w14:paraId="3C8BA0AF" w14:textId="6784371F" w:rsidR="006F2FFB" w:rsidRPr="006F2FFB" w:rsidRDefault="006F2FFB" w:rsidP="006F2FFB">
            <w:pPr>
              <w:jc w:val="right"/>
              <w:rPr>
                <w:sz w:val="22"/>
                <w:szCs w:val="22"/>
              </w:rPr>
            </w:pPr>
            <w:r>
              <w:rPr>
                <w:rFonts w:cs="Calibri"/>
                <w:color w:val="000000"/>
                <w:sz w:val="22"/>
                <w:szCs w:val="22"/>
              </w:rPr>
              <w:t>1</w:t>
            </w:r>
          </w:p>
        </w:tc>
        <w:tc>
          <w:tcPr>
            <w:tcW w:w="1417" w:type="dxa"/>
          </w:tcPr>
          <w:p w14:paraId="53A02BB2" w14:textId="63665FE3" w:rsidR="006F2FFB" w:rsidRPr="006F2FFB" w:rsidRDefault="006F2FFB" w:rsidP="006F2FFB">
            <w:pPr>
              <w:jc w:val="right"/>
              <w:rPr>
                <w:sz w:val="22"/>
                <w:szCs w:val="22"/>
              </w:rPr>
            </w:pPr>
            <w:r>
              <w:rPr>
                <w:rFonts w:cs="Calibri"/>
                <w:color w:val="000000"/>
                <w:sz w:val="22"/>
                <w:szCs w:val="22"/>
              </w:rPr>
              <w:t>4.0%</w:t>
            </w:r>
          </w:p>
        </w:tc>
      </w:tr>
      <w:tr w:rsidR="006F2FFB" w:rsidRPr="006F2FFB" w14:paraId="40D7DB44" w14:textId="77777777" w:rsidTr="00C52262">
        <w:trPr>
          <w:jc w:val="center"/>
        </w:trPr>
        <w:tc>
          <w:tcPr>
            <w:tcW w:w="2278" w:type="dxa"/>
          </w:tcPr>
          <w:p w14:paraId="0B6828DE" w14:textId="65DB665B" w:rsidR="006F2FFB" w:rsidRPr="006F2FFB" w:rsidRDefault="006F2FFB" w:rsidP="006F2FFB">
            <w:pPr>
              <w:rPr>
                <w:sz w:val="22"/>
                <w:szCs w:val="22"/>
              </w:rPr>
            </w:pPr>
            <w:r w:rsidRPr="006F2FFB">
              <w:rPr>
                <w:rFonts w:cs="Calibri"/>
                <w:color w:val="000000"/>
                <w:sz w:val="22"/>
                <w:szCs w:val="22"/>
              </w:rPr>
              <w:lastRenderedPageBreak/>
              <w:t>Housing &amp; Sustainable Communities Agency</w:t>
            </w:r>
          </w:p>
        </w:tc>
        <w:tc>
          <w:tcPr>
            <w:tcW w:w="1559" w:type="dxa"/>
          </w:tcPr>
          <w:p w14:paraId="35F48286" w14:textId="2664EA91" w:rsidR="006F2FFB" w:rsidRPr="006F2FFB" w:rsidRDefault="006F2FFB" w:rsidP="006F2FFB">
            <w:pPr>
              <w:jc w:val="right"/>
              <w:rPr>
                <w:sz w:val="22"/>
                <w:szCs w:val="22"/>
              </w:rPr>
            </w:pPr>
            <w:r w:rsidRPr="006F2FFB">
              <w:rPr>
                <w:rFonts w:cs="Calibri"/>
                <w:color w:val="000000"/>
                <w:sz w:val="22"/>
                <w:szCs w:val="22"/>
              </w:rPr>
              <w:t>113</w:t>
            </w:r>
          </w:p>
        </w:tc>
        <w:tc>
          <w:tcPr>
            <w:tcW w:w="1560" w:type="dxa"/>
          </w:tcPr>
          <w:p w14:paraId="0040192A" w14:textId="5255F244" w:rsidR="006F2FFB" w:rsidRPr="006F2FFB" w:rsidRDefault="006F2FFB" w:rsidP="006F2FFB">
            <w:pPr>
              <w:jc w:val="right"/>
              <w:rPr>
                <w:sz w:val="22"/>
                <w:szCs w:val="22"/>
              </w:rPr>
            </w:pPr>
            <w:r w:rsidRPr="006F2FFB">
              <w:rPr>
                <w:rFonts w:cs="Calibri"/>
                <w:color w:val="000000"/>
                <w:sz w:val="22"/>
                <w:szCs w:val="22"/>
              </w:rPr>
              <w:t>7</w:t>
            </w:r>
          </w:p>
        </w:tc>
        <w:tc>
          <w:tcPr>
            <w:tcW w:w="1417" w:type="dxa"/>
          </w:tcPr>
          <w:p w14:paraId="36120280" w14:textId="05CDC26A" w:rsidR="006F2FFB" w:rsidRPr="006F2FFB" w:rsidRDefault="006F2FFB" w:rsidP="006F2FFB">
            <w:pPr>
              <w:jc w:val="right"/>
              <w:rPr>
                <w:sz w:val="22"/>
                <w:szCs w:val="22"/>
              </w:rPr>
            </w:pPr>
            <w:r w:rsidRPr="006F2FFB">
              <w:rPr>
                <w:rFonts w:cs="Calibri"/>
                <w:color w:val="000000"/>
                <w:sz w:val="22"/>
                <w:szCs w:val="22"/>
              </w:rPr>
              <w:t>6.2%</w:t>
            </w:r>
          </w:p>
        </w:tc>
        <w:tc>
          <w:tcPr>
            <w:tcW w:w="1418" w:type="dxa"/>
          </w:tcPr>
          <w:p w14:paraId="6BF6C2B6" w14:textId="44FE1589" w:rsidR="006F2FFB" w:rsidRPr="006F2FFB" w:rsidRDefault="006F2FFB" w:rsidP="006F2FFB">
            <w:pPr>
              <w:jc w:val="right"/>
              <w:rPr>
                <w:sz w:val="22"/>
                <w:szCs w:val="22"/>
              </w:rPr>
            </w:pPr>
            <w:r>
              <w:rPr>
                <w:rFonts w:cs="Calibri"/>
                <w:color w:val="000000"/>
                <w:sz w:val="22"/>
                <w:szCs w:val="22"/>
              </w:rPr>
              <w:t>132</w:t>
            </w:r>
          </w:p>
        </w:tc>
        <w:tc>
          <w:tcPr>
            <w:tcW w:w="1559" w:type="dxa"/>
          </w:tcPr>
          <w:p w14:paraId="7498C304" w14:textId="56439C7E" w:rsidR="006F2FFB" w:rsidRPr="006F2FFB" w:rsidRDefault="006F2FFB" w:rsidP="006F2FFB">
            <w:pPr>
              <w:jc w:val="right"/>
              <w:rPr>
                <w:sz w:val="22"/>
                <w:szCs w:val="22"/>
              </w:rPr>
            </w:pPr>
            <w:r>
              <w:rPr>
                <w:rFonts w:cs="Calibri"/>
                <w:color w:val="000000"/>
                <w:sz w:val="22"/>
                <w:szCs w:val="22"/>
              </w:rPr>
              <w:t>9</w:t>
            </w:r>
          </w:p>
        </w:tc>
        <w:tc>
          <w:tcPr>
            <w:tcW w:w="1417" w:type="dxa"/>
          </w:tcPr>
          <w:p w14:paraId="237E56E2" w14:textId="69797ED3" w:rsidR="006F2FFB" w:rsidRPr="006F2FFB" w:rsidRDefault="006F2FFB" w:rsidP="006F2FFB">
            <w:pPr>
              <w:jc w:val="right"/>
              <w:rPr>
                <w:sz w:val="22"/>
                <w:szCs w:val="22"/>
              </w:rPr>
            </w:pPr>
            <w:r>
              <w:rPr>
                <w:rFonts w:cs="Calibri"/>
                <w:color w:val="000000"/>
                <w:sz w:val="22"/>
                <w:szCs w:val="22"/>
              </w:rPr>
              <w:t>6.8%</w:t>
            </w:r>
          </w:p>
        </w:tc>
      </w:tr>
      <w:tr w:rsidR="006F2FFB" w:rsidRPr="006F2FFB" w14:paraId="6E97307E" w14:textId="77777777" w:rsidTr="00C52262">
        <w:trPr>
          <w:jc w:val="center"/>
        </w:trPr>
        <w:tc>
          <w:tcPr>
            <w:tcW w:w="2278" w:type="dxa"/>
          </w:tcPr>
          <w:p w14:paraId="547DAFC3" w14:textId="2CF2A0EE" w:rsidR="006F2FFB" w:rsidRPr="006F2FFB" w:rsidRDefault="006F2FFB" w:rsidP="006F2FFB">
            <w:pPr>
              <w:rPr>
                <w:sz w:val="22"/>
                <w:szCs w:val="22"/>
              </w:rPr>
            </w:pPr>
            <w:r w:rsidRPr="006F2FFB">
              <w:rPr>
                <w:rFonts w:cs="Calibri"/>
                <w:color w:val="000000"/>
                <w:sz w:val="22"/>
                <w:szCs w:val="22"/>
              </w:rPr>
              <w:t>Housing Finance Agency</w:t>
            </w:r>
          </w:p>
        </w:tc>
        <w:tc>
          <w:tcPr>
            <w:tcW w:w="1559" w:type="dxa"/>
          </w:tcPr>
          <w:p w14:paraId="74CCBDA7" w14:textId="64D9667B" w:rsidR="006F2FFB" w:rsidRPr="006F2FFB" w:rsidRDefault="006F2FFB" w:rsidP="006F2FFB">
            <w:pPr>
              <w:jc w:val="right"/>
              <w:rPr>
                <w:sz w:val="22"/>
                <w:szCs w:val="22"/>
              </w:rPr>
            </w:pPr>
            <w:r w:rsidRPr="006F2FFB">
              <w:rPr>
                <w:rFonts w:cs="Calibri"/>
                <w:color w:val="000000"/>
                <w:sz w:val="22"/>
                <w:szCs w:val="22"/>
              </w:rPr>
              <w:t>15</w:t>
            </w:r>
          </w:p>
        </w:tc>
        <w:tc>
          <w:tcPr>
            <w:tcW w:w="1560" w:type="dxa"/>
          </w:tcPr>
          <w:p w14:paraId="6D94AC7F" w14:textId="63E51C13" w:rsidR="006F2FFB" w:rsidRPr="006F2FFB" w:rsidRDefault="006F2FFB" w:rsidP="006F2FFB">
            <w:pPr>
              <w:jc w:val="right"/>
              <w:rPr>
                <w:sz w:val="22"/>
                <w:szCs w:val="22"/>
              </w:rPr>
            </w:pPr>
            <w:r w:rsidRPr="006F2FFB">
              <w:rPr>
                <w:rFonts w:cs="Calibri"/>
                <w:color w:val="000000"/>
                <w:sz w:val="22"/>
                <w:szCs w:val="22"/>
              </w:rPr>
              <w:t>0</w:t>
            </w:r>
          </w:p>
        </w:tc>
        <w:tc>
          <w:tcPr>
            <w:tcW w:w="1417" w:type="dxa"/>
          </w:tcPr>
          <w:p w14:paraId="7BAA75A6" w14:textId="3D7EC033" w:rsidR="006F2FFB" w:rsidRPr="006F2FFB" w:rsidRDefault="006F2FFB" w:rsidP="006F2FFB">
            <w:pPr>
              <w:jc w:val="right"/>
              <w:rPr>
                <w:sz w:val="22"/>
                <w:szCs w:val="22"/>
              </w:rPr>
            </w:pPr>
            <w:r w:rsidRPr="006F2FFB">
              <w:rPr>
                <w:rFonts w:cs="Calibri"/>
                <w:color w:val="000000"/>
                <w:sz w:val="22"/>
                <w:szCs w:val="22"/>
              </w:rPr>
              <w:t>0.0%</w:t>
            </w:r>
          </w:p>
        </w:tc>
        <w:tc>
          <w:tcPr>
            <w:tcW w:w="1418" w:type="dxa"/>
          </w:tcPr>
          <w:p w14:paraId="557068B3" w14:textId="628CF24F" w:rsidR="006F2FFB" w:rsidRPr="006F2FFB" w:rsidRDefault="006F2FFB" w:rsidP="006F2FFB">
            <w:pPr>
              <w:jc w:val="right"/>
              <w:rPr>
                <w:sz w:val="22"/>
                <w:szCs w:val="22"/>
              </w:rPr>
            </w:pPr>
            <w:r>
              <w:rPr>
                <w:rFonts w:cs="Calibri"/>
                <w:color w:val="000000"/>
                <w:sz w:val="22"/>
                <w:szCs w:val="22"/>
              </w:rPr>
              <w:t>18</w:t>
            </w:r>
          </w:p>
        </w:tc>
        <w:tc>
          <w:tcPr>
            <w:tcW w:w="1559" w:type="dxa"/>
          </w:tcPr>
          <w:p w14:paraId="546D7D8F" w14:textId="7AD76DC1" w:rsidR="006F2FFB" w:rsidRPr="006F2FFB" w:rsidRDefault="006F2FFB" w:rsidP="006F2FFB">
            <w:pPr>
              <w:jc w:val="right"/>
              <w:rPr>
                <w:sz w:val="22"/>
                <w:szCs w:val="22"/>
              </w:rPr>
            </w:pPr>
            <w:r>
              <w:rPr>
                <w:rFonts w:cs="Calibri"/>
                <w:color w:val="000000"/>
                <w:sz w:val="22"/>
                <w:szCs w:val="22"/>
              </w:rPr>
              <w:t>3</w:t>
            </w:r>
          </w:p>
        </w:tc>
        <w:tc>
          <w:tcPr>
            <w:tcW w:w="1417" w:type="dxa"/>
          </w:tcPr>
          <w:p w14:paraId="0776AB52" w14:textId="75034C0D" w:rsidR="006F2FFB" w:rsidRPr="006F2FFB" w:rsidRDefault="006F2FFB" w:rsidP="006F2FFB">
            <w:pPr>
              <w:jc w:val="right"/>
              <w:rPr>
                <w:sz w:val="22"/>
                <w:szCs w:val="22"/>
              </w:rPr>
            </w:pPr>
            <w:r>
              <w:rPr>
                <w:rFonts w:cs="Calibri"/>
                <w:color w:val="000000"/>
                <w:sz w:val="22"/>
                <w:szCs w:val="22"/>
              </w:rPr>
              <w:t>16.7%</w:t>
            </w:r>
          </w:p>
        </w:tc>
      </w:tr>
      <w:tr w:rsidR="006F2FFB" w:rsidRPr="006F2FFB" w14:paraId="31EC9FE3" w14:textId="77777777" w:rsidTr="00C52262">
        <w:trPr>
          <w:jc w:val="center"/>
        </w:trPr>
        <w:tc>
          <w:tcPr>
            <w:tcW w:w="2278" w:type="dxa"/>
          </w:tcPr>
          <w:p w14:paraId="6BD142F6" w14:textId="75470550" w:rsidR="006F2FFB" w:rsidRPr="006F2FFB" w:rsidRDefault="006F2FFB" w:rsidP="006F2FFB">
            <w:pPr>
              <w:rPr>
                <w:sz w:val="22"/>
                <w:szCs w:val="22"/>
              </w:rPr>
            </w:pPr>
            <w:r w:rsidRPr="006F2FFB">
              <w:rPr>
                <w:rFonts w:cs="Calibri"/>
                <w:color w:val="000000"/>
                <w:sz w:val="22"/>
                <w:szCs w:val="22"/>
              </w:rPr>
              <w:t>Kerry County Council</w:t>
            </w:r>
          </w:p>
        </w:tc>
        <w:tc>
          <w:tcPr>
            <w:tcW w:w="1559" w:type="dxa"/>
          </w:tcPr>
          <w:p w14:paraId="5602B759" w14:textId="07E3829D" w:rsidR="006F2FFB" w:rsidRPr="006F2FFB" w:rsidRDefault="006F2FFB" w:rsidP="006F2FFB">
            <w:pPr>
              <w:jc w:val="right"/>
              <w:rPr>
                <w:sz w:val="22"/>
                <w:szCs w:val="22"/>
              </w:rPr>
            </w:pPr>
            <w:r w:rsidRPr="006F2FFB">
              <w:rPr>
                <w:rFonts w:cs="Calibri"/>
                <w:color w:val="000000"/>
                <w:sz w:val="22"/>
                <w:szCs w:val="22"/>
              </w:rPr>
              <w:t>1,497</w:t>
            </w:r>
          </w:p>
        </w:tc>
        <w:tc>
          <w:tcPr>
            <w:tcW w:w="1560" w:type="dxa"/>
          </w:tcPr>
          <w:p w14:paraId="4140C565" w14:textId="7D21E709" w:rsidR="006F2FFB" w:rsidRPr="006F2FFB" w:rsidRDefault="006F2FFB" w:rsidP="006F2FFB">
            <w:pPr>
              <w:jc w:val="right"/>
              <w:rPr>
                <w:sz w:val="22"/>
                <w:szCs w:val="22"/>
              </w:rPr>
            </w:pPr>
            <w:r w:rsidRPr="006F2FFB">
              <w:rPr>
                <w:rFonts w:cs="Calibri"/>
                <w:color w:val="000000"/>
                <w:sz w:val="22"/>
                <w:szCs w:val="22"/>
              </w:rPr>
              <w:t>77</w:t>
            </w:r>
          </w:p>
        </w:tc>
        <w:tc>
          <w:tcPr>
            <w:tcW w:w="1417" w:type="dxa"/>
          </w:tcPr>
          <w:p w14:paraId="6CE19B64" w14:textId="313EA17F" w:rsidR="006F2FFB" w:rsidRPr="006F2FFB" w:rsidRDefault="006F2FFB" w:rsidP="006F2FFB">
            <w:pPr>
              <w:jc w:val="right"/>
              <w:rPr>
                <w:sz w:val="22"/>
                <w:szCs w:val="22"/>
              </w:rPr>
            </w:pPr>
            <w:r w:rsidRPr="006F2FFB">
              <w:rPr>
                <w:rFonts w:cs="Calibri"/>
                <w:color w:val="000000"/>
                <w:sz w:val="22"/>
                <w:szCs w:val="22"/>
              </w:rPr>
              <w:t>5.1%</w:t>
            </w:r>
          </w:p>
        </w:tc>
        <w:tc>
          <w:tcPr>
            <w:tcW w:w="1418" w:type="dxa"/>
          </w:tcPr>
          <w:p w14:paraId="26133428" w14:textId="0DE3A42D" w:rsidR="006F2FFB" w:rsidRPr="006F2FFB" w:rsidRDefault="00514589" w:rsidP="006F2FFB">
            <w:pPr>
              <w:jc w:val="right"/>
              <w:rPr>
                <w:sz w:val="22"/>
                <w:szCs w:val="22"/>
              </w:rPr>
            </w:pPr>
            <w:r>
              <w:rPr>
                <w:rFonts w:cs="Calibri"/>
                <w:color w:val="000000"/>
                <w:sz w:val="22"/>
                <w:szCs w:val="22"/>
              </w:rPr>
              <w:t>1509</w:t>
            </w:r>
          </w:p>
        </w:tc>
        <w:tc>
          <w:tcPr>
            <w:tcW w:w="1559" w:type="dxa"/>
          </w:tcPr>
          <w:p w14:paraId="49C49A81" w14:textId="09081641" w:rsidR="006F2FFB" w:rsidRPr="006F2FFB" w:rsidRDefault="00514589" w:rsidP="006F2FFB">
            <w:pPr>
              <w:jc w:val="right"/>
              <w:rPr>
                <w:sz w:val="22"/>
                <w:szCs w:val="22"/>
              </w:rPr>
            </w:pPr>
            <w:r>
              <w:rPr>
                <w:rFonts w:cs="Calibri"/>
                <w:color w:val="000000"/>
                <w:sz w:val="22"/>
                <w:szCs w:val="22"/>
              </w:rPr>
              <w:t>82</w:t>
            </w:r>
          </w:p>
        </w:tc>
        <w:tc>
          <w:tcPr>
            <w:tcW w:w="1417" w:type="dxa"/>
          </w:tcPr>
          <w:p w14:paraId="166814A4" w14:textId="63976708" w:rsidR="006F2FFB" w:rsidRPr="006F2FFB" w:rsidRDefault="00514589" w:rsidP="006F2FFB">
            <w:pPr>
              <w:jc w:val="right"/>
              <w:rPr>
                <w:sz w:val="22"/>
                <w:szCs w:val="22"/>
              </w:rPr>
            </w:pPr>
            <w:r>
              <w:rPr>
                <w:rFonts w:cs="Calibri"/>
                <w:color w:val="000000"/>
                <w:sz w:val="22"/>
                <w:szCs w:val="22"/>
              </w:rPr>
              <w:t>5.4%</w:t>
            </w:r>
          </w:p>
        </w:tc>
      </w:tr>
      <w:tr w:rsidR="006F2FFB" w:rsidRPr="006F2FFB" w14:paraId="5F13BAEF" w14:textId="77777777" w:rsidTr="00C52262">
        <w:trPr>
          <w:jc w:val="center"/>
        </w:trPr>
        <w:tc>
          <w:tcPr>
            <w:tcW w:w="2278" w:type="dxa"/>
          </w:tcPr>
          <w:p w14:paraId="2A6A8BDD" w14:textId="40A3BDC8" w:rsidR="006F2FFB" w:rsidRPr="006F2FFB" w:rsidRDefault="006F2FFB" w:rsidP="006F2FFB">
            <w:pPr>
              <w:rPr>
                <w:sz w:val="22"/>
                <w:szCs w:val="22"/>
              </w:rPr>
            </w:pPr>
            <w:r w:rsidRPr="006F2FFB">
              <w:rPr>
                <w:rFonts w:cs="Calibri"/>
                <w:color w:val="000000"/>
                <w:sz w:val="22"/>
                <w:szCs w:val="22"/>
              </w:rPr>
              <w:t>Kildare County Council</w:t>
            </w:r>
          </w:p>
        </w:tc>
        <w:tc>
          <w:tcPr>
            <w:tcW w:w="1559" w:type="dxa"/>
          </w:tcPr>
          <w:p w14:paraId="54845841" w14:textId="374A8D96" w:rsidR="006F2FFB" w:rsidRPr="006F2FFB" w:rsidRDefault="006F2FFB" w:rsidP="006F2FFB">
            <w:pPr>
              <w:jc w:val="right"/>
              <w:rPr>
                <w:sz w:val="22"/>
                <w:szCs w:val="22"/>
              </w:rPr>
            </w:pPr>
            <w:r w:rsidRPr="006F2FFB">
              <w:rPr>
                <w:rFonts w:cs="Calibri"/>
                <w:color w:val="000000"/>
                <w:sz w:val="22"/>
                <w:szCs w:val="22"/>
              </w:rPr>
              <w:t>998</w:t>
            </w:r>
          </w:p>
        </w:tc>
        <w:tc>
          <w:tcPr>
            <w:tcW w:w="1560" w:type="dxa"/>
          </w:tcPr>
          <w:p w14:paraId="743A8D94" w14:textId="5D6497E7" w:rsidR="006F2FFB" w:rsidRPr="006F2FFB" w:rsidRDefault="006F2FFB" w:rsidP="006F2FFB">
            <w:pPr>
              <w:jc w:val="right"/>
              <w:rPr>
                <w:sz w:val="22"/>
                <w:szCs w:val="22"/>
              </w:rPr>
            </w:pPr>
            <w:r w:rsidRPr="006F2FFB">
              <w:rPr>
                <w:rFonts w:cs="Calibri"/>
                <w:color w:val="000000"/>
                <w:sz w:val="22"/>
                <w:szCs w:val="22"/>
              </w:rPr>
              <w:t>30</w:t>
            </w:r>
          </w:p>
        </w:tc>
        <w:tc>
          <w:tcPr>
            <w:tcW w:w="1417" w:type="dxa"/>
          </w:tcPr>
          <w:p w14:paraId="05564A0D" w14:textId="47794ECB" w:rsidR="006F2FFB" w:rsidRPr="006F2FFB" w:rsidRDefault="006F2FFB" w:rsidP="006F2FFB">
            <w:pPr>
              <w:jc w:val="right"/>
              <w:rPr>
                <w:sz w:val="22"/>
                <w:szCs w:val="22"/>
              </w:rPr>
            </w:pPr>
            <w:r w:rsidRPr="006F2FFB">
              <w:rPr>
                <w:rFonts w:cs="Calibri"/>
                <w:color w:val="000000"/>
                <w:sz w:val="22"/>
                <w:szCs w:val="22"/>
              </w:rPr>
              <w:t>3.0%</w:t>
            </w:r>
          </w:p>
        </w:tc>
        <w:tc>
          <w:tcPr>
            <w:tcW w:w="1418" w:type="dxa"/>
          </w:tcPr>
          <w:p w14:paraId="5A637BC2" w14:textId="6E5B1275" w:rsidR="006F2FFB" w:rsidRPr="006F2FFB" w:rsidRDefault="00514589" w:rsidP="006F2FFB">
            <w:pPr>
              <w:jc w:val="right"/>
              <w:rPr>
                <w:sz w:val="22"/>
                <w:szCs w:val="22"/>
              </w:rPr>
            </w:pPr>
            <w:r>
              <w:rPr>
                <w:rFonts w:cs="Calibri"/>
                <w:color w:val="000000"/>
                <w:sz w:val="22"/>
                <w:szCs w:val="22"/>
              </w:rPr>
              <w:t>980</w:t>
            </w:r>
          </w:p>
        </w:tc>
        <w:tc>
          <w:tcPr>
            <w:tcW w:w="1559" w:type="dxa"/>
          </w:tcPr>
          <w:p w14:paraId="358FB3AB" w14:textId="4F7C26B4" w:rsidR="006F2FFB" w:rsidRPr="006F2FFB" w:rsidRDefault="00514589" w:rsidP="006F2FFB">
            <w:pPr>
              <w:jc w:val="right"/>
              <w:rPr>
                <w:sz w:val="22"/>
                <w:szCs w:val="22"/>
              </w:rPr>
            </w:pPr>
            <w:r>
              <w:rPr>
                <w:rFonts w:cs="Calibri"/>
                <w:color w:val="000000"/>
                <w:sz w:val="22"/>
                <w:szCs w:val="22"/>
              </w:rPr>
              <w:t>35</w:t>
            </w:r>
          </w:p>
        </w:tc>
        <w:tc>
          <w:tcPr>
            <w:tcW w:w="1417" w:type="dxa"/>
          </w:tcPr>
          <w:p w14:paraId="64EC7A11" w14:textId="72AD1486" w:rsidR="006F2FFB" w:rsidRPr="006F2FFB" w:rsidRDefault="00514589" w:rsidP="006F2FFB">
            <w:pPr>
              <w:jc w:val="right"/>
              <w:rPr>
                <w:sz w:val="22"/>
                <w:szCs w:val="22"/>
              </w:rPr>
            </w:pPr>
            <w:r>
              <w:rPr>
                <w:rFonts w:cs="Calibri"/>
                <w:color w:val="000000"/>
                <w:sz w:val="22"/>
                <w:szCs w:val="22"/>
              </w:rPr>
              <w:t>3.6%</w:t>
            </w:r>
          </w:p>
        </w:tc>
      </w:tr>
      <w:tr w:rsidR="006F2FFB" w:rsidRPr="006F2FFB" w14:paraId="62B6B57B" w14:textId="77777777" w:rsidTr="00C52262">
        <w:trPr>
          <w:jc w:val="center"/>
        </w:trPr>
        <w:tc>
          <w:tcPr>
            <w:tcW w:w="2278" w:type="dxa"/>
          </w:tcPr>
          <w:p w14:paraId="74567D6A" w14:textId="64B474E6" w:rsidR="006F2FFB" w:rsidRPr="006F2FFB" w:rsidRDefault="006F2FFB" w:rsidP="006F2FFB">
            <w:pPr>
              <w:rPr>
                <w:sz w:val="22"/>
                <w:szCs w:val="22"/>
              </w:rPr>
            </w:pPr>
            <w:r w:rsidRPr="006F2FFB">
              <w:rPr>
                <w:rFonts w:cs="Calibri"/>
                <w:color w:val="000000"/>
                <w:sz w:val="22"/>
                <w:szCs w:val="22"/>
              </w:rPr>
              <w:t>Kilkenny County Council</w:t>
            </w:r>
          </w:p>
        </w:tc>
        <w:tc>
          <w:tcPr>
            <w:tcW w:w="1559" w:type="dxa"/>
          </w:tcPr>
          <w:p w14:paraId="35163EF9" w14:textId="47F5B83F" w:rsidR="006F2FFB" w:rsidRPr="006F2FFB" w:rsidRDefault="006F2FFB" w:rsidP="006F2FFB">
            <w:pPr>
              <w:jc w:val="right"/>
              <w:rPr>
                <w:sz w:val="22"/>
                <w:szCs w:val="22"/>
              </w:rPr>
            </w:pPr>
            <w:r w:rsidRPr="006F2FFB">
              <w:rPr>
                <w:rFonts w:cs="Calibri"/>
                <w:color w:val="000000"/>
                <w:sz w:val="22"/>
                <w:szCs w:val="22"/>
              </w:rPr>
              <w:t>604</w:t>
            </w:r>
          </w:p>
        </w:tc>
        <w:tc>
          <w:tcPr>
            <w:tcW w:w="1560" w:type="dxa"/>
          </w:tcPr>
          <w:p w14:paraId="317AACDA" w14:textId="71EC0C46" w:rsidR="006F2FFB" w:rsidRPr="006F2FFB" w:rsidRDefault="006F2FFB" w:rsidP="006F2FFB">
            <w:pPr>
              <w:jc w:val="right"/>
              <w:rPr>
                <w:sz w:val="22"/>
                <w:szCs w:val="22"/>
              </w:rPr>
            </w:pPr>
            <w:r w:rsidRPr="006F2FFB">
              <w:rPr>
                <w:rFonts w:cs="Calibri"/>
                <w:color w:val="000000"/>
                <w:sz w:val="22"/>
                <w:szCs w:val="22"/>
              </w:rPr>
              <w:t>22</w:t>
            </w:r>
          </w:p>
        </w:tc>
        <w:tc>
          <w:tcPr>
            <w:tcW w:w="1417" w:type="dxa"/>
          </w:tcPr>
          <w:p w14:paraId="4A45EB3B" w14:textId="198CB7B0" w:rsidR="006F2FFB" w:rsidRPr="006F2FFB" w:rsidRDefault="006F2FFB" w:rsidP="006F2FFB">
            <w:pPr>
              <w:jc w:val="right"/>
              <w:rPr>
                <w:sz w:val="22"/>
                <w:szCs w:val="22"/>
              </w:rPr>
            </w:pPr>
            <w:r w:rsidRPr="006F2FFB">
              <w:rPr>
                <w:rFonts w:cs="Calibri"/>
                <w:color w:val="000000"/>
                <w:sz w:val="22"/>
                <w:szCs w:val="22"/>
              </w:rPr>
              <w:t>3.6%</w:t>
            </w:r>
          </w:p>
        </w:tc>
        <w:tc>
          <w:tcPr>
            <w:tcW w:w="1418" w:type="dxa"/>
          </w:tcPr>
          <w:p w14:paraId="775E0D92" w14:textId="63863832" w:rsidR="006F2FFB" w:rsidRPr="006F2FFB" w:rsidRDefault="00B03492" w:rsidP="006F2FFB">
            <w:pPr>
              <w:jc w:val="right"/>
              <w:rPr>
                <w:sz w:val="22"/>
                <w:szCs w:val="22"/>
              </w:rPr>
            </w:pPr>
            <w:r>
              <w:rPr>
                <w:rFonts w:cs="Calibri"/>
                <w:color w:val="000000"/>
                <w:sz w:val="22"/>
                <w:szCs w:val="22"/>
              </w:rPr>
              <w:t>603</w:t>
            </w:r>
          </w:p>
        </w:tc>
        <w:tc>
          <w:tcPr>
            <w:tcW w:w="1559" w:type="dxa"/>
          </w:tcPr>
          <w:p w14:paraId="6E3BA3C1" w14:textId="1317D744" w:rsidR="006F2FFB" w:rsidRPr="006F2FFB" w:rsidRDefault="00B03492" w:rsidP="00B03492">
            <w:pPr>
              <w:jc w:val="right"/>
              <w:rPr>
                <w:sz w:val="22"/>
                <w:szCs w:val="22"/>
              </w:rPr>
            </w:pPr>
            <w:r>
              <w:rPr>
                <w:rFonts w:cs="Calibri"/>
                <w:color w:val="000000"/>
                <w:sz w:val="22"/>
                <w:szCs w:val="22"/>
              </w:rPr>
              <w:t>36</w:t>
            </w:r>
          </w:p>
        </w:tc>
        <w:tc>
          <w:tcPr>
            <w:tcW w:w="1417" w:type="dxa"/>
          </w:tcPr>
          <w:p w14:paraId="01061DED" w14:textId="586DC6CE" w:rsidR="006F2FFB" w:rsidRPr="006F2FFB" w:rsidRDefault="00B03492" w:rsidP="006F2FFB">
            <w:pPr>
              <w:jc w:val="right"/>
              <w:rPr>
                <w:sz w:val="22"/>
                <w:szCs w:val="22"/>
              </w:rPr>
            </w:pPr>
            <w:r>
              <w:rPr>
                <w:rFonts w:cs="Calibri"/>
                <w:color w:val="000000"/>
                <w:sz w:val="22"/>
                <w:szCs w:val="22"/>
              </w:rPr>
              <w:t>6.0%</w:t>
            </w:r>
          </w:p>
        </w:tc>
      </w:tr>
      <w:tr w:rsidR="006F2FFB" w:rsidRPr="006F2FFB" w14:paraId="66DD5AD2" w14:textId="77777777" w:rsidTr="00C52262">
        <w:trPr>
          <w:jc w:val="center"/>
        </w:trPr>
        <w:tc>
          <w:tcPr>
            <w:tcW w:w="2278" w:type="dxa"/>
          </w:tcPr>
          <w:p w14:paraId="07F84FA0" w14:textId="79F59430" w:rsidR="006F2FFB" w:rsidRPr="00C433F3" w:rsidRDefault="006F2FFB" w:rsidP="006F2FFB">
            <w:pPr>
              <w:rPr>
                <w:color w:val="FFFFFF" w:themeColor="background1"/>
                <w:sz w:val="22"/>
                <w:szCs w:val="22"/>
              </w:rPr>
            </w:pPr>
            <w:r w:rsidRPr="00C433F3">
              <w:rPr>
                <w:rFonts w:cs="Calibri"/>
                <w:color w:val="000000" w:themeColor="text1"/>
                <w:sz w:val="22"/>
                <w:szCs w:val="22"/>
              </w:rPr>
              <w:t>Land Development Agency</w:t>
            </w:r>
          </w:p>
        </w:tc>
        <w:tc>
          <w:tcPr>
            <w:tcW w:w="1559" w:type="dxa"/>
          </w:tcPr>
          <w:p w14:paraId="5C135A75" w14:textId="43DF05D7" w:rsidR="006F2FFB" w:rsidRPr="00C433F3" w:rsidRDefault="006F2FFB" w:rsidP="006F2FFB">
            <w:pPr>
              <w:jc w:val="right"/>
              <w:rPr>
                <w:color w:val="000000" w:themeColor="text1"/>
                <w:sz w:val="22"/>
                <w:szCs w:val="22"/>
              </w:rPr>
            </w:pPr>
            <w:r w:rsidRPr="00C433F3">
              <w:rPr>
                <w:rFonts w:cs="Calibri"/>
                <w:color w:val="000000" w:themeColor="text1"/>
                <w:sz w:val="22"/>
                <w:szCs w:val="22"/>
              </w:rPr>
              <w:t>50</w:t>
            </w:r>
          </w:p>
        </w:tc>
        <w:tc>
          <w:tcPr>
            <w:tcW w:w="1560" w:type="dxa"/>
          </w:tcPr>
          <w:p w14:paraId="6D821038" w14:textId="55BFDCA6" w:rsidR="006F2FFB" w:rsidRPr="00C433F3" w:rsidRDefault="006F2FFB" w:rsidP="006F2FFB">
            <w:pPr>
              <w:jc w:val="right"/>
              <w:rPr>
                <w:color w:val="000000" w:themeColor="text1"/>
                <w:sz w:val="22"/>
                <w:szCs w:val="22"/>
              </w:rPr>
            </w:pPr>
            <w:r w:rsidRPr="00C433F3">
              <w:rPr>
                <w:rFonts w:cs="Calibri"/>
                <w:color w:val="000000" w:themeColor="text1"/>
                <w:sz w:val="22"/>
                <w:szCs w:val="22"/>
              </w:rPr>
              <w:t>1</w:t>
            </w:r>
          </w:p>
        </w:tc>
        <w:tc>
          <w:tcPr>
            <w:tcW w:w="1417" w:type="dxa"/>
          </w:tcPr>
          <w:p w14:paraId="31B52CC1" w14:textId="2D8415D9" w:rsidR="006F2FFB" w:rsidRPr="00C433F3" w:rsidRDefault="006F2FFB" w:rsidP="006F2FFB">
            <w:pPr>
              <w:jc w:val="right"/>
              <w:rPr>
                <w:color w:val="000000" w:themeColor="text1"/>
                <w:sz w:val="22"/>
                <w:szCs w:val="22"/>
              </w:rPr>
            </w:pPr>
            <w:r w:rsidRPr="00C433F3">
              <w:rPr>
                <w:rFonts w:cs="Calibri"/>
                <w:color w:val="000000" w:themeColor="text1"/>
                <w:sz w:val="22"/>
                <w:szCs w:val="22"/>
              </w:rPr>
              <w:t>2.0%</w:t>
            </w:r>
          </w:p>
        </w:tc>
        <w:tc>
          <w:tcPr>
            <w:tcW w:w="1418" w:type="dxa"/>
          </w:tcPr>
          <w:p w14:paraId="0E82BE0F" w14:textId="581E3444" w:rsidR="006F2FFB" w:rsidRPr="00C433F3" w:rsidRDefault="00C433F3" w:rsidP="006F2FFB">
            <w:pPr>
              <w:jc w:val="right"/>
              <w:rPr>
                <w:color w:val="000000" w:themeColor="text1"/>
                <w:sz w:val="22"/>
                <w:szCs w:val="22"/>
              </w:rPr>
            </w:pPr>
            <w:r>
              <w:rPr>
                <w:rFonts w:cs="Calibri"/>
                <w:color w:val="000000" w:themeColor="text1"/>
                <w:sz w:val="22"/>
                <w:szCs w:val="22"/>
              </w:rPr>
              <w:t>70</w:t>
            </w:r>
          </w:p>
        </w:tc>
        <w:tc>
          <w:tcPr>
            <w:tcW w:w="1559" w:type="dxa"/>
          </w:tcPr>
          <w:p w14:paraId="48C2060A" w14:textId="2E417CD0" w:rsidR="006F2FFB" w:rsidRPr="00C433F3" w:rsidRDefault="00C433F3" w:rsidP="006F2FFB">
            <w:pPr>
              <w:jc w:val="right"/>
              <w:rPr>
                <w:color w:val="000000" w:themeColor="text1"/>
                <w:sz w:val="22"/>
                <w:szCs w:val="22"/>
              </w:rPr>
            </w:pPr>
            <w:r>
              <w:rPr>
                <w:rFonts w:cs="Calibri"/>
                <w:color w:val="000000" w:themeColor="text1"/>
                <w:sz w:val="22"/>
                <w:szCs w:val="22"/>
              </w:rPr>
              <w:t>1</w:t>
            </w:r>
          </w:p>
        </w:tc>
        <w:tc>
          <w:tcPr>
            <w:tcW w:w="1417" w:type="dxa"/>
          </w:tcPr>
          <w:p w14:paraId="566E7723" w14:textId="069275F6" w:rsidR="006F2FFB" w:rsidRPr="00C433F3" w:rsidRDefault="00C433F3" w:rsidP="006F2FFB">
            <w:pPr>
              <w:jc w:val="right"/>
              <w:rPr>
                <w:color w:val="000000" w:themeColor="text1"/>
                <w:sz w:val="22"/>
                <w:szCs w:val="22"/>
              </w:rPr>
            </w:pPr>
            <w:r>
              <w:rPr>
                <w:rFonts w:cs="Calibri"/>
                <w:color w:val="000000" w:themeColor="text1"/>
                <w:sz w:val="22"/>
                <w:szCs w:val="22"/>
              </w:rPr>
              <w:t>1.4%</w:t>
            </w:r>
          </w:p>
        </w:tc>
      </w:tr>
      <w:tr w:rsidR="006F2FFB" w:rsidRPr="006F2FFB" w14:paraId="314843DA" w14:textId="77777777" w:rsidTr="00C52262">
        <w:trPr>
          <w:jc w:val="center"/>
        </w:trPr>
        <w:tc>
          <w:tcPr>
            <w:tcW w:w="2278" w:type="dxa"/>
          </w:tcPr>
          <w:p w14:paraId="1947D1D1" w14:textId="5D42E035" w:rsidR="006F2FFB" w:rsidRPr="00C433F3" w:rsidRDefault="006F2FFB" w:rsidP="006F2FFB">
            <w:pPr>
              <w:rPr>
                <w:sz w:val="22"/>
                <w:szCs w:val="22"/>
              </w:rPr>
            </w:pPr>
            <w:r w:rsidRPr="00C433F3">
              <w:rPr>
                <w:rFonts w:cs="Calibri"/>
                <w:sz w:val="22"/>
                <w:szCs w:val="22"/>
              </w:rPr>
              <w:t>Laois County Council</w:t>
            </w:r>
          </w:p>
        </w:tc>
        <w:tc>
          <w:tcPr>
            <w:tcW w:w="1559" w:type="dxa"/>
          </w:tcPr>
          <w:p w14:paraId="73490A13" w14:textId="213E617F" w:rsidR="006F2FFB" w:rsidRPr="00C433F3" w:rsidRDefault="006F2FFB" w:rsidP="006F2FFB">
            <w:pPr>
              <w:jc w:val="right"/>
              <w:rPr>
                <w:sz w:val="22"/>
                <w:szCs w:val="22"/>
              </w:rPr>
            </w:pPr>
            <w:r w:rsidRPr="00C433F3">
              <w:rPr>
                <w:rFonts w:cs="Calibri"/>
                <w:sz w:val="22"/>
                <w:szCs w:val="22"/>
              </w:rPr>
              <w:t>471</w:t>
            </w:r>
          </w:p>
        </w:tc>
        <w:tc>
          <w:tcPr>
            <w:tcW w:w="1560" w:type="dxa"/>
          </w:tcPr>
          <w:p w14:paraId="54148239" w14:textId="33774006" w:rsidR="006F2FFB" w:rsidRPr="00C433F3" w:rsidRDefault="006F2FFB" w:rsidP="006F2FFB">
            <w:pPr>
              <w:jc w:val="right"/>
              <w:rPr>
                <w:sz w:val="22"/>
                <w:szCs w:val="22"/>
              </w:rPr>
            </w:pPr>
            <w:r w:rsidRPr="00C433F3">
              <w:rPr>
                <w:rFonts w:cs="Calibri"/>
                <w:sz w:val="22"/>
                <w:szCs w:val="22"/>
              </w:rPr>
              <w:t>21</w:t>
            </w:r>
          </w:p>
        </w:tc>
        <w:tc>
          <w:tcPr>
            <w:tcW w:w="1417" w:type="dxa"/>
          </w:tcPr>
          <w:p w14:paraId="31D4A058" w14:textId="2D3108B2" w:rsidR="006F2FFB" w:rsidRPr="00C433F3" w:rsidRDefault="006F2FFB" w:rsidP="006F2FFB">
            <w:pPr>
              <w:jc w:val="right"/>
              <w:rPr>
                <w:sz w:val="22"/>
                <w:szCs w:val="22"/>
              </w:rPr>
            </w:pPr>
            <w:r w:rsidRPr="00C433F3">
              <w:rPr>
                <w:rFonts w:cs="Calibri"/>
                <w:sz w:val="22"/>
                <w:szCs w:val="22"/>
              </w:rPr>
              <w:t>4.5%</w:t>
            </w:r>
          </w:p>
        </w:tc>
        <w:tc>
          <w:tcPr>
            <w:tcW w:w="1418" w:type="dxa"/>
          </w:tcPr>
          <w:p w14:paraId="45182F6D" w14:textId="19FC760B" w:rsidR="006F2FFB" w:rsidRPr="00C433F3" w:rsidRDefault="00CF682B" w:rsidP="006F2FFB">
            <w:pPr>
              <w:jc w:val="right"/>
              <w:rPr>
                <w:sz w:val="22"/>
                <w:szCs w:val="22"/>
              </w:rPr>
            </w:pPr>
            <w:r>
              <w:rPr>
                <w:sz w:val="22"/>
                <w:szCs w:val="22"/>
              </w:rPr>
              <w:t>498</w:t>
            </w:r>
          </w:p>
        </w:tc>
        <w:tc>
          <w:tcPr>
            <w:tcW w:w="1559" w:type="dxa"/>
          </w:tcPr>
          <w:p w14:paraId="4BE0522C" w14:textId="64D66F25" w:rsidR="006F2FFB" w:rsidRPr="00C433F3" w:rsidRDefault="00CF682B" w:rsidP="006F2FFB">
            <w:pPr>
              <w:jc w:val="right"/>
              <w:rPr>
                <w:sz w:val="22"/>
                <w:szCs w:val="22"/>
              </w:rPr>
            </w:pPr>
            <w:r>
              <w:rPr>
                <w:sz w:val="22"/>
                <w:szCs w:val="22"/>
              </w:rPr>
              <w:t>27</w:t>
            </w:r>
          </w:p>
        </w:tc>
        <w:tc>
          <w:tcPr>
            <w:tcW w:w="1417" w:type="dxa"/>
          </w:tcPr>
          <w:p w14:paraId="77BD3933" w14:textId="52862079" w:rsidR="006F2FFB" w:rsidRPr="00C433F3" w:rsidRDefault="00CF682B" w:rsidP="006F2FFB">
            <w:pPr>
              <w:jc w:val="right"/>
              <w:rPr>
                <w:sz w:val="22"/>
                <w:szCs w:val="22"/>
              </w:rPr>
            </w:pPr>
            <w:r>
              <w:rPr>
                <w:sz w:val="22"/>
                <w:szCs w:val="22"/>
              </w:rPr>
              <w:t>5.4%</w:t>
            </w:r>
          </w:p>
        </w:tc>
      </w:tr>
      <w:tr w:rsidR="006F2FFB" w:rsidRPr="006F2FFB" w14:paraId="04BD3ECD" w14:textId="77777777" w:rsidTr="00C52262">
        <w:trPr>
          <w:jc w:val="center"/>
        </w:trPr>
        <w:tc>
          <w:tcPr>
            <w:tcW w:w="2278" w:type="dxa"/>
          </w:tcPr>
          <w:p w14:paraId="63F15A13" w14:textId="69A04B4F" w:rsidR="006F2FFB" w:rsidRPr="00C433F3" w:rsidRDefault="006F2FFB" w:rsidP="006F2FFB">
            <w:pPr>
              <w:rPr>
                <w:sz w:val="22"/>
                <w:szCs w:val="22"/>
              </w:rPr>
            </w:pPr>
            <w:r w:rsidRPr="00C433F3">
              <w:rPr>
                <w:rFonts w:cs="Calibri"/>
                <w:sz w:val="22"/>
                <w:szCs w:val="22"/>
              </w:rPr>
              <w:t>Leitrim County Council</w:t>
            </w:r>
          </w:p>
        </w:tc>
        <w:tc>
          <w:tcPr>
            <w:tcW w:w="1559" w:type="dxa"/>
          </w:tcPr>
          <w:p w14:paraId="3D197454" w14:textId="7AF57CFC" w:rsidR="006F2FFB" w:rsidRPr="00C433F3" w:rsidRDefault="006F2FFB" w:rsidP="006F2FFB">
            <w:pPr>
              <w:jc w:val="right"/>
              <w:rPr>
                <w:sz w:val="22"/>
                <w:szCs w:val="22"/>
              </w:rPr>
            </w:pPr>
            <w:r w:rsidRPr="00C433F3">
              <w:rPr>
                <w:rFonts w:cs="Calibri"/>
                <w:sz w:val="22"/>
                <w:szCs w:val="22"/>
              </w:rPr>
              <w:t>379</w:t>
            </w:r>
          </w:p>
        </w:tc>
        <w:tc>
          <w:tcPr>
            <w:tcW w:w="1560" w:type="dxa"/>
          </w:tcPr>
          <w:p w14:paraId="149083CC" w14:textId="4F8679B4" w:rsidR="006F2FFB" w:rsidRPr="00C433F3" w:rsidRDefault="006F2FFB" w:rsidP="006F2FFB">
            <w:pPr>
              <w:jc w:val="right"/>
              <w:rPr>
                <w:sz w:val="22"/>
                <w:szCs w:val="22"/>
              </w:rPr>
            </w:pPr>
            <w:r w:rsidRPr="00C433F3">
              <w:rPr>
                <w:rFonts w:cs="Calibri"/>
                <w:sz w:val="22"/>
                <w:szCs w:val="22"/>
              </w:rPr>
              <w:t>14</w:t>
            </w:r>
          </w:p>
        </w:tc>
        <w:tc>
          <w:tcPr>
            <w:tcW w:w="1417" w:type="dxa"/>
          </w:tcPr>
          <w:p w14:paraId="071CF551" w14:textId="60537668" w:rsidR="006F2FFB" w:rsidRPr="00C433F3" w:rsidRDefault="006F2FFB" w:rsidP="006F2FFB">
            <w:pPr>
              <w:jc w:val="right"/>
              <w:rPr>
                <w:sz w:val="22"/>
                <w:szCs w:val="22"/>
              </w:rPr>
            </w:pPr>
            <w:r w:rsidRPr="00C433F3">
              <w:rPr>
                <w:rFonts w:cs="Calibri"/>
                <w:sz w:val="22"/>
                <w:szCs w:val="22"/>
              </w:rPr>
              <w:t>3.7%</w:t>
            </w:r>
          </w:p>
        </w:tc>
        <w:tc>
          <w:tcPr>
            <w:tcW w:w="1418" w:type="dxa"/>
          </w:tcPr>
          <w:p w14:paraId="7CFBCD7C" w14:textId="2831A1BE" w:rsidR="006F2FFB" w:rsidRPr="00C433F3" w:rsidRDefault="00CF682B" w:rsidP="006F2FFB">
            <w:pPr>
              <w:jc w:val="right"/>
              <w:rPr>
                <w:sz w:val="22"/>
                <w:szCs w:val="22"/>
              </w:rPr>
            </w:pPr>
            <w:r>
              <w:rPr>
                <w:sz w:val="22"/>
                <w:szCs w:val="22"/>
              </w:rPr>
              <w:t>383</w:t>
            </w:r>
          </w:p>
        </w:tc>
        <w:tc>
          <w:tcPr>
            <w:tcW w:w="1559" w:type="dxa"/>
          </w:tcPr>
          <w:p w14:paraId="6306FC90" w14:textId="4F0C94FB" w:rsidR="006F2FFB" w:rsidRPr="00C433F3" w:rsidRDefault="00CF682B" w:rsidP="006F2FFB">
            <w:pPr>
              <w:jc w:val="right"/>
              <w:rPr>
                <w:sz w:val="22"/>
                <w:szCs w:val="22"/>
              </w:rPr>
            </w:pPr>
            <w:r>
              <w:rPr>
                <w:sz w:val="22"/>
                <w:szCs w:val="22"/>
              </w:rPr>
              <w:t>15</w:t>
            </w:r>
          </w:p>
        </w:tc>
        <w:tc>
          <w:tcPr>
            <w:tcW w:w="1417" w:type="dxa"/>
          </w:tcPr>
          <w:p w14:paraId="1E141D85" w14:textId="6A054C48" w:rsidR="006F2FFB" w:rsidRPr="00C433F3" w:rsidRDefault="00CF682B" w:rsidP="006F2FFB">
            <w:pPr>
              <w:jc w:val="right"/>
              <w:rPr>
                <w:sz w:val="22"/>
                <w:szCs w:val="22"/>
              </w:rPr>
            </w:pPr>
            <w:r>
              <w:rPr>
                <w:sz w:val="22"/>
                <w:szCs w:val="22"/>
              </w:rPr>
              <w:t>3.9%</w:t>
            </w:r>
          </w:p>
        </w:tc>
      </w:tr>
      <w:tr w:rsidR="00CF682B" w:rsidRPr="006F2FFB" w14:paraId="37D098E1" w14:textId="77777777" w:rsidTr="00C52262">
        <w:trPr>
          <w:jc w:val="center"/>
        </w:trPr>
        <w:tc>
          <w:tcPr>
            <w:tcW w:w="2278" w:type="dxa"/>
          </w:tcPr>
          <w:p w14:paraId="720941B6" w14:textId="457611C8" w:rsidR="00CF682B" w:rsidRPr="00C433F3" w:rsidRDefault="00CF682B" w:rsidP="00CF682B">
            <w:pPr>
              <w:rPr>
                <w:sz w:val="22"/>
                <w:szCs w:val="22"/>
              </w:rPr>
            </w:pPr>
            <w:r w:rsidRPr="00C433F3">
              <w:rPr>
                <w:rFonts w:cs="Calibri"/>
                <w:sz w:val="22"/>
                <w:szCs w:val="22"/>
              </w:rPr>
              <w:t>Limerick City &amp; County Council</w:t>
            </w:r>
          </w:p>
        </w:tc>
        <w:tc>
          <w:tcPr>
            <w:tcW w:w="1559" w:type="dxa"/>
          </w:tcPr>
          <w:p w14:paraId="682ADF59" w14:textId="78DD444E" w:rsidR="00CF682B" w:rsidRPr="00C433F3" w:rsidRDefault="00CF682B" w:rsidP="00CF682B">
            <w:pPr>
              <w:jc w:val="right"/>
              <w:rPr>
                <w:sz w:val="22"/>
                <w:szCs w:val="22"/>
              </w:rPr>
            </w:pPr>
            <w:r w:rsidRPr="00C433F3">
              <w:rPr>
                <w:rFonts w:cs="Calibri"/>
                <w:sz w:val="22"/>
                <w:szCs w:val="22"/>
              </w:rPr>
              <w:t>1,457</w:t>
            </w:r>
          </w:p>
        </w:tc>
        <w:tc>
          <w:tcPr>
            <w:tcW w:w="1560" w:type="dxa"/>
          </w:tcPr>
          <w:p w14:paraId="4FC73977" w14:textId="1BD140BE" w:rsidR="00CF682B" w:rsidRPr="00C433F3" w:rsidRDefault="00CF682B" w:rsidP="00CF682B">
            <w:pPr>
              <w:jc w:val="right"/>
              <w:rPr>
                <w:sz w:val="22"/>
                <w:szCs w:val="22"/>
              </w:rPr>
            </w:pPr>
            <w:r w:rsidRPr="00C433F3">
              <w:rPr>
                <w:rFonts w:cs="Calibri"/>
                <w:sz w:val="22"/>
                <w:szCs w:val="22"/>
              </w:rPr>
              <w:t>95</w:t>
            </w:r>
          </w:p>
        </w:tc>
        <w:tc>
          <w:tcPr>
            <w:tcW w:w="1417" w:type="dxa"/>
          </w:tcPr>
          <w:p w14:paraId="28F465CB" w14:textId="2AB7CA32" w:rsidR="00CF682B" w:rsidRPr="00C433F3" w:rsidRDefault="00CF682B" w:rsidP="00CF682B">
            <w:pPr>
              <w:jc w:val="right"/>
              <w:rPr>
                <w:sz w:val="22"/>
                <w:szCs w:val="22"/>
              </w:rPr>
            </w:pPr>
            <w:r w:rsidRPr="00C433F3">
              <w:rPr>
                <w:rFonts w:cs="Calibri"/>
                <w:sz w:val="22"/>
                <w:szCs w:val="22"/>
              </w:rPr>
              <w:t>6.5%</w:t>
            </w:r>
          </w:p>
        </w:tc>
        <w:tc>
          <w:tcPr>
            <w:tcW w:w="1418" w:type="dxa"/>
          </w:tcPr>
          <w:p w14:paraId="42F1F53D" w14:textId="5F5A36C2" w:rsidR="00CF682B" w:rsidRPr="00C433F3" w:rsidRDefault="00CF682B" w:rsidP="00CF682B">
            <w:pPr>
              <w:jc w:val="right"/>
              <w:rPr>
                <w:sz w:val="22"/>
                <w:szCs w:val="22"/>
              </w:rPr>
            </w:pPr>
            <w:r w:rsidRPr="00C433F3">
              <w:rPr>
                <w:rFonts w:cs="Calibri"/>
                <w:sz w:val="22"/>
                <w:szCs w:val="22"/>
              </w:rPr>
              <w:t>1450</w:t>
            </w:r>
          </w:p>
        </w:tc>
        <w:tc>
          <w:tcPr>
            <w:tcW w:w="1559" w:type="dxa"/>
          </w:tcPr>
          <w:p w14:paraId="5759EC7E" w14:textId="22F39003" w:rsidR="00CF682B" w:rsidRPr="00C433F3" w:rsidRDefault="00CF682B" w:rsidP="00CF682B">
            <w:pPr>
              <w:jc w:val="right"/>
              <w:rPr>
                <w:sz w:val="22"/>
                <w:szCs w:val="22"/>
              </w:rPr>
            </w:pPr>
            <w:r w:rsidRPr="00C433F3">
              <w:rPr>
                <w:rFonts w:cs="Calibri"/>
                <w:sz w:val="22"/>
                <w:szCs w:val="22"/>
              </w:rPr>
              <w:t>105</w:t>
            </w:r>
          </w:p>
        </w:tc>
        <w:tc>
          <w:tcPr>
            <w:tcW w:w="1417" w:type="dxa"/>
          </w:tcPr>
          <w:p w14:paraId="2FD2749E" w14:textId="74E88D44" w:rsidR="00CF682B" w:rsidRPr="00C433F3" w:rsidRDefault="00CF682B" w:rsidP="00CF682B">
            <w:pPr>
              <w:jc w:val="right"/>
              <w:rPr>
                <w:sz w:val="22"/>
                <w:szCs w:val="22"/>
              </w:rPr>
            </w:pPr>
            <w:r w:rsidRPr="00C433F3">
              <w:rPr>
                <w:rFonts w:cs="Calibri"/>
                <w:sz w:val="22"/>
                <w:szCs w:val="22"/>
              </w:rPr>
              <w:t>7.2%</w:t>
            </w:r>
          </w:p>
        </w:tc>
      </w:tr>
      <w:tr w:rsidR="006F2FFB" w:rsidRPr="006F2FFB" w14:paraId="7960BAD0" w14:textId="77777777" w:rsidTr="00C52262">
        <w:trPr>
          <w:jc w:val="center"/>
        </w:trPr>
        <w:tc>
          <w:tcPr>
            <w:tcW w:w="2278" w:type="dxa"/>
          </w:tcPr>
          <w:p w14:paraId="441211B3" w14:textId="5D94F7B4" w:rsidR="006F2FFB" w:rsidRPr="00C433F3" w:rsidRDefault="006F2FFB" w:rsidP="006F2FFB">
            <w:pPr>
              <w:rPr>
                <w:sz w:val="22"/>
                <w:szCs w:val="22"/>
              </w:rPr>
            </w:pPr>
            <w:r w:rsidRPr="00C433F3">
              <w:rPr>
                <w:rFonts w:cs="Calibri"/>
                <w:sz w:val="22"/>
                <w:szCs w:val="22"/>
              </w:rPr>
              <w:t>Local Government Management Agency</w:t>
            </w:r>
          </w:p>
        </w:tc>
        <w:tc>
          <w:tcPr>
            <w:tcW w:w="1559" w:type="dxa"/>
          </w:tcPr>
          <w:p w14:paraId="043DDF91" w14:textId="6743E648" w:rsidR="006F2FFB" w:rsidRPr="00C433F3" w:rsidRDefault="006F2FFB" w:rsidP="006F2FFB">
            <w:pPr>
              <w:jc w:val="right"/>
              <w:rPr>
                <w:sz w:val="22"/>
                <w:szCs w:val="22"/>
              </w:rPr>
            </w:pPr>
            <w:r w:rsidRPr="00C433F3">
              <w:rPr>
                <w:rFonts w:cs="Calibri"/>
                <w:sz w:val="22"/>
                <w:szCs w:val="22"/>
              </w:rPr>
              <w:t>107</w:t>
            </w:r>
          </w:p>
        </w:tc>
        <w:tc>
          <w:tcPr>
            <w:tcW w:w="1560" w:type="dxa"/>
          </w:tcPr>
          <w:p w14:paraId="54B6617E" w14:textId="491DBB80" w:rsidR="006F2FFB" w:rsidRPr="00C433F3" w:rsidRDefault="006F2FFB" w:rsidP="006F2FFB">
            <w:pPr>
              <w:jc w:val="right"/>
              <w:rPr>
                <w:sz w:val="22"/>
                <w:szCs w:val="22"/>
              </w:rPr>
            </w:pPr>
            <w:r w:rsidRPr="00C433F3">
              <w:rPr>
                <w:rFonts w:cs="Calibri"/>
                <w:sz w:val="22"/>
                <w:szCs w:val="22"/>
              </w:rPr>
              <w:t>9</w:t>
            </w:r>
          </w:p>
        </w:tc>
        <w:tc>
          <w:tcPr>
            <w:tcW w:w="1417" w:type="dxa"/>
          </w:tcPr>
          <w:p w14:paraId="73C6F1DE" w14:textId="17287838" w:rsidR="006F2FFB" w:rsidRPr="00C433F3" w:rsidRDefault="006F2FFB" w:rsidP="006F2FFB">
            <w:pPr>
              <w:jc w:val="right"/>
              <w:rPr>
                <w:sz w:val="22"/>
                <w:szCs w:val="22"/>
              </w:rPr>
            </w:pPr>
            <w:r w:rsidRPr="00C433F3">
              <w:rPr>
                <w:rFonts w:cs="Calibri"/>
                <w:sz w:val="22"/>
                <w:szCs w:val="22"/>
              </w:rPr>
              <w:t>8.4%</w:t>
            </w:r>
          </w:p>
        </w:tc>
        <w:tc>
          <w:tcPr>
            <w:tcW w:w="1418" w:type="dxa"/>
          </w:tcPr>
          <w:p w14:paraId="3239BC59" w14:textId="5FE58B7E" w:rsidR="006F2FFB" w:rsidRPr="00C433F3" w:rsidRDefault="00CF682B" w:rsidP="006F2FFB">
            <w:pPr>
              <w:jc w:val="right"/>
              <w:rPr>
                <w:sz w:val="22"/>
                <w:szCs w:val="22"/>
              </w:rPr>
            </w:pPr>
            <w:r>
              <w:rPr>
                <w:sz w:val="22"/>
                <w:szCs w:val="22"/>
              </w:rPr>
              <w:t>105</w:t>
            </w:r>
          </w:p>
        </w:tc>
        <w:tc>
          <w:tcPr>
            <w:tcW w:w="1559" w:type="dxa"/>
          </w:tcPr>
          <w:p w14:paraId="6BFB6EFB" w14:textId="04255823" w:rsidR="006F2FFB" w:rsidRPr="00C433F3" w:rsidRDefault="00CF682B" w:rsidP="006F2FFB">
            <w:pPr>
              <w:jc w:val="right"/>
              <w:rPr>
                <w:sz w:val="22"/>
                <w:szCs w:val="22"/>
              </w:rPr>
            </w:pPr>
            <w:r>
              <w:rPr>
                <w:sz w:val="22"/>
                <w:szCs w:val="22"/>
              </w:rPr>
              <w:t>8</w:t>
            </w:r>
          </w:p>
        </w:tc>
        <w:tc>
          <w:tcPr>
            <w:tcW w:w="1417" w:type="dxa"/>
          </w:tcPr>
          <w:p w14:paraId="27DD8C6B" w14:textId="0AF9CB43" w:rsidR="006F2FFB" w:rsidRPr="00C433F3" w:rsidRDefault="00CF682B" w:rsidP="006F2FFB">
            <w:pPr>
              <w:jc w:val="right"/>
              <w:rPr>
                <w:sz w:val="22"/>
                <w:szCs w:val="22"/>
              </w:rPr>
            </w:pPr>
            <w:r>
              <w:rPr>
                <w:sz w:val="22"/>
                <w:szCs w:val="22"/>
              </w:rPr>
              <w:t>7.6%</w:t>
            </w:r>
          </w:p>
        </w:tc>
      </w:tr>
      <w:tr w:rsidR="006F2FFB" w:rsidRPr="006F2FFB" w14:paraId="21972252" w14:textId="77777777" w:rsidTr="00C52262">
        <w:trPr>
          <w:jc w:val="center"/>
        </w:trPr>
        <w:tc>
          <w:tcPr>
            <w:tcW w:w="2278" w:type="dxa"/>
          </w:tcPr>
          <w:p w14:paraId="0BB2AE8B" w14:textId="36EF8A42" w:rsidR="006F2FFB" w:rsidRPr="00C433F3" w:rsidRDefault="006F2FFB" w:rsidP="006F2FFB">
            <w:pPr>
              <w:rPr>
                <w:sz w:val="22"/>
                <w:szCs w:val="22"/>
              </w:rPr>
            </w:pPr>
            <w:r w:rsidRPr="00C433F3">
              <w:rPr>
                <w:rFonts w:cs="Calibri"/>
                <w:sz w:val="22"/>
                <w:szCs w:val="22"/>
              </w:rPr>
              <w:t>Longford County Council</w:t>
            </w:r>
          </w:p>
        </w:tc>
        <w:tc>
          <w:tcPr>
            <w:tcW w:w="1559" w:type="dxa"/>
          </w:tcPr>
          <w:p w14:paraId="60DEBC66" w14:textId="2E105542" w:rsidR="006F2FFB" w:rsidRPr="00C433F3" w:rsidRDefault="006F2FFB" w:rsidP="006F2FFB">
            <w:pPr>
              <w:jc w:val="right"/>
              <w:rPr>
                <w:sz w:val="22"/>
                <w:szCs w:val="22"/>
              </w:rPr>
            </w:pPr>
            <w:r w:rsidRPr="00C433F3">
              <w:rPr>
                <w:rFonts w:cs="Calibri"/>
                <w:sz w:val="22"/>
                <w:szCs w:val="22"/>
              </w:rPr>
              <w:t>403</w:t>
            </w:r>
          </w:p>
        </w:tc>
        <w:tc>
          <w:tcPr>
            <w:tcW w:w="1560" w:type="dxa"/>
          </w:tcPr>
          <w:p w14:paraId="5BEE6DD8" w14:textId="771EE8F3" w:rsidR="006F2FFB" w:rsidRPr="00C433F3" w:rsidRDefault="006F2FFB" w:rsidP="006F2FFB">
            <w:pPr>
              <w:jc w:val="right"/>
              <w:rPr>
                <w:sz w:val="22"/>
                <w:szCs w:val="22"/>
              </w:rPr>
            </w:pPr>
            <w:r w:rsidRPr="00C433F3">
              <w:rPr>
                <w:rFonts w:cs="Calibri"/>
                <w:sz w:val="22"/>
                <w:szCs w:val="22"/>
              </w:rPr>
              <w:t>34</w:t>
            </w:r>
          </w:p>
        </w:tc>
        <w:tc>
          <w:tcPr>
            <w:tcW w:w="1417" w:type="dxa"/>
          </w:tcPr>
          <w:p w14:paraId="64F8DAAC" w14:textId="3F332ED9" w:rsidR="006F2FFB" w:rsidRPr="00C433F3" w:rsidRDefault="006F2FFB" w:rsidP="006F2FFB">
            <w:pPr>
              <w:jc w:val="right"/>
              <w:rPr>
                <w:sz w:val="22"/>
                <w:szCs w:val="22"/>
              </w:rPr>
            </w:pPr>
            <w:r w:rsidRPr="00C433F3">
              <w:rPr>
                <w:rFonts w:cs="Calibri"/>
                <w:sz w:val="22"/>
                <w:szCs w:val="22"/>
              </w:rPr>
              <w:t>8.4%</w:t>
            </w:r>
          </w:p>
        </w:tc>
        <w:tc>
          <w:tcPr>
            <w:tcW w:w="1418" w:type="dxa"/>
          </w:tcPr>
          <w:p w14:paraId="39E9E535" w14:textId="633419EF" w:rsidR="006F2FFB" w:rsidRPr="00C433F3" w:rsidRDefault="00E043C9" w:rsidP="006F2FFB">
            <w:pPr>
              <w:jc w:val="right"/>
              <w:rPr>
                <w:sz w:val="22"/>
                <w:szCs w:val="22"/>
              </w:rPr>
            </w:pPr>
            <w:r>
              <w:rPr>
                <w:sz w:val="22"/>
                <w:szCs w:val="22"/>
              </w:rPr>
              <w:t>411</w:t>
            </w:r>
          </w:p>
        </w:tc>
        <w:tc>
          <w:tcPr>
            <w:tcW w:w="1559" w:type="dxa"/>
          </w:tcPr>
          <w:p w14:paraId="5D0AEB3C" w14:textId="3B26D7FC" w:rsidR="006F2FFB" w:rsidRPr="00C433F3" w:rsidRDefault="00E043C9" w:rsidP="006F2FFB">
            <w:pPr>
              <w:jc w:val="right"/>
              <w:rPr>
                <w:sz w:val="22"/>
                <w:szCs w:val="22"/>
              </w:rPr>
            </w:pPr>
            <w:r>
              <w:rPr>
                <w:sz w:val="22"/>
                <w:szCs w:val="22"/>
              </w:rPr>
              <w:t>42</w:t>
            </w:r>
          </w:p>
        </w:tc>
        <w:tc>
          <w:tcPr>
            <w:tcW w:w="1417" w:type="dxa"/>
          </w:tcPr>
          <w:p w14:paraId="06EF337E" w14:textId="20ACE0E1" w:rsidR="006F2FFB" w:rsidRPr="00C433F3" w:rsidRDefault="00E043C9" w:rsidP="006F2FFB">
            <w:pPr>
              <w:jc w:val="right"/>
              <w:rPr>
                <w:sz w:val="22"/>
                <w:szCs w:val="22"/>
              </w:rPr>
            </w:pPr>
            <w:r>
              <w:rPr>
                <w:sz w:val="22"/>
                <w:szCs w:val="22"/>
              </w:rPr>
              <w:t>10.2%</w:t>
            </w:r>
          </w:p>
        </w:tc>
      </w:tr>
      <w:tr w:rsidR="006F2FFB" w:rsidRPr="006F2FFB" w14:paraId="5E76FE64" w14:textId="77777777" w:rsidTr="00C52262">
        <w:trPr>
          <w:jc w:val="center"/>
        </w:trPr>
        <w:tc>
          <w:tcPr>
            <w:tcW w:w="2278" w:type="dxa"/>
          </w:tcPr>
          <w:p w14:paraId="14301CE0" w14:textId="1E97E5F6" w:rsidR="006F2FFB" w:rsidRPr="00C433F3" w:rsidRDefault="006F2FFB" w:rsidP="006F2FFB">
            <w:pPr>
              <w:rPr>
                <w:sz w:val="22"/>
                <w:szCs w:val="22"/>
              </w:rPr>
            </w:pPr>
            <w:r w:rsidRPr="00C433F3">
              <w:rPr>
                <w:rFonts w:cs="Calibri"/>
                <w:sz w:val="22"/>
                <w:szCs w:val="22"/>
              </w:rPr>
              <w:t>Louth County Council</w:t>
            </w:r>
          </w:p>
        </w:tc>
        <w:tc>
          <w:tcPr>
            <w:tcW w:w="1559" w:type="dxa"/>
          </w:tcPr>
          <w:p w14:paraId="14D07CC4" w14:textId="6E147AAD" w:rsidR="006F2FFB" w:rsidRPr="00C433F3" w:rsidRDefault="006F2FFB" w:rsidP="006F2FFB">
            <w:pPr>
              <w:jc w:val="right"/>
              <w:rPr>
                <w:sz w:val="22"/>
                <w:szCs w:val="22"/>
              </w:rPr>
            </w:pPr>
            <w:r w:rsidRPr="00C433F3">
              <w:rPr>
                <w:rFonts w:cs="Calibri"/>
                <w:sz w:val="22"/>
                <w:szCs w:val="22"/>
              </w:rPr>
              <w:t>740</w:t>
            </w:r>
          </w:p>
        </w:tc>
        <w:tc>
          <w:tcPr>
            <w:tcW w:w="1560" w:type="dxa"/>
          </w:tcPr>
          <w:p w14:paraId="1D4F384F" w14:textId="4DBB132E" w:rsidR="006F2FFB" w:rsidRPr="00C433F3" w:rsidRDefault="006F2FFB" w:rsidP="006F2FFB">
            <w:pPr>
              <w:jc w:val="right"/>
              <w:rPr>
                <w:sz w:val="22"/>
                <w:szCs w:val="22"/>
              </w:rPr>
            </w:pPr>
            <w:r w:rsidRPr="00C433F3">
              <w:rPr>
                <w:rFonts w:cs="Calibri"/>
                <w:sz w:val="22"/>
                <w:szCs w:val="22"/>
              </w:rPr>
              <w:t>25</w:t>
            </w:r>
          </w:p>
        </w:tc>
        <w:tc>
          <w:tcPr>
            <w:tcW w:w="1417" w:type="dxa"/>
          </w:tcPr>
          <w:p w14:paraId="032FDEA8" w14:textId="342B2436" w:rsidR="006F2FFB" w:rsidRPr="00C433F3" w:rsidRDefault="006F2FFB" w:rsidP="006F2FFB">
            <w:pPr>
              <w:jc w:val="right"/>
              <w:rPr>
                <w:sz w:val="22"/>
                <w:szCs w:val="22"/>
              </w:rPr>
            </w:pPr>
            <w:r w:rsidRPr="00C433F3">
              <w:rPr>
                <w:rFonts w:cs="Calibri"/>
                <w:sz w:val="22"/>
                <w:szCs w:val="22"/>
              </w:rPr>
              <w:t>3.4%</w:t>
            </w:r>
          </w:p>
        </w:tc>
        <w:tc>
          <w:tcPr>
            <w:tcW w:w="1418" w:type="dxa"/>
          </w:tcPr>
          <w:p w14:paraId="5E7D9019" w14:textId="7F35496F" w:rsidR="006F2FFB" w:rsidRPr="00C433F3" w:rsidRDefault="00E043C9" w:rsidP="006F2FFB">
            <w:pPr>
              <w:jc w:val="right"/>
              <w:rPr>
                <w:sz w:val="22"/>
                <w:szCs w:val="22"/>
              </w:rPr>
            </w:pPr>
            <w:r>
              <w:rPr>
                <w:sz w:val="22"/>
                <w:szCs w:val="22"/>
              </w:rPr>
              <w:t>775</w:t>
            </w:r>
          </w:p>
        </w:tc>
        <w:tc>
          <w:tcPr>
            <w:tcW w:w="1559" w:type="dxa"/>
          </w:tcPr>
          <w:p w14:paraId="120DEA5A" w14:textId="0916BE85" w:rsidR="006F2FFB" w:rsidRPr="00C433F3" w:rsidRDefault="00E043C9" w:rsidP="006F2FFB">
            <w:pPr>
              <w:jc w:val="right"/>
              <w:rPr>
                <w:sz w:val="22"/>
                <w:szCs w:val="22"/>
              </w:rPr>
            </w:pPr>
            <w:r>
              <w:rPr>
                <w:sz w:val="22"/>
                <w:szCs w:val="22"/>
              </w:rPr>
              <w:t>25</w:t>
            </w:r>
          </w:p>
        </w:tc>
        <w:tc>
          <w:tcPr>
            <w:tcW w:w="1417" w:type="dxa"/>
          </w:tcPr>
          <w:p w14:paraId="3AE42BF4" w14:textId="7047F137" w:rsidR="006F2FFB" w:rsidRPr="00C433F3" w:rsidRDefault="00E043C9" w:rsidP="006F2FFB">
            <w:pPr>
              <w:jc w:val="right"/>
              <w:rPr>
                <w:sz w:val="22"/>
                <w:szCs w:val="22"/>
              </w:rPr>
            </w:pPr>
            <w:r>
              <w:rPr>
                <w:sz w:val="22"/>
                <w:szCs w:val="22"/>
              </w:rPr>
              <w:t>3.2%</w:t>
            </w:r>
          </w:p>
        </w:tc>
      </w:tr>
      <w:tr w:rsidR="006F2FFB" w:rsidRPr="006F2FFB" w14:paraId="1328177E" w14:textId="77777777" w:rsidTr="00C52262">
        <w:trPr>
          <w:jc w:val="center"/>
        </w:trPr>
        <w:tc>
          <w:tcPr>
            <w:tcW w:w="2278" w:type="dxa"/>
          </w:tcPr>
          <w:p w14:paraId="67B20342" w14:textId="445DDBFE" w:rsidR="006F2FFB" w:rsidRPr="00C433F3" w:rsidRDefault="006F2FFB" w:rsidP="006F2FFB">
            <w:pPr>
              <w:rPr>
                <w:sz w:val="22"/>
                <w:szCs w:val="22"/>
              </w:rPr>
            </w:pPr>
            <w:r w:rsidRPr="00C433F3">
              <w:rPr>
                <w:rFonts w:cs="Calibri"/>
                <w:sz w:val="22"/>
                <w:szCs w:val="22"/>
              </w:rPr>
              <w:t>Mayo County Council</w:t>
            </w:r>
          </w:p>
        </w:tc>
        <w:tc>
          <w:tcPr>
            <w:tcW w:w="1559" w:type="dxa"/>
          </w:tcPr>
          <w:p w14:paraId="3333EF6B" w14:textId="370D6108" w:rsidR="006F2FFB" w:rsidRPr="00C433F3" w:rsidRDefault="006F2FFB" w:rsidP="006F2FFB">
            <w:pPr>
              <w:jc w:val="right"/>
              <w:rPr>
                <w:sz w:val="22"/>
                <w:szCs w:val="22"/>
              </w:rPr>
            </w:pPr>
            <w:r w:rsidRPr="00C433F3">
              <w:rPr>
                <w:rFonts w:cs="Calibri"/>
                <w:sz w:val="22"/>
                <w:szCs w:val="22"/>
              </w:rPr>
              <w:t>1,317</w:t>
            </w:r>
          </w:p>
        </w:tc>
        <w:tc>
          <w:tcPr>
            <w:tcW w:w="1560" w:type="dxa"/>
          </w:tcPr>
          <w:p w14:paraId="6A7499AF" w14:textId="7EFEAC7C" w:rsidR="006F2FFB" w:rsidRPr="00C433F3" w:rsidRDefault="006F2FFB" w:rsidP="006F2FFB">
            <w:pPr>
              <w:jc w:val="right"/>
              <w:rPr>
                <w:sz w:val="22"/>
                <w:szCs w:val="22"/>
              </w:rPr>
            </w:pPr>
            <w:r w:rsidRPr="00C433F3">
              <w:rPr>
                <w:rFonts w:cs="Calibri"/>
                <w:sz w:val="22"/>
                <w:szCs w:val="22"/>
              </w:rPr>
              <w:t>59</w:t>
            </w:r>
          </w:p>
        </w:tc>
        <w:tc>
          <w:tcPr>
            <w:tcW w:w="1417" w:type="dxa"/>
          </w:tcPr>
          <w:p w14:paraId="1638C929" w14:textId="34D81369" w:rsidR="006F2FFB" w:rsidRPr="00C433F3" w:rsidRDefault="006F2FFB" w:rsidP="006F2FFB">
            <w:pPr>
              <w:jc w:val="right"/>
              <w:rPr>
                <w:sz w:val="22"/>
                <w:szCs w:val="22"/>
              </w:rPr>
            </w:pPr>
            <w:r w:rsidRPr="00C433F3">
              <w:rPr>
                <w:rFonts w:cs="Calibri"/>
                <w:sz w:val="22"/>
                <w:szCs w:val="22"/>
              </w:rPr>
              <w:t>4.5%</w:t>
            </w:r>
          </w:p>
        </w:tc>
        <w:tc>
          <w:tcPr>
            <w:tcW w:w="1418" w:type="dxa"/>
          </w:tcPr>
          <w:p w14:paraId="1B89E3AB" w14:textId="398DFA74" w:rsidR="006F2FFB" w:rsidRPr="00C433F3" w:rsidRDefault="00E043C9" w:rsidP="006F2FFB">
            <w:pPr>
              <w:jc w:val="right"/>
              <w:rPr>
                <w:sz w:val="22"/>
                <w:szCs w:val="22"/>
              </w:rPr>
            </w:pPr>
            <w:r>
              <w:rPr>
                <w:sz w:val="22"/>
                <w:szCs w:val="22"/>
              </w:rPr>
              <w:t>1305</w:t>
            </w:r>
          </w:p>
        </w:tc>
        <w:tc>
          <w:tcPr>
            <w:tcW w:w="1559" w:type="dxa"/>
          </w:tcPr>
          <w:p w14:paraId="13EFCC53" w14:textId="77B3A21B" w:rsidR="006F2FFB" w:rsidRPr="00C433F3" w:rsidRDefault="00E043C9" w:rsidP="006F2FFB">
            <w:pPr>
              <w:jc w:val="right"/>
              <w:rPr>
                <w:sz w:val="22"/>
                <w:szCs w:val="22"/>
              </w:rPr>
            </w:pPr>
            <w:r>
              <w:rPr>
                <w:sz w:val="22"/>
                <w:szCs w:val="22"/>
              </w:rPr>
              <w:t>46</w:t>
            </w:r>
          </w:p>
        </w:tc>
        <w:tc>
          <w:tcPr>
            <w:tcW w:w="1417" w:type="dxa"/>
          </w:tcPr>
          <w:p w14:paraId="717E3E47" w14:textId="7B73004C" w:rsidR="006F2FFB" w:rsidRPr="00C433F3" w:rsidRDefault="00E043C9" w:rsidP="006F2FFB">
            <w:pPr>
              <w:jc w:val="right"/>
              <w:rPr>
                <w:sz w:val="22"/>
                <w:szCs w:val="22"/>
              </w:rPr>
            </w:pPr>
            <w:r>
              <w:rPr>
                <w:sz w:val="22"/>
                <w:szCs w:val="22"/>
              </w:rPr>
              <w:t>3.5%</w:t>
            </w:r>
          </w:p>
        </w:tc>
      </w:tr>
      <w:tr w:rsidR="006F2FFB" w:rsidRPr="006F2FFB" w14:paraId="2F945A25" w14:textId="77777777" w:rsidTr="00C52262">
        <w:trPr>
          <w:jc w:val="center"/>
        </w:trPr>
        <w:tc>
          <w:tcPr>
            <w:tcW w:w="2278" w:type="dxa"/>
          </w:tcPr>
          <w:p w14:paraId="38995EF9" w14:textId="5FCD8001" w:rsidR="006F2FFB" w:rsidRPr="00C433F3" w:rsidRDefault="006F2FFB" w:rsidP="006F2FFB">
            <w:pPr>
              <w:rPr>
                <w:sz w:val="22"/>
                <w:szCs w:val="22"/>
              </w:rPr>
            </w:pPr>
            <w:r w:rsidRPr="00C433F3">
              <w:rPr>
                <w:rFonts w:cs="Calibri"/>
                <w:sz w:val="22"/>
                <w:szCs w:val="22"/>
              </w:rPr>
              <w:t>Meath County Council</w:t>
            </w:r>
          </w:p>
        </w:tc>
        <w:tc>
          <w:tcPr>
            <w:tcW w:w="1559" w:type="dxa"/>
          </w:tcPr>
          <w:p w14:paraId="6EDD55FD" w14:textId="63803FCB" w:rsidR="006F2FFB" w:rsidRPr="00C433F3" w:rsidRDefault="006F2FFB" w:rsidP="006F2FFB">
            <w:pPr>
              <w:jc w:val="right"/>
              <w:rPr>
                <w:sz w:val="22"/>
                <w:szCs w:val="22"/>
              </w:rPr>
            </w:pPr>
            <w:r w:rsidRPr="00C433F3">
              <w:rPr>
                <w:rFonts w:cs="Calibri"/>
                <w:sz w:val="22"/>
                <w:szCs w:val="22"/>
              </w:rPr>
              <w:t>802</w:t>
            </w:r>
          </w:p>
        </w:tc>
        <w:tc>
          <w:tcPr>
            <w:tcW w:w="1560" w:type="dxa"/>
          </w:tcPr>
          <w:p w14:paraId="3C38BB74" w14:textId="39F0FEC1" w:rsidR="006F2FFB" w:rsidRPr="00C433F3" w:rsidRDefault="006F2FFB" w:rsidP="006F2FFB">
            <w:pPr>
              <w:jc w:val="right"/>
              <w:rPr>
                <w:sz w:val="22"/>
                <w:szCs w:val="22"/>
              </w:rPr>
            </w:pPr>
            <w:r w:rsidRPr="00C433F3">
              <w:rPr>
                <w:rFonts w:cs="Calibri"/>
                <w:sz w:val="22"/>
                <w:szCs w:val="22"/>
              </w:rPr>
              <w:t>37</w:t>
            </w:r>
          </w:p>
        </w:tc>
        <w:tc>
          <w:tcPr>
            <w:tcW w:w="1417" w:type="dxa"/>
          </w:tcPr>
          <w:p w14:paraId="677C2462" w14:textId="162E9A46" w:rsidR="006F2FFB" w:rsidRPr="00C433F3" w:rsidRDefault="006F2FFB" w:rsidP="006F2FFB">
            <w:pPr>
              <w:jc w:val="right"/>
              <w:rPr>
                <w:sz w:val="22"/>
                <w:szCs w:val="22"/>
              </w:rPr>
            </w:pPr>
            <w:r w:rsidRPr="00C433F3">
              <w:rPr>
                <w:rFonts w:cs="Calibri"/>
                <w:sz w:val="22"/>
                <w:szCs w:val="22"/>
              </w:rPr>
              <w:t>4.6%</w:t>
            </w:r>
          </w:p>
        </w:tc>
        <w:tc>
          <w:tcPr>
            <w:tcW w:w="1418" w:type="dxa"/>
          </w:tcPr>
          <w:p w14:paraId="208CBC3D" w14:textId="28710448" w:rsidR="006F2FFB" w:rsidRPr="00C433F3" w:rsidRDefault="00E043C9" w:rsidP="006F2FFB">
            <w:pPr>
              <w:jc w:val="right"/>
              <w:rPr>
                <w:sz w:val="22"/>
                <w:szCs w:val="22"/>
              </w:rPr>
            </w:pPr>
            <w:r>
              <w:rPr>
                <w:sz w:val="22"/>
                <w:szCs w:val="22"/>
              </w:rPr>
              <w:t>841</w:t>
            </w:r>
          </w:p>
        </w:tc>
        <w:tc>
          <w:tcPr>
            <w:tcW w:w="1559" w:type="dxa"/>
          </w:tcPr>
          <w:p w14:paraId="521E3492" w14:textId="2041339B" w:rsidR="006F2FFB" w:rsidRPr="00C433F3" w:rsidRDefault="00E043C9" w:rsidP="006F2FFB">
            <w:pPr>
              <w:jc w:val="right"/>
              <w:rPr>
                <w:sz w:val="22"/>
                <w:szCs w:val="22"/>
              </w:rPr>
            </w:pPr>
            <w:r>
              <w:rPr>
                <w:sz w:val="22"/>
                <w:szCs w:val="22"/>
              </w:rPr>
              <w:t>42</w:t>
            </w:r>
          </w:p>
        </w:tc>
        <w:tc>
          <w:tcPr>
            <w:tcW w:w="1417" w:type="dxa"/>
          </w:tcPr>
          <w:p w14:paraId="6BD398A8" w14:textId="53D75722" w:rsidR="006F2FFB" w:rsidRPr="00C433F3" w:rsidRDefault="00E043C9" w:rsidP="006F2FFB">
            <w:pPr>
              <w:jc w:val="right"/>
              <w:rPr>
                <w:sz w:val="22"/>
                <w:szCs w:val="22"/>
              </w:rPr>
            </w:pPr>
            <w:r>
              <w:rPr>
                <w:sz w:val="22"/>
                <w:szCs w:val="22"/>
              </w:rPr>
              <w:t>5.0%</w:t>
            </w:r>
          </w:p>
        </w:tc>
      </w:tr>
      <w:tr w:rsidR="006F2FFB" w:rsidRPr="006F2FFB" w14:paraId="34AA1325" w14:textId="77777777" w:rsidTr="00C52262">
        <w:trPr>
          <w:jc w:val="center"/>
        </w:trPr>
        <w:tc>
          <w:tcPr>
            <w:tcW w:w="2278" w:type="dxa"/>
          </w:tcPr>
          <w:p w14:paraId="77B3DA82" w14:textId="69B4934F" w:rsidR="006F2FFB" w:rsidRPr="00C433F3" w:rsidRDefault="006F2FFB" w:rsidP="006F2FFB">
            <w:pPr>
              <w:rPr>
                <w:sz w:val="22"/>
                <w:szCs w:val="22"/>
              </w:rPr>
            </w:pPr>
            <w:r w:rsidRPr="00C433F3">
              <w:rPr>
                <w:rFonts w:cs="Calibri"/>
                <w:sz w:val="22"/>
                <w:szCs w:val="22"/>
              </w:rPr>
              <w:t>Monaghan County Council</w:t>
            </w:r>
          </w:p>
        </w:tc>
        <w:tc>
          <w:tcPr>
            <w:tcW w:w="1559" w:type="dxa"/>
          </w:tcPr>
          <w:p w14:paraId="49D2A842" w14:textId="202C801B" w:rsidR="006F2FFB" w:rsidRPr="00C433F3" w:rsidRDefault="006F2FFB" w:rsidP="006F2FFB">
            <w:pPr>
              <w:jc w:val="right"/>
              <w:rPr>
                <w:sz w:val="22"/>
                <w:szCs w:val="22"/>
              </w:rPr>
            </w:pPr>
            <w:r w:rsidRPr="00C433F3">
              <w:rPr>
                <w:rFonts w:cs="Calibri"/>
                <w:sz w:val="22"/>
                <w:szCs w:val="22"/>
              </w:rPr>
              <w:t>462</w:t>
            </w:r>
          </w:p>
        </w:tc>
        <w:tc>
          <w:tcPr>
            <w:tcW w:w="1560" w:type="dxa"/>
          </w:tcPr>
          <w:p w14:paraId="318DCFB5" w14:textId="0B5C1529" w:rsidR="006F2FFB" w:rsidRPr="00C433F3" w:rsidRDefault="006F2FFB" w:rsidP="006F2FFB">
            <w:pPr>
              <w:jc w:val="right"/>
              <w:rPr>
                <w:sz w:val="22"/>
                <w:szCs w:val="22"/>
              </w:rPr>
            </w:pPr>
            <w:r w:rsidRPr="00C433F3">
              <w:rPr>
                <w:rFonts w:cs="Calibri"/>
                <w:sz w:val="22"/>
                <w:szCs w:val="22"/>
              </w:rPr>
              <w:t>35</w:t>
            </w:r>
          </w:p>
        </w:tc>
        <w:tc>
          <w:tcPr>
            <w:tcW w:w="1417" w:type="dxa"/>
          </w:tcPr>
          <w:p w14:paraId="28662387" w14:textId="4CE8592B" w:rsidR="006F2FFB" w:rsidRPr="00C433F3" w:rsidRDefault="006F2FFB" w:rsidP="006F2FFB">
            <w:pPr>
              <w:jc w:val="right"/>
              <w:rPr>
                <w:sz w:val="22"/>
                <w:szCs w:val="22"/>
              </w:rPr>
            </w:pPr>
            <w:r w:rsidRPr="00C433F3">
              <w:rPr>
                <w:rFonts w:cs="Calibri"/>
                <w:sz w:val="22"/>
                <w:szCs w:val="22"/>
              </w:rPr>
              <w:t>7.6%</w:t>
            </w:r>
          </w:p>
        </w:tc>
        <w:tc>
          <w:tcPr>
            <w:tcW w:w="1418" w:type="dxa"/>
          </w:tcPr>
          <w:p w14:paraId="716DC489" w14:textId="2FF5DB29" w:rsidR="006F2FFB" w:rsidRPr="00C433F3" w:rsidRDefault="00E043C9" w:rsidP="006F2FFB">
            <w:pPr>
              <w:jc w:val="right"/>
              <w:rPr>
                <w:sz w:val="22"/>
                <w:szCs w:val="22"/>
              </w:rPr>
            </w:pPr>
            <w:r>
              <w:rPr>
                <w:sz w:val="22"/>
                <w:szCs w:val="22"/>
              </w:rPr>
              <w:t>427</w:t>
            </w:r>
          </w:p>
        </w:tc>
        <w:tc>
          <w:tcPr>
            <w:tcW w:w="1559" w:type="dxa"/>
          </w:tcPr>
          <w:p w14:paraId="1B19BB73" w14:textId="51DD1E15" w:rsidR="006F2FFB" w:rsidRPr="00C433F3" w:rsidRDefault="00E043C9" w:rsidP="006F2FFB">
            <w:pPr>
              <w:jc w:val="right"/>
              <w:rPr>
                <w:sz w:val="22"/>
                <w:szCs w:val="22"/>
              </w:rPr>
            </w:pPr>
            <w:r>
              <w:rPr>
                <w:sz w:val="22"/>
                <w:szCs w:val="22"/>
              </w:rPr>
              <w:t>31</w:t>
            </w:r>
          </w:p>
        </w:tc>
        <w:tc>
          <w:tcPr>
            <w:tcW w:w="1417" w:type="dxa"/>
          </w:tcPr>
          <w:p w14:paraId="4538F209" w14:textId="6AC5DC32" w:rsidR="006F2FFB" w:rsidRPr="00C433F3" w:rsidRDefault="00E043C9" w:rsidP="006F2FFB">
            <w:pPr>
              <w:jc w:val="right"/>
              <w:rPr>
                <w:sz w:val="22"/>
                <w:szCs w:val="22"/>
              </w:rPr>
            </w:pPr>
            <w:r>
              <w:rPr>
                <w:sz w:val="22"/>
                <w:szCs w:val="22"/>
              </w:rPr>
              <w:t>7.3%</w:t>
            </w:r>
          </w:p>
        </w:tc>
      </w:tr>
      <w:tr w:rsidR="006F2FFB" w:rsidRPr="006F2FFB" w14:paraId="72920AA2" w14:textId="77777777" w:rsidTr="00C52262">
        <w:trPr>
          <w:jc w:val="center"/>
        </w:trPr>
        <w:tc>
          <w:tcPr>
            <w:tcW w:w="2278" w:type="dxa"/>
          </w:tcPr>
          <w:p w14:paraId="0972C496" w14:textId="4F841B95" w:rsidR="006F2FFB" w:rsidRPr="00C433F3" w:rsidRDefault="006F2FFB" w:rsidP="006F2FFB">
            <w:pPr>
              <w:rPr>
                <w:sz w:val="22"/>
                <w:szCs w:val="22"/>
              </w:rPr>
            </w:pPr>
            <w:r w:rsidRPr="00C433F3">
              <w:rPr>
                <w:rFonts w:cs="Calibri"/>
                <w:sz w:val="22"/>
                <w:szCs w:val="22"/>
              </w:rPr>
              <w:t>Northern &amp; Western Regional Assembly</w:t>
            </w:r>
          </w:p>
        </w:tc>
        <w:tc>
          <w:tcPr>
            <w:tcW w:w="1559" w:type="dxa"/>
          </w:tcPr>
          <w:p w14:paraId="12EC5AC7" w14:textId="22D58FFD" w:rsidR="006F2FFB" w:rsidRPr="00C433F3" w:rsidRDefault="006F2FFB" w:rsidP="006F2FFB">
            <w:pPr>
              <w:jc w:val="right"/>
              <w:rPr>
                <w:sz w:val="22"/>
                <w:szCs w:val="22"/>
              </w:rPr>
            </w:pPr>
            <w:r w:rsidRPr="00C433F3">
              <w:rPr>
                <w:rFonts w:cs="Calibri"/>
                <w:sz w:val="22"/>
                <w:szCs w:val="22"/>
              </w:rPr>
              <w:t>19</w:t>
            </w:r>
          </w:p>
        </w:tc>
        <w:tc>
          <w:tcPr>
            <w:tcW w:w="1560" w:type="dxa"/>
          </w:tcPr>
          <w:p w14:paraId="1063452F" w14:textId="366BA7DC" w:rsidR="006F2FFB" w:rsidRPr="00C433F3" w:rsidRDefault="006F2FFB" w:rsidP="006F2FFB">
            <w:pPr>
              <w:jc w:val="right"/>
              <w:rPr>
                <w:sz w:val="22"/>
                <w:szCs w:val="22"/>
              </w:rPr>
            </w:pPr>
            <w:r w:rsidRPr="00C433F3">
              <w:rPr>
                <w:rFonts w:cs="Calibri"/>
                <w:sz w:val="22"/>
                <w:szCs w:val="22"/>
              </w:rPr>
              <w:t>0</w:t>
            </w:r>
          </w:p>
        </w:tc>
        <w:tc>
          <w:tcPr>
            <w:tcW w:w="1417" w:type="dxa"/>
          </w:tcPr>
          <w:p w14:paraId="4B61DB17" w14:textId="14F99E46" w:rsidR="006F2FFB" w:rsidRPr="00C433F3" w:rsidRDefault="006F2FFB" w:rsidP="006F2FFB">
            <w:pPr>
              <w:jc w:val="right"/>
              <w:rPr>
                <w:sz w:val="22"/>
                <w:szCs w:val="22"/>
              </w:rPr>
            </w:pPr>
            <w:r w:rsidRPr="00C433F3">
              <w:rPr>
                <w:rFonts w:cs="Calibri"/>
                <w:sz w:val="22"/>
                <w:szCs w:val="22"/>
              </w:rPr>
              <w:t>0.0%</w:t>
            </w:r>
          </w:p>
        </w:tc>
        <w:tc>
          <w:tcPr>
            <w:tcW w:w="1418" w:type="dxa"/>
          </w:tcPr>
          <w:p w14:paraId="041ED1FB" w14:textId="0623AB36" w:rsidR="006F2FFB" w:rsidRPr="00C433F3" w:rsidRDefault="00E043C9" w:rsidP="006F2FFB">
            <w:pPr>
              <w:jc w:val="right"/>
              <w:rPr>
                <w:sz w:val="22"/>
                <w:szCs w:val="22"/>
              </w:rPr>
            </w:pPr>
            <w:r>
              <w:rPr>
                <w:sz w:val="22"/>
                <w:szCs w:val="22"/>
              </w:rPr>
              <w:t>20</w:t>
            </w:r>
          </w:p>
        </w:tc>
        <w:tc>
          <w:tcPr>
            <w:tcW w:w="1559" w:type="dxa"/>
          </w:tcPr>
          <w:p w14:paraId="2D6A4EBF" w14:textId="216BE886" w:rsidR="006F2FFB" w:rsidRPr="00C433F3" w:rsidRDefault="00E043C9" w:rsidP="006F2FFB">
            <w:pPr>
              <w:jc w:val="right"/>
              <w:rPr>
                <w:sz w:val="22"/>
                <w:szCs w:val="22"/>
              </w:rPr>
            </w:pPr>
            <w:r>
              <w:rPr>
                <w:sz w:val="22"/>
                <w:szCs w:val="22"/>
              </w:rPr>
              <w:t>0</w:t>
            </w:r>
          </w:p>
        </w:tc>
        <w:tc>
          <w:tcPr>
            <w:tcW w:w="1417" w:type="dxa"/>
          </w:tcPr>
          <w:p w14:paraId="625BB094" w14:textId="53846203" w:rsidR="006F2FFB" w:rsidRPr="00C433F3" w:rsidRDefault="00E043C9" w:rsidP="006F2FFB">
            <w:pPr>
              <w:jc w:val="right"/>
              <w:rPr>
                <w:sz w:val="22"/>
                <w:szCs w:val="22"/>
              </w:rPr>
            </w:pPr>
            <w:r>
              <w:rPr>
                <w:sz w:val="22"/>
                <w:szCs w:val="22"/>
              </w:rPr>
              <w:t>0%</w:t>
            </w:r>
          </w:p>
        </w:tc>
      </w:tr>
      <w:tr w:rsidR="006F2FFB" w:rsidRPr="006F2FFB" w14:paraId="5F485423" w14:textId="77777777" w:rsidTr="00C52262">
        <w:trPr>
          <w:jc w:val="center"/>
        </w:trPr>
        <w:tc>
          <w:tcPr>
            <w:tcW w:w="2278" w:type="dxa"/>
          </w:tcPr>
          <w:p w14:paraId="3218F958" w14:textId="1A2313D3" w:rsidR="006F2FFB" w:rsidRPr="006F2FFB" w:rsidRDefault="006F2FFB" w:rsidP="006F2FFB">
            <w:pPr>
              <w:rPr>
                <w:sz w:val="22"/>
                <w:szCs w:val="22"/>
              </w:rPr>
            </w:pPr>
            <w:r w:rsidRPr="006F2FFB">
              <w:rPr>
                <w:rFonts w:cs="Calibri"/>
                <w:color w:val="000000"/>
                <w:sz w:val="22"/>
                <w:szCs w:val="22"/>
              </w:rPr>
              <w:t>Offaly County Council</w:t>
            </w:r>
          </w:p>
        </w:tc>
        <w:tc>
          <w:tcPr>
            <w:tcW w:w="1559" w:type="dxa"/>
          </w:tcPr>
          <w:p w14:paraId="0322845B" w14:textId="09DD373F" w:rsidR="006F2FFB" w:rsidRPr="006F2FFB" w:rsidRDefault="006F2FFB" w:rsidP="006F2FFB">
            <w:pPr>
              <w:jc w:val="right"/>
              <w:rPr>
                <w:sz w:val="22"/>
                <w:szCs w:val="22"/>
              </w:rPr>
            </w:pPr>
            <w:r w:rsidRPr="006F2FFB">
              <w:rPr>
                <w:rFonts w:cs="Calibri"/>
                <w:color w:val="000000"/>
                <w:sz w:val="22"/>
                <w:szCs w:val="22"/>
              </w:rPr>
              <w:t>430</w:t>
            </w:r>
          </w:p>
        </w:tc>
        <w:tc>
          <w:tcPr>
            <w:tcW w:w="1560" w:type="dxa"/>
          </w:tcPr>
          <w:p w14:paraId="5E3C534D" w14:textId="5597FB25" w:rsidR="006F2FFB" w:rsidRPr="006F2FFB" w:rsidRDefault="006F2FFB" w:rsidP="006F2FFB">
            <w:pPr>
              <w:jc w:val="right"/>
              <w:rPr>
                <w:sz w:val="22"/>
                <w:szCs w:val="22"/>
              </w:rPr>
            </w:pPr>
            <w:r w:rsidRPr="006F2FFB">
              <w:rPr>
                <w:rFonts w:cs="Calibri"/>
                <w:color w:val="000000"/>
                <w:sz w:val="22"/>
                <w:szCs w:val="22"/>
              </w:rPr>
              <w:t>24</w:t>
            </w:r>
          </w:p>
        </w:tc>
        <w:tc>
          <w:tcPr>
            <w:tcW w:w="1417" w:type="dxa"/>
          </w:tcPr>
          <w:p w14:paraId="4B548C50" w14:textId="5ADD0F04" w:rsidR="006F2FFB" w:rsidRPr="006F2FFB" w:rsidRDefault="006F2FFB" w:rsidP="006F2FFB">
            <w:pPr>
              <w:jc w:val="right"/>
              <w:rPr>
                <w:sz w:val="22"/>
                <w:szCs w:val="22"/>
              </w:rPr>
            </w:pPr>
            <w:r w:rsidRPr="006F2FFB">
              <w:rPr>
                <w:rFonts w:cs="Calibri"/>
                <w:color w:val="000000"/>
                <w:sz w:val="22"/>
                <w:szCs w:val="22"/>
              </w:rPr>
              <w:t>5.6%</w:t>
            </w:r>
          </w:p>
        </w:tc>
        <w:tc>
          <w:tcPr>
            <w:tcW w:w="1418" w:type="dxa"/>
          </w:tcPr>
          <w:p w14:paraId="0597B3A8" w14:textId="5219D030" w:rsidR="006F2FFB" w:rsidRPr="006F2FFB" w:rsidRDefault="00E043C9" w:rsidP="006F2FFB">
            <w:pPr>
              <w:jc w:val="right"/>
              <w:rPr>
                <w:sz w:val="22"/>
                <w:szCs w:val="22"/>
              </w:rPr>
            </w:pPr>
            <w:r>
              <w:rPr>
                <w:sz w:val="22"/>
                <w:szCs w:val="22"/>
              </w:rPr>
              <w:t>434</w:t>
            </w:r>
          </w:p>
        </w:tc>
        <w:tc>
          <w:tcPr>
            <w:tcW w:w="1559" w:type="dxa"/>
          </w:tcPr>
          <w:p w14:paraId="27D3D84C" w14:textId="20BE99FE" w:rsidR="006F2FFB" w:rsidRPr="006F2FFB" w:rsidRDefault="00E043C9" w:rsidP="006F2FFB">
            <w:pPr>
              <w:jc w:val="right"/>
              <w:rPr>
                <w:sz w:val="22"/>
                <w:szCs w:val="22"/>
              </w:rPr>
            </w:pPr>
            <w:r>
              <w:rPr>
                <w:sz w:val="22"/>
                <w:szCs w:val="22"/>
              </w:rPr>
              <w:t>27</w:t>
            </w:r>
          </w:p>
        </w:tc>
        <w:tc>
          <w:tcPr>
            <w:tcW w:w="1417" w:type="dxa"/>
          </w:tcPr>
          <w:p w14:paraId="051DB228" w14:textId="4E550528" w:rsidR="006F2FFB" w:rsidRPr="006F2FFB" w:rsidRDefault="00E043C9" w:rsidP="006F2FFB">
            <w:pPr>
              <w:jc w:val="right"/>
              <w:rPr>
                <w:sz w:val="22"/>
                <w:szCs w:val="22"/>
              </w:rPr>
            </w:pPr>
            <w:r>
              <w:rPr>
                <w:sz w:val="22"/>
                <w:szCs w:val="22"/>
              </w:rPr>
              <w:t>6.2%</w:t>
            </w:r>
          </w:p>
        </w:tc>
      </w:tr>
      <w:tr w:rsidR="006F2FFB" w:rsidRPr="006F2FFB" w14:paraId="7A718AF0" w14:textId="77777777" w:rsidTr="00C52262">
        <w:trPr>
          <w:jc w:val="center"/>
        </w:trPr>
        <w:tc>
          <w:tcPr>
            <w:tcW w:w="2278" w:type="dxa"/>
          </w:tcPr>
          <w:p w14:paraId="7A6C87F4" w14:textId="4EBC4052" w:rsidR="006F2FFB" w:rsidRPr="006F2FFB" w:rsidRDefault="006F2FFB" w:rsidP="006F2FFB">
            <w:pPr>
              <w:rPr>
                <w:sz w:val="22"/>
                <w:szCs w:val="22"/>
              </w:rPr>
            </w:pPr>
            <w:r w:rsidRPr="006F2FFB">
              <w:rPr>
                <w:rFonts w:cs="Calibri"/>
                <w:color w:val="000000"/>
                <w:sz w:val="22"/>
                <w:szCs w:val="22"/>
              </w:rPr>
              <w:lastRenderedPageBreak/>
              <w:t>Ordnance Survey Ireland (OSI)</w:t>
            </w:r>
          </w:p>
        </w:tc>
        <w:tc>
          <w:tcPr>
            <w:tcW w:w="1559" w:type="dxa"/>
          </w:tcPr>
          <w:p w14:paraId="30A89E2B" w14:textId="2AD31B5E" w:rsidR="006F2FFB" w:rsidRPr="006F2FFB" w:rsidRDefault="006F2FFB" w:rsidP="006F2FFB">
            <w:pPr>
              <w:jc w:val="right"/>
              <w:rPr>
                <w:sz w:val="22"/>
                <w:szCs w:val="22"/>
              </w:rPr>
            </w:pPr>
            <w:r w:rsidRPr="006F2FFB">
              <w:rPr>
                <w:rFonts w:cs="Calibri"/>
                <w:color w:val="000000"/>
                <w:sz w:val="22"/>
                <w:szCs w:val="22"/>
              </w:rPr>
              <w:t>218</w:t>
            </w:r>
          </w:p>
        </w:tc>
        <w:tc>
          <w:tcPr>
            <w:tcW w:w="1560" w:type="dxa"/>
          </w:tcPr>
          <w:p w14:paraId="4FC89B48" w14:textId="116FD53E" w:rsidR="006F2FFB" w:rsidRPr="006F2FFB" w:rsidRDefault="006F2FFB" w:rsidP="006F2FFB">
            <w:pPr>
              <w:jc w:val="right"/>
              <w:rPr>
                <w:sz w:val="22"/>
                <w:szCs w:val="22"/>
              </w:rPr>
            </w:pPr>
            <w:r w:rsidRPr="006F2FFB">
              <w:rPr>
                <w:rFonts w:cs="Calibri"/>
                <w:color w:val="000000"/>
                <w:sz w:val="22"/>
                <w:szCs w:val="22"/>
              </w:rPr>
              <w:t>16</w:t>
            </w:r>
          </w:p>
        </w:tc>
        <w:tc>
          <w:tcPr>
            <w:tcW w:w="1417" w:type="dxa"/>
          </w:tcPr>
          <w:p w14:paraId="5DF9F3D1" w14:textId="63A4BF76" w:rsidR="006F2FFB" w:rsidRPr="006F2FFB" w:rsidRDefault="006F2FFB" w:rsidP="006F2FFB">
            <w:pPr>
              <w:jc w:val="right"/>
              <w:rPr>
                <w:sz w:val="22"/>
                <w:szCs w:val="22"/>
              </w:rPr>
            </w:pPr>
            <w:r w:rsidRPr="006F2FFB">
              <w:rPr>
                <w:rFonts w:cs="Calibri"/>
                <w:color w:val="000000"/>
                <w:sz w:val="22"/>
                <w:szCs w:val="22"/>
              </w:rPr>
              <w:t>7.3%</w:t>
            </w:r>
          </w:p>
        </w:tc>
        <w:tc>
          <w:tcPr>
            <w:tcW w:w="1418" w:type="dxa"/>
          </w:tcPr>
          <w:p w14:paraId="590B90E3" w14:textId="619E7397" w:rsidR="006F2FFB" w:rsidRPr="006F2FFB" w:rsidRDefault="00E043C9" w:rsidP="006F2FFB">
            <w:pPr>
              <w:jc w:val="right"/>
              <w:rPr>
                <w:sz w:val="22"/>
                <w:szCs w:val="22"/>
              </w:rPr>
            </w:pPr>
            <w:r>
              <w:rPr>
                <w:sz w:val="22"/>
                <w:szCs w:val="22"/>
              </w:rPr>
              <w:t>216</w:t>
            </w:r>
          </w:p>
        </w:tc>
        <w:tc>
          <w:tcPr>
            <w:tcW w:w="1559" w:type="dxa"/>
          </w:tcPr>
          <w:p w14:paraId="2BC226E3" w14:textId="2AC360D3" w:rsidR="006F2FFB" w:rsidRPr="006F2FFB" w:rsidRDefault="00E043C9" w:rsidP="006F2FFB">
            <w:pPr>
              <w:jc w:val="right"/>
              <w:rPr>
                <w:sz w:val="22"/>
                <w:szCs w:val="22"/>
              </w:rPr>
            </w:pPr>
            <w:r>
              <w:rPr>
                <w:sz w:val="22"/>
                <w:szCs w:val="22"/>
              </w:rPr>
              <w:t>23</w:t>
            </w:r>
          </w:p>
        </w:tc>
        <w:tc>
          <w:tcPr>
            <w:tcW w:w="1417" w:type="dxa"/>
          </w:tcPr>
          <w:p w14:paraId="525AA4CF" w14:textId="5F6E3721" w:rsidR="006F2FFB" w:rsidRPr="006F2FFB" w:rsidRDefault="00E043C9" w:rsidP="006F2FFB">
            <w:pPr>
              <w:jc w:val="right"/>
              <w:rPr>
                <w:sz w:val="22"/>
                <w:szCs w:val="22"/>
              </w:rPr>
            </w:pPr>
            <w:r>
              <w:rPr>
                <w:sz w:val="22"/>
                <w:szCs w:val="22"/>
              </w:rPr>
              <w:t>10.</w:t>
            </w:r>
            <w:r w:rsidR="006F494A">
              <w:rPr>
                <w:sz w:val="22"/>
                <w:szCs w:val="22"/>
              </w:rPr>
              <w:t>6</w:t>
            </w:r>
            <w:r>
              <w:rPr>
                <w:sz w:val="22"/>
                <w:szCs w:val="22"/>
              </w:rPr>
              <w:t>%</w:t>
            </w:r>
          </w:p>
        </w:tc>
      </w:tr>
      <w:tr w:rsidR="006F2FFB" w:rsidRPr="006F2FFB" w14:paraId="7C93B559" w14:textId="77777777" w:rsidTr="00C52262">
        <w:trPr>
          <w:jc w:val="center"/>
        </w:trPr>
        <w:tc>
          <w:tcPr>
            <w:tcW w:w="2278" w:type="dxa"/>
          </w:tcPr>
          <w:p w14:paraId="25FEA318" w14:textId="26FC6C3F" w:rsidR="006F2FFB" w:rsidRPr="006F2FFB" w:rsidRDefault="006F2FFB" w:rsidP="006F2FFB">
            <w:pPr>
              <w:rPr>
                <w:sz w:val="22"/>
                <w:szCs w:val="22"/>
              </w:rPr>
            </w:pPr>
            <w:r w:rsidRPr="006F2FFB">
              <w:rPr>
                <w:rFonts w:cs="Calibri"/>
                <w:color w:val="000000"/>
                <w:sz w:val="22"/>
                <w:szCs w:val="22"/>
              </w:rPr>
              <w:t>Residential Tenancies Board</w:t>
            </w:r>
          </w:p>
        </w:tc>
        <w:tc>
          <w:tcPr>
            <w:tcW w:w="1559" w:type="dxa"/>
          </w:tcPr>
          <w:p w14:paraId="34C3A909" w14:textId="5DEE77DA" w:rsidR="006F2FFB" w:rsidRPr="006F2FFB" w:rsidRDefault="006F2FFB" w:rsidP="006F2FFB">
            <w:pPr>
              <w:jc w:val="right"/>
              <w:rPr>
                <w:sz w:val="22"/>
                <w:szCs w:val="22"/>
              </w:rPr>
            </w:pPr>
            <w:r w:rsidRPr="006F2FFB">
              <w:rPr>
                <w:rFonts w:cs="Calibri"/>
                <w:color w:val="000000"/>
                <w:sz w:val="22"/>
                <w:szCs w:val="22"/>
              </w:rPr>
              <w:t>96</w:t>
            </w:r>
          </w:p>
        </w:tc>
        <w:tc>
          <w:tcPr>
            <w:tcW w:w="1560" w:type="dxa"/>
          </w:tcPr>
          <w:p w14:paraId="51388587" w14:textId="56BEC4A9" w:rsidR="006F2FFB" w:rsidRPr="006F2FFB" w:rsidRDefault="006F2FFB" w:rsidP="006F2FFB">
            <w:pPr>
              <w:jc w:val="right"/>
              <w:rPr>
                <w:sz w:val="22"/>
                <w:szCs w:val="22"/>
              </w:rPr>
            </w:pPr>
            <w:r w:rsidRPr="006F2FFB">
              <w:rPr>
                <w:rFonts w:cs="Calibri"/>
                <w:color w:val="000000"/>
                <w:sz w:val="22"/>
                <w:szCs w:val="22"/>
              </w:rPr>
              <w:t>12</w:t>
            </w:r>
          </w:p>
        </w:tc>
        <w:tc>
          <w:tcPr>
            <w:tcW w:w="1417" w:type="dxa"/>
          </w:tcPr>
          <w:p w14:paraId="00675BEC" w14:textId="5237BFCB" w:rsidR="006F2FFB" w:rsidRPr="006F2FFB" w:rsidRDefault="006F2FFB" w:rsidP="006F2FFB">
            <w:pPr>
              <w:jc w:val="right"/>
              <w:rPr>
                <w:sz w:val="22"/>
                <w:szCs w:val="22"/>
              </w:rPr>
            </w:pPr>
            <w:r w:rsidRPr="006F2FFB">
              <w:rPr>
                <w:rFonts w:cs="Calibri"/>
                <w:color w:val="000000"/>
                <w:sz w:val="22"/>
                <w:szCs w:val="22"/>
              </w:rPr>
              <w:t>12.5%</w:t>
            </w:r>
          </w:p>
        </w:tc>
        <w:tc>
          <w:tcPr>
            <w:tcW w:w="1418" w:type="dxa"/>
          </w:tcPr>
          <w:p w14:paraId="183E11FA" w14:textId="16CD49ED" w:rsidR="006F2FFB" w:rsidRPr="006F2FFB" w:rsidRDefault="00E043C9" w:rsidP="006F2FFB">
            <w:pPr>
              <w:jc w:val="right"/>
              <w:rPr>
                <w:sz w:val="22"/>
                <w:szCs w:val="22"/>
              </w:rPr>
            </w:pPr>
            <w:r>
              <w:rPr>
                <w:sz w:val="22"/>
                <w:szCs w:val="22"/>
              </w:rPr>
              <w:t>89</w:t>
            </w:r>
          </w:p>
        </w:tc>
        <w:tc>
          <w:tcPr>
            <w:tcW w:w="1559" w:type="dxa"/>
          </w:tcPr>
          <w:p w14:paraId="204461DD" w14:textId="5C99D60C" w:rsidR="006F2FFB" w:rsidRPr="006F2FFB" w:rsidRDefault="00E043C9" w:rsidP="006F2FFB">
            <w:pPr>
              <w:jc w:val="right"/>
              <w:rPr>
                <w:sz w:val="22"/>
                <w:szCs w:val="22"/>
              </w:rPr>
            </w:pPr>
            <w:r>
              <w:rPr>
                <w:sz w:val="22"/>
                <w:szCs w:val="22"/>
              </w:rPr>
              <w:t>8</w:t>
            </w:r>
          </w:p>
        </w:tc>
        <w:tc>
          <w:tcPr>
            <w:tcW w:w="1417" w:type="dxa"/>
          </w:tcPr>
          <w:p w14:paraId="7A6B2C69" w14:textId="0634712C" w:rsidR="006F2FFB" w:rsidRPr="006F2FFB" w:rsidRDefault="00E043C9" w:rsidP="006F2FFB">
            <w:pPr>
              <w:jc w:val="right"/>
              <w:rPr>
                <w:sz w:val="22"/>
                <w:szCs w:val="22"/>
              </w:rPr>
            </w:pPr>
            <w:r>
              <w:rPr>
                <w:sz w:val="22"/>
                <w:szCs w:val="22"/>
              </w:rPr>
              <w:t>9.0%</w:t>
            </w:r>
          </w:p>
        </w:tc>
      </w:tr>
      <w:tr w:rsidR="006F2FFB" w:rsidRPr="006F2FFB" w14:paraId="18565C8C" w14:textId="77777777" w:rsidTr="00C52262">
        <w:trPr>
          <w:jc w:val="center"/>
        </w:trPr>
        <w:tc>
          <w:tcPr>
            <w:tcW w:w="2278" w:type="dxa"/>
          </w:tcPr>
          <w:p w14:paraId="6E3A5A95" w14:textId="3CD17A4A" w:rsidR="006F2FFB" w:rsidRPr="006F2FFB" w:rsidRDefault="006F2FFB" w:rsidP="006F2FFB">
            <w:pPr>
              <w:rPr>
                <w:sz w:val="22"/>
                <w:szCs w:val="22"/>
              </w:rPr>
            </w:pPr>
            <w:r w:rsidRPr="006F2FFB">
              <w:rPr>
                <w:rFonts w:cs="Calibri"/>
                <w:color w:val="000000"/>
                <w:sz w:val="22"/>
                <w:szCs w:val="22"/>
              </w:rPr>
              <w:t>Roscommon County Council</w:t>
            </w:r>
          </w:p>
        </w:tc>
        <w:tc>
          <w:tcPr>
            <w:tcW w:w="1559" w:type="dxa"/>
          </w:tcPr>
          <w:p w14:paraId="4FB1F4B9" w14:textId="1F87B5A5" w:rsidR="006F2FFB" w:rsidRPr="006F2FFB" w:rsidRDefault="006F2FFB" w:rsidP="006F2FFB">
            <w:pPr>
              <w:jc w:val="right"/>
              <w:rPr>
                <w:sz w:val="22"/>
                <w:szCs w:val="22"/>
              </w:rPr>
            </w:pPr>
            <w:r w:rsidRPr="006F2FFB">
              <w:rPr>
                <w:rFonts w:cs="Calibri"/>
                <w:color w:val="000000"/>
                <w:sz w:val="22"/>
                <w:szCs w:val="22"/>
              </w:rPr>
              <w:t>412</w:t>
            </w:r>
          </w:p>
        </w:tc>
        <w:tc>
          <w:tcPr>
            <w:tcW w:w="1560" w:type="dxa"/>
          </w:tcPr>
          <w:p w14:paraId="79063AF0" w14:textId="06BAA663" w:rsidR="006F2FFB" w:rsidRPr="006F2FFB" w:rsidRDefault="006F2FFB" w:rsidP="006F2FFB">
            <w:pPr>
              <w:jc w:val="right"/>
              <w:rPr>
                <w:sz w:val="22"/>
                <w:szCs w:val="22"/>
              </w:rPr>
            </w:pPr>
            <w:r w:rsidRPr="006F2FFB">
              <w:rPr>
                <w:rFonts w:cs="Calibri"/>
                <w:color w:val="000000"/>
                <w:sz w:val="22"/>
                <w:szCs w:val="22"/>
              </w:rPr>
              <w:t>20</w:t>
            </w:r>
          </w:p>
        </w:tc>
        <w:tc>
          <w:tcPr>
            <w:tcW w:w="1417" w:type="dxa"/>
          </w:tcPr>
          <w:p w14:paraId="7F10124E" w14:textId="7960DDCA" w:rsidR="006F2FFB" w:rsidRPr="006F2FFB" w:rsidRDefault="006F2FFB" w:rsidP="006F2FFB">
            <w:pPr>
              <w:jc w:val="right"/>
              <w:rPr>
                <w:sz w:val="22"/>
                <w:szCs w:val="22"/>
              </w:rPr>
            </w:pPr>
            <w:r w:rsidRPr="006F2FFB">
              <w:rPr>
                <w:rFonts w:cs="Calibri"/>
                <w:color w:val="000000"/>
                <w:sz w:val="22"/>
                <w:szCs w:val="22"/>
              </w:rPr>
              <w:t>4.9%</w:t>
            </w:r>
          </w:p>
        </w:tc>
        <w:tc>
          <w:tcPr>
            <w:tcW w:w="1418" w:type="dxa"/>
          </w:tcPr>
          <w:p w14:paraId="269B23C3" w14:textId="30788DA0" w:rsidR="006F2FFB" w:rsidRPr="006F2FFB" w:rsidRDefault="00E043C9" w:rsidP="006F2FFB">
            <w:pPr>
              <w:jc w:val="right"/>
              <w:rPr>
                <w:sz w:val="22"/>
                <w:szCs w:val="22"/>
              </w:rPr>
            </w:pPr>
            <w:r>
              <w:rPr>
                <w:sz w:val="22"/>
                <w:szCs w:val="22"/>
              </w:rPr>
              <w:t>434</w:t>
            </w:r>
          </w:p>
        </w:tc>
        <w:tc>
          <w:tcPr>
            <w:tcW w:w="1559" w:type="dxa"/>
          </w:tcPr>
          <w:p w14:paraId="28B7B932" w14:textId="2CECBC36" w:rsidR="006F2FFB" w:rsidRPr="006F2FFB" w:rsidRDefault="00E043C9" w:rsidP="006F2FFB">
            <w:pPr>
              <w:jc w:val="right"/>
              <w:rPr>
                <w:sz w:val="22"/>
                <w:szCs w:val="22"/>
              </w:rPr>
            </w:pPr>
            <w:r>
              <w:rPr>
                <w:sz w:val="22"/>
                <w:szCs w:val="22"/>
              </w:rPr>
              <w:t>19</w:t>
            </w:r>
          </w:p>
        </w:tc>
        <w:tc>
          <w:tcPr>
            <w:tcW w:w="1417" w:type="dxa"/>
          </w:tcPr>
          <w:p w14:paraId="2B488656" w14:textId="261CD7A5" w:rsidR="006F2FFB" w:rsidRPr="006F2FFB" w:rsidRDefault="00E043C9" w:rsidP="006F2FFB">
            <w:pPr>
              <w:jc w:val="right"/>
              <w:rPr>
                <w:sz w:val="22"/>
                <w:szCs w:val="22"/>
              </w:rPr>
            </w:pPr>
            <w:r>
              <w:rPr>
                <w:sz w:val="22"/>
                <w:szCs w:val="22"/>
              </w:rPr>
              <w:t>4.4%</w:t>
            </w:r>
          </w:p>
        </w:tc>
      </w:tr>
      <w:tr w:rsidR="006F2FFB" w:rsidRPr="006F2FFB" w14:paraId="67F087E9" w14:textId="77777777" w:rsidTr="00C52262">
        <w:trPr>
          <w:jc w:val="center"/>
        </w:trPr>
        <w:tc>
          <w:tcPr>
            <w:tcW w:w="2278" w:type="dxa"/>
          </w:tcPr>
          <w:p w14:paraId="3175F434" w14:textId="4B4D34B6" w:rsidR="006F2FFB" w:rsidRPr="006F2FFB" w:rsidRDefault="006F2FFB" w:rsidP="006F2FFB">
            <w:pPr>
              <w:rPr>
                <w:sz w:val="22"/>
                <w:szCs w:val="22"/>
              </w:rPr>
            </w:pPr>
            <w:r w:rsidRPr="006F2FFB">
              <w:rPr>
                <w:rFonts w:cs="Calibri"/>
                <w:color w:val="000000"/>
                <w:sz w:val="22"/>
                <w:szCs w:val="22"/>
              </w:rPr>
              <w:t>Sligo County Council</w:t>
            </w:r>
          </w:p>
        </w:tc>
        <w:tc>
          <w:tcPr>
            <w:tcW w:w="1559" w:type="dxa"/>
          </w:tcPr>
          <w:p w14:paraId="15264091" w14:textId="17A0B5A4" w:rsidR="006F2FFB" w:rsidRPr="006F2FFB" w:rsidRDefault="006F2FFB" w:rsidP="006F2FFB">
            <w:pPr>
              <w:jc w:val="right"/>
              <w:rPr>
                <w:sz w:val="22"/>
                <w:szCs w:val="22"/>
              </w:rPr>
            </w:pPr>
            <w:r w:rsidRPr="006F2FFB">
              <w:rPr>
                <w:rFonts w:cs="Calibri"/>
                <w:color w:val="000000"/>
                <w:sz w:val="22"/>
                <w:szCs w:val="22"/>
              </w:rPr>
              <w:t>468</w:t>
            </w:r>
          </w:p>
        </w:tc>
        <w:tc>
          <w:tcPr>
            <w:tcW w:w="1560" w:type="dxa"/>
          </w:tcPr>
          <w:p w14:paraId="7787B933" w14:textId="3F93A002" w:rsidR="006F2FFB" w:rsidRPr="006F2FFB" w:rsidRDefault="006F2FFB" w:rsidP="006F2FFB">
            <w:pPr>
              <w:jc w:val="right"/>
              <w:rPr>
                <w:sz w:val="22"/>
                <w:szCs w:val="22"/>
              </w:rPr>
            </w:pPr>
            <w:r w:rsidRPr="006F2FFB">
              <w:rPr>
                <w:rFonts w:cs="Calibri"/>
                <w:color w:val="000000"/>
                <w:sz w:val="22"/>
                <w:szCs w:val="22"/>
              </w:rPr>
              <w:t>22</w:t>
            </w:r>
          </w:p>
        </w:tc>
        <w:tc>
          <w:tcPr>
            <w:tcW w:w="1417" w:type="dxa"/>
          </w:tcPr>
          <w:p w14:paraId="2CD8DCC4" w14:textId="2734C147" w:rsidR="006F2FFB" w:rsidRPr="006F2FFB" w:rsidRDefault="006F2FFB" w:rsidP="006F2FFB">
            <w:pPr>
              <w:jc w:val="right"/>
              <w:rPr>
                <w:sz w:val="22"/>
                <w:szCs w:val="22"/>
              </w:rPr>
            </w:pPr>
            <w:r w:rsidRPr="006F2FFB">
              <w:rPr>
                <w:rFonts w:cs="Calibri"/>
                <w:color w:val="000000"/>
                <w:sz w:val="22"/>
                <w:szCs w:val="22"/>
              </w:rPr>
              <w:t>4.7%</w:t>
            </w:r>
          </w:p>
        </w:tc>
        <w:tc>
          <w:tcPr>
            <w:tcW w:w="1418" w:type="dxa"/>
          </w:tcPr>
          <w:p w14:paraId="169A1768" w14:textId="3A6334AF" w:rsidR="006F2FFB" w:rsidRPr="006F2FFB" w:rsidRDefault="00E043C9" w:rsidP="006F2FFB">
            <w:pPr>
              <w:jc w:val="right"/>
              <w:rPr>
                <w:sz w:val="22"/>
                <w:szCs w:val="22"/>
              </w:rPr>
            </w:pPr>
            <w:r>
              <w:rPr>
                <w:sz w:val="22"/>
                <w:szCs w:val="22"/>
              </w:rPr>
              <w:t>495</w:t>
            </w:r>
          </w:p>
        </w:tc>
        <w:tc>
          <w:tcPr>
            <w:tcW w:w="1559" w:type="dxa"/>
          </w:tcPr>
          <w:p w14:paraId="3080C035" w14:textId="2548FC1D" w:rsidR="006F2FFB" w:rsidRPr="006F2FFB" w:rsidRDefault="00E043C9" w:rsidP="006F2FFB">
            <w:pPr>
              <w:jc w:val="right"/>
              <w:rPr>
                <w:sz w:val="22"/>
                <w:szCs w:val="22"/>
              </w:rPr>
            </w:pPr>
            <w:r>
              <w:rPr>
                <w:sz w:val="22"/>
                <w:szCs w:val="22"/>
              </w:rPr>
              <w:t>19</w:t>
            </w:r>
          </w:p>
        </w:tc>
        <w:tc>
          <w:tcPr>
            <w:tcW w:w="1417" w:type="dxa"/>
          </w:tcPr>
          <w:p w14:paraId="565A7969" w14:textId="1DF833E5" w:rsidR="006F2FFB" w:rsidRPr="006F2FFB" w:rsidRDefault="00E043C9" w:rsidP="006F2FFB">
            <w:pPr>
              <w:jc w:val="right"/>
              <w:rPr>
                <w:sz w:val="22"/>
                <w:szCs w:val="22"/>
              </w:rPr>
            </w:pPr>
            <w:r>
              <w:rPr>
                <w:sz w:val="22"/>
                <w:szCs w:val="22"/>
              </w:rPr>
              <w:t>3.8%</w:t>
            </w:r>
          </w:p>
        </w:tc>
      </w:tr>
      <w:tr w:rsidR="006F2FFB" w:rsidRPr="006F2FFB" w14:paraId="5D78A9D3" w14:textId="77777777" w:rsidTr="00C52262">
        <w:trPr>
          <w:jc w:val="center"/>
        </w:trPr>
        <w:tc>
          <w:tcPr>
            <w:tcW w:w="2278" w:type="dxa"/>
          </w:tcPr>
          <w:p w14:paraId="4B07CB93" w14:textId="6BEBFD0F" w:rsidR="006F2FFB" w:rsidRPr="006F2FFB" w:rsidRDefault="006F2FFB" w:rsidP="006F2FFB">
            <w:pPr>
              <w:rPr>
                <w:sz w:val="22"/>
                <w:szCs w:val="22"/>
              </w:rPr>
            </w:pPr>
            <w:r w:rsidRPr="006F2FFB">
              <w:rPr>
                <w:rFonts w:cs="Calibri"/>
                <w:color w:val="000000"/>
                <w:sz w:val="22"/>
                <w:szCs w:val="22"/>
              </w:rPr>
              <w:t>South Dublin County Council</w:t>
            </w:r>
          </w:p>
        </w:tc>
        <w:tc>
          <w:tcPr>
            <w:tcW w:w="1559" w:type="dxa"/>
          </w:tcPr>
          <w:p w14:paraId="05199947" w14:textId="253E9767" w:rsidR="006F2FFB" w:rsidRPr="006F2FFB" w:rsidRDefault="006F2FFB" w:rsidP="006F2FFB">
            <w:pPr>
              <w:jc w:val="right"/>
              <w:rPr>
                <w:sz w:val="22"/>
                <w:szCs w:val="22"/>
              </w:rPr>
            </w:pPr>
            <w:r w:rsidRPr="006F2FFB">
              <w:rPr>
                <w:rFonts w:cs="Calibri"/>
                <w:color w:val="000000"/>
                <w:sz w:val="22"/>
                <w:szCs w:val="22"/>
              </w:rPr>
              <w:t>1,315</w:t>
            </w:r>
          </w:p>
        </w:tc>
        <w:tc>
          <w:tcPr>
            <w:tcW w:w="1560" w:type="dxa"/>
          </w:tcPr>
          <w:p w14:paraId="4219E839" w14:textId="3F971A68" w:rsidR="006F2FFB" w:rsidRPr="006F2FFB" w:rsidRDefault="006F2FFB" w:rsidP="006F2FFB">
            <w:pPr>
              <w:jc w:val="right"/>
              <w:rPr>
                <w:sz w:val="22"/>
                <w:szCs w:val="22"/>
              </w:rPr>
            </w:pPr>
            <w:r w:rsidRPr="006F2FFB">
              <w:rPr>
                <w:rFonts w:cs="Calibri"/>
                <w:color w:val="000000"/>
                <w:sz w:val="22"/>
                <w:szCs w:val="22"/>
              </w:rPr>
              <w:t>46</w:t>
            </w:r>
          </w:p>
        </w:tc>
        <w:tc>
          <w:tcPr>
            <w:tcW w:w="1417" w:type="dxa"/>
          </w:tcPr>
          <w:p w14:paraId="76EEABB8" w14:textId="0BD74452" w:rsidR="006F2FFB" w:rsidRPr="006F2FFB" w:rsidRDefault="006F2FFB" w:rsidP="006F2FFB">
            <w:pPr>
              <w:jc w:val="right"/>
              <w:rPr>
                <w:sz w:val="22"/>
                <w:szCs w:val="22"/>
              </w:rPr>
            </w:pPr>
            <w:r w:rsidRPr="006F2FFB">
              <w:rPr>
                <w:rFonts w:cs="Calibri"/>
                <w:color w:val="000000"/>
                <w:sz w:val="22"/>
                <w:szCs w:val="22"/>
              </w:rPr>
              <w:t>3.5%</w:t>
            </w:r>
          </w:p>
        </w:tc>
        <w:tc>
          <w:tcPr>
            <w:tcW w:w="1418" w:type="dxa"/>
          </w:tcPr>
          <w:p w14:paraId="3D3EA9F4" w14:textId="5E606696" w:rsidR="006F2FFB" w:rsidRPr="006F2FFB" w:rsidRDefault="00E043C9" w:rsidP="006F2FFB">
            <w:pPr>
              <w:jc w:val="right"/>
              <w:rPr>
                <w:sz w:val="22"/>
                <w:szCs w:val="22"/>
              </w:rPr>
            </w:pPr>
            <w:r>
              <w:rPr>
                <w:sz w:val="22"/>
                <w:szCs w:val="22"/>
              </w:rPr>
              <w:t>1279</w:t>
            </w:r>
          </w:p>
        </w:tc>
        <w:tc>
          <w:tcPr>
            <w:tcW w:w="1559" w:type="dxa"/>
          </w:tcPr>
          <w:p w14:paraId="280AD613" w14:textId="142BAB24" w:rsidR="006F2FFB" w:rsidRPr="006F2FFB" w:rsidRDefault="00E043C9" w:rsidP="006F2FFB">
            <w:pPr>
              <w:jc w:val="right"/>
              <w:rPr>
                <w:sz w:val="22"/>
                <w:szCs w:val="22"/>
              </w:rPr>
            </w:pPr>
            <w:r>
              <w:rPr>
                <w:sz w:val="22"/>
                <w:szCs w:val="22"/>
              </w:rPr>
              <w:t>49</w:t>
            </w:r>
          </w:p>
        </w:tc>
        <w:tc>
          <w:tcPr>
            <w:tcW w:w="1417" w:type="dxa"/>
          </w:tcPr>
          <w:p w14:paraId="42C367FA" w14:textId="36122F91" w:rsidR="006F2FFB" w:rsidRPr="006F2FFB" w:rsidRDefault="00E043C9" w:rsidP="006F2FFB">
            <w:pPr>
              <w:jc w:val="right"/>
              <w:rPr>
                <w:sz w:val="22"/>
                <w:szCs w:val="22"/>
              </w:rPr>
            </w:pPr>
            <w:r>
              <w:rPr>
                <w:sz w:val="22"/>
                <w:szCs w:val="22"/>
              </w:rPr>
              <w:t>3.8%</w:t>
            </w:r>
          </w:p>
        </w:tc>
      </w:tr>
      <w:tr w:rsidR="006F2FFB" w:rsidRPr="006F2FFB" w14:paraId="0651C725" w14:textId="77777777" w:rsidTr="00C52262">
        <w:trPr>
          <w:jc w:val="center"/>
        </w:trPr>
        <w:tc>
          <w:tcPr>
            <w:tcW w:w="2278" w:type="dxa"/>
          </w:tcPr>
          <w:p w14:paraId="15334D50" w14:textId="57582B93" w:rsidR="006F2FFB" w:rsidRPr="006F2FFB" w:rsidRDefault="006F2FFB" w:rsidP="006F2FFB">
            <w:pPr>
              <w:rPr>
                <w:sz w:val="22"/>
                <w:szCs w:val="22"/>
              </w:rPr>
            </w:pPr>
            <w:r w:rsidRPr="006F2FFB">
              <w:rPr>
                <w:rFonts w:cs="Calibri"/>
                <w:color w:val="000000"/>
                <w:sz w:val="22"/>
                <w:szCs w:val="22"/>
              </w:rPr>
              <w:t>Southern Regional Assembly</w:t>
            </w:r>
          </w:p>
        </w:tc>
        <w:tc>
          <w:tcPr>
            <w:tcW w:w="1559" w:type="dxa"/>
          </w:tcPr>
          <w:p w14:paraId="6C29A62A" w14:textId="1EB4C695" w:rsidR="006F2FFB" w:rsidRPr="006F2FFB" w:rsidRDefault="006F2FFB" w:rsidP="006F2FFB">
            <w:pPr>
              <w:jc w:val="right"/>
              <w:rPr>
                <w:sz w:val="22"/>
                <w:szCs w:val="22"/>
              </w:rPr>
            </w:pPr>
            <w:r w:rsidRPr="006F2FFB">
              <w:rPr>
                <w:rFonts w:cs="Calibri"/>
                <w:color w:val="000000"/>
                <w:sz w:val="22"/>
                <w:szCs w:val="22"/>
              </w:rPr>
              <w:t>27</w:t>
            </w:r>
          </w:p>
        </w:tc>
        <w:tc>
          <w:tcPr>
            <w:tcW w:w="1560" w:type="dxa"/>
          </w:tcPr>
          <w:p w14:paraId="14D88AA1" w14:textId="79F31FB7" w:rsidR="006F2FFB" w:rsidRPr="006F2FFB" w:rsidRDefault="006F2FFB" w:rsidP="006F2FFB">
            <w:pPr>
              <w:jc w:val="right"/>
              <w:rPr>
                <w:sz w:val="22"/>
                <w:szCs w:val="22"/>
              </w:rPr>
            </w:pPr>
            <w:r w:rsidRPr="006F2FFB">
              <w:rPr>
                <w:rFonts w:cs="Calibri"/>
                <w:color w:val="000000"/>
                <w:sz w:val="22"/>
                <w:szCs w:val="22"/>
              </w:rPr>
              <w:t>2</w:t>
            </w:r>
          </w:p>
        </w:tc>
        <w:tc>
          <w:tcPr>
            <w:tcW w:w="1417" w:type="dxa"/>
          </w:tcPr>
          <w:p w14:paraId="524AEF38" w14:textId="5423C6AB" w:rsidR="006F2FFB" w:rsidRPr="006F2FFB" w:rsidRDefault="006F2FFB" w:rsidP="006F2FFB">
            <w:pPr>
              <w:jc w:val="right"/>
              <w:rPr>
                <w:sz w:val="22"/>
                <w:szCs w:val="22"/>
              </w:rPr>
            </w:pPr>
            <w:r w:rsidRPr="006F2FFB">
              <w:rPr>
                <w:rFonts w:cs="Calibri"/>
                <w:color w:val="000000"/>
                <w:sz w:val="22"/>
                <w:szCs w:val="22"/>
              </w:rPr>
              <w:t>7.4%</w:t>
            </w:r>
          </w:p>
        </w:tc>
        <w:tc>
          <w:tcPr>
            <w:tcW w:w="1418" w:type="dxa"/>
          </w:tcPr>
          <w:p w14:paraId="1FC8220B" w14:textId="0BD2F6EC" w:rsidR="006F2FFB" w:rsidRPr="006F2FFB" w:rsidRDefault="00E043C9" w:rsidP="006F2FFB">
            <w:pPr>
              <w:jc w:val="right"/>
              <w:rPr>
                <w:sz w:val="22"/>
                <w:szCs w:val="22"/>
              </w:rPr>
            </w:pPr>
            <w:r>
              <w:rPr>
                <w:sz w:val="22"/>
                <w:szCs w:val="22"/>
              </w:rPr>
              <w:t>29</w:t>
            </w:r>
          </w:p>
        </w:tc>
        <w:tc>
          <w:tcPr>
            <w:tcW w:w="1559" w:type="dxa"/>
          </w:tcPr>
          <w:p w14:paraId="5BCECCA5" w14:textId="37575FED" w:rsidR="006F2FFB" w:rsidRPr="006F2FFB" w:rsidRDefault="00E043C9" w:rsidP="006F2FFB">
            <w:pPr>
              <w:jc w:val="right"/>
              <w:rPr>
                <w:sz w:val="22"/>
                <w:szCs w:val="22"/>
              </w:rPr>
            </w:pPr>
            <w:r>
              <w:rPr>
                <w:sz w:val="22"/>
                <w:szCs w:val="22"/>
              </w:rPr>
              <w:t>2</w:t>
            </w:r>
          </w:p>
        </w:tc>
        <w:tc>
          <w:tcPr>
            <w:tcW w:w="1417" w:type="dxa"/>
          </w:tcPr>
          <w:p w14:paraId="278DCF2D" w14:textId="46093482" w:rsidR="006F2FFB" w:rsidRPr="006F2FFB" w:rsidRDefault="00E043C9" w:rsidP="006F2FFB">
            <w:pPr>
              <w:jc w:val="right"/>
              <w:rPr>
                <w:sz w:val="22"/>
                <w:szCs w:val="22"/>
              </w:rPr>
            </w:pPr>
            <w:r>
              <w:rPr>
                <w:sz w:val="22"/>
                <w:szCs w:val="22"/>
              </w:rPr>
              <w:t>6.9%</w:t>
            </w:r>
          </w:p>
        </w:tc>
      </w:tr>
      <w:tr w:rsidR="006F2FFB" w:rsidRPr="006F2FFB" w14:paraId="7DA98944" w14:textId="77777777" w:rsidTr="00C52262">
        <w:trPr>
          <w:jc w:val="center"/>
        </w:trPr>
        <w:tc>
          <w:tcPr>
            <w:tcW w:w="2278" w:type="dxa"/>
          </w:tcPr>
          <w:p w14:paraId="12530C01" w14:textId="6C8C7B72" w:rsidR="006F2FFB" w:rsidRPr="006F2FFB" w:rsidRDefault="006F2FFB" w:rsidP="006F2FFB">
            <w:pPr>
              <w:rPr>
                <w:sz w:val="22"/>
                <w:szCs w:val="22"/>
              </w:rPr>
            </w:pPr>
            <w:r w:rsidRPr="006F2FFB">
              <w:rPr>
                <w:rFonts w:cs="Calibri"/>
                <w:color w:val="000000"/>
                <w:sz w:val="22"/>
                <w:szCs w:val="22"/>
              </w:rPr>
              <w:t>Tipperary County Council</w:t>
            </w:r>
          </w:p>
        </w:tc>
        <w:tc>
          <w:tcPr>
            <w:tcW w:w="1559" w:type="dxa"/>
          </w:tcPr>
          <w:p w14:paraId="1700323F" w14:textId="6559EC84" w:rsidR="006F2FFB" w:rsidRPr="006F2FFB" w:rsidRDefault="006F2FFB" w:rsidP="006F2FFB">
            <w:pPr>
              <w:jc w:val="right"/>
              <w:rPr>
                <w:sz w:val="22"/>
                <w:szCs w:val="22"/>
              </w:rPr>
            </w:pPr>
            <w:r w:rsidRPr="006F2FFB">
              <w:rPr>
                <w:rFonts w:cs="Calibri"/>
                <w:color w:val="000000"/>
                <w:sz w:val="22"/>
                <w:szCs w:val="22"/>
              </w:rPr>
              <w:t>1,103</w:t>
            </w:r>
          </w:p>
        </w:tc>
        <w:tc>
          <w:tcPr>
            <w:tcW w:w="1560" w:type="dxa"/>
          </w:tcPr>
          <w:p w14:paraId="7D945C7C" w14:textId="59CA7A85" w:rsidR="006F2FFB" w:rsidRPr="006F2FFB" w:rsidRDefault="006F2FFB" w:rsidP="006F2FFB">
            <w:pPr>
              <w:jc w:val="right"/>
              <w:rPr>
                <w:sz w:val="22"/>
                <w:szCs w:val="22"/>
              </w:rPr>
            </w:pPr>
            <w:r w:rsidRPr="006F2FFB">
              <w:rPr>
                <w:rFonts w:cs="Calibri"/>
                <w:color w:val="000000"/>
                <w:sz w:val="22"/>
                <w:szCs w:val="22"/>
              </w:rPr>
              <w:t>35</w:t>
            </w:r>
          </w:p>
        </w:tc>
        <w:tc>
          <w:tcPr>
            <w:tcW w:w="1417" w:type="dxa"/>
          </w:tcPr>
          <w:p w14:paraId="3FACEF14" w14:textId="56527B38" w:rsidR="006F2FFB" w:rsidRPr="006F2FFB" w:rsidRDefault="006F2FFB" w:rsidP="006F2FFB">
            <w:pPr>
              <w:jc w:val="right"/>
              <w:rPr>
                <w:sz w:val="22"/>
                <w:szCs w:val="22"/>
              </w:rPr>
            </w:pPr>
            <w:r w:rsidRPr="006F2FFB">
              <w:rPr>
                <w:rFonts w:cs="Calibri"/>
                <w:color w:val="000000"/>
                <w:sz w:val="22"/>
                <w:szCs w:val="22"/>
              </w:rPr>
              <w:t>3.2%</w:t>
            </w:r>
          </w:p>
        </w:tc>
        <w:tc>
          <w:tcPr>
            <w:tcW w:w="1418" w:type="dxa"/>
          </w:tcPr>
          <w:p w14:paraId="685CB565" w14:textId="4B9C26A1" w:rsidR="006F2FFB" w:rsidRPr="006F2FFB" w:rsidRDefault="00E043C9" w:rsidP="006F2FFB">
            <w:pPr>
              <w:jc w:val="right"/>
              <w:rPr>
                <w:sz w:val="22"/>
                <w:szCs w:val="22"/>
              </w:rPr>
            </w:pPr>
            <w:r>
              <w:rPr>
                <w:sz w:val="22"/>
                <w:szCs w:val="22"/>
              </w:rPr>
              <w:t>1127</w:t>
            </w:r>
          </w:p>
        </w:tc>
        <w:tc>
          <w:tcPr>
            <w:tcW w:w="1559" w:type="dxa"/>
          </w:tcPr>
          <w:p w14:paraId="47A7C972" w14:textId="73353CBB" w:rsidR="006F2FFB" w:rsidRPr="006F2FFB" w:rsidRDefault="00E043C9" w:rsidP="006F2FFB">
            <w:pPr>
              <w:jc w:val="right"/>
              <w:rPr>
                <w:sz w:val="22"/>
                <w:szCs w:val="22"/>
              </w:rPr>
            </w:pPr>
            <w:r>
              <w:rPr>
                <w:sz w:val="22"/>
                <w:szCs w:val="22"/>
              </w:rPr>
              <w:t>34</w:t>
            </w:r>
          </w:p>
        </w:tc>
        <w:tc>
          <w:tcPr>
            <w:tcW w:w="1417" w:type="dxa"/>
          </w:tcPr>
          <w:p w14:paraId="0AE7E785" w14:textId="2FE5C0D9" w:rsidR="006F2FFB" w:rsidRPr="006F2FFB" w:rsidRDefault="00E043C9" w:rsidP="006F2FFB">
            <w:pPr>
              <w:jc w:val="right"/>
              <w:rPr>
                <w:sz w:val="22"/>
                <w:szCs w:val="22"/>
              </w:rPr>
            </w:pPr>
            <w:r>
              <w:rPr>
                <w:sz w:val="22"/>
                <w:szCs w:val="22"/>
              </w:rPr>
              <w:t>3.0%</w:t>
            </w:r>
          </w:p>
        </w:tc>
      </w:tr>
      <w:tr w:rsidR="00E33017" w:rsidRPr="006F2FFB" w14:paraId="44B9C062" w14:textId="77777777" w:rsidTr="00C52262">
        <w:trPr>
          <w:jc w:val="center"/>
        </w:trPr>
        <w:tc>
          <w:tcPr>
            <w:tcW w:w="2278" w:type="dxa"/>
          </w:tcPr>
          <w:p w14:paraId="4D5C42CD" w14:textId="34C89AEE" w:rsidR="00E33017" w:rsidRPr="006F2FFB" w:rsidRDefault="00E33017" w:rsidP="00E33017">
            <w:pPr>
              <w:rPr>
                <w:rFonts w:cs="Calibri"/>
                <w:color w:val="000000"/>
                <w:sz w:val="22"/>
                <w:szCs w:val="22"/>
              </w:rPr>
            </w:pPr>
            <w:r>
              <w:rPr>
                <w:rFonts w:cs="Calibri"/>
                <w:color w:val="000000"/>
                <w:sz w:val="22"/>
                <w:szCs w:val="22"/>
              </w:rPr>
              <w:t xml:space="preserve">Uisce </w:t>
            </w:r>
            <w:r w:rsidRPr="00E33017">
              <w:rPr>
                <w:rFonts w:cs="Calibri"/>
                <w:color w:val="000000"/>
                <w:sz w:val="22"/>
                <w:szCs w:val="22"/>
              </w:rPr>
              <w:t xml:space="preserve">Éireann </w:t>
            </w:r>
            <w:r w:rsidRPr="00990CB9">
              <w:rPr>
                <w:rFonts w:cs="Calibri"/>
                <w:b/>
                <w:bCs/>
                <w:color w:val="000000"/>
                <w:sz w:val="22"/>
                <w:szCs w:val="22"/>
              </w:rPr>
              <w:t xml:space="preserve">(In 2022, Irish Water changed its name to </w:t>
            </w:r>
            <w:r w:rsidR="00990CB9" w:rsidRPr="00990CB9">
              <w:rPr>
                <w:rFonts w:cs="Calibri"/>
                <w:b/>
                <w:bCs/>
                <w:color w:val="000000"/>
                <w:sz w:val="22"/>
                <w:szCs w:val="22"/>
              </w:rPr>
              <w:t>Uisce Éireann)</w:t>
            </w:r>
          </w:p>
        </w:tc>
        <w:tc>
          <w:tcPr>
            <w:tcW w:w="1559" w:type="dxa"/>
          </w:tcPr>
          <w:p w14:paraId="677B8E68" w14:textId="5F263FCC" w:rsidR="00E33017" w:rsidRPr="00990CB9" w:rsidRDefault="00E33017" w:rsidP="00E33017">
            <w:pPr>
              <w:pStyle w:val="TableHead"/>
              <w:jc w:val="right"/>
              <w:rPr>
                <w:rFonts w:cs="Calibri"/>
                <w:b w:val="0"/>
                <w:bCs/>
                <w:color w:val="000000"/>
                <w:sz w:val="22"/>
                <w:szCs w:val="22"/>
              </w:rPr>
            </w:pPr>
            <w:r w:rsidRPr="00990CB9">
              <w:rPr>
                <w:rFonts w:cs="Calibri"/>
                <w:b w:val="0"/>
                <w:bCs/>
                <w:color w:val="000000"/>
                <w:sz w:val="22"/>
                <w:szCs w:val="22"/>
              </w:rPr>
              <w:t>1,176</w:t>
            </w:r>
          </w:p>
        </w:tc>
        <w:tc>
          <w:tcPr>
            <w:tcW w:w="1560" w:type="dxa"/>
          </w:tcPr>
          <w:p w14:paraId="0A13271E" w14:textId="596A58FD" w:rsidR="00E33017" w:rsidRPr="006F2FFB" w:rsidRDefault="00E33017" w:rsidP="00E33017">
            <w:pPr>
              <w:jc w:val="right"/>
              <w:rPr>
                <w:rFonts w:cs="Calibri"/>
                <w:color w:val="000000"/>
                <w:sz w:val="22"/>
                <w:szCs w:val="22"/>
              </w:rPr>
            </w:pPr>
            <w:r w:rsidRPr="006F2FFB">
              <w:rPr>
                <w:rFonts w:cs="Calibri"/>
                <w:color w:val="000000"/>
                <w:sz w:val="22"/>
                <w:szCs w:val="22"/>
              </w:rPr>
              <w:t>37</w:t>
            </w:r>
          </w:p>
        </w:tc>
        <w:tc>
          <w:tcPr>
            <w:tcW w:w="1417" w:type="dxa"/>
          </w:tcPr>
          <w:p w14:paraId="1BD05CA1" w14:textId="5FE4C09E" w:rsidR="00E33017" w:rsidRPr="00E043C9" w:rsidRDefault="00E33017" w:rsidP="00E33017">
            <w:pPr>
              <w:pStyle w:val="TableHead"/>
              <w:jc w:val="right"/>
              <w:rPr>
                <w:rFonts w:cs="Calibri"/>
                <w:b w:val="0"/>
                <w:bCs/>
                <w:color w:val="000000"/>
                <w:sz w:val="22"/>
                <w:szCs w:val="22"/>
              </w:rPr>
            </w:pPr>
            <w:r w:rsidRPr="00E043C9">
              <w:rPr>
                <w:rFonts w:cs="Calibri"/>
                <w:b w:val="0"/>
                <w:bCs/>
                <w:color w:val="000000"/>
                <w:sz w:val="22"/>
                <w:szCs w:val="22"/>
              </w:rPr>
              <w:t>3.1%</w:t>
            </w:r>
          </w:p>
        </w:tc>
        <w:tc>
          <w:tcPr>
            <w:tcW w:w="1418" w:type="dxa"/>
          </w:tcPr>
          <w:p w14:paraId="237E3ED8" w14:textId="65BE5E04" w:rsidR="00E33017" w:rsidRDefault="00E33017" w:rsidP="00E33017">
            <w:pPr>
              <w:jc w:val="right"/>
              <w:rPr>
                <w:rFonts w:cs="Calibri"/>
                <w:color w:val="000000"/>
                <w:sz w:val="22"/>
                <w:szCs w:val="22"/>
              </w:rPr>
            </w:pPr>
            <w:r>
              <w:rPr>
                <w:rFonts w:cs="Calibri"/>
                <w:color w:val="000000"/>
                <w:sz w:val="22"/>
                <w:szCs w:val="22"/>
              </w:rPr>
              <w:t>1,246</w:t>
            </w:r>
          </w:p>
        </w:tc>
        <w:tc>
          <w:tcPr>
            <w:tcW w:w="1559" w:type="dxa"/>
          </w:tcPr>
          <w:p w14:paraId="3D3D9A58" w14:textId="53299984" w:rsidR="00E33017" w:rsidRDefault="00E33017" w:rsidP="00E33017">
            <w:pPr>
              <w:jc w:val="right"/>
              <w:rPr>
                <w:rFonts w:cs="Calibri"/>
                <w:color w:val="000000"/>
                <w:sz w:val="22"/>
                <w:szCs w:val="22"/>
              </w:rPr>
            </w:pPr>
            <w:r>
              <w:rPr>
                <w:rFonts w:cs="Calibri"/>
                <w:color w:val="000000"/>
                <w:sz w:val="22"/>
                <w:szCs w:val="22"/>
              </w:rPr>
              <w:t>110</w:t>
            </w:r>
          </w:p>
        </w:tc>
        <w:tc>
          <w:tcPr>
            <w:tcW w:w="1417" w:type="dxa"/>
          </w:tcPr>
          <w:p w14:paraId="7F56EC72" w14:textId="7DF34387" w:rsidR="00E33017" w:rsidRDefault="00E33017" w:rsidP="00E33017">
            <w:pPr>
              <w:jc w:val="right"/>
              <w:rPr>
                <w:rFonts w:cs="Calibri"/>
                <w:color w:val="000000"/>
                <w:sz w:val="22"/>
                <w:szCs w:val="22"/>
              </w:rPr>
            </w:pPr>
            <w:r>
              <w:rPr>
                <w:rFonts w:cs="Calibri"/>
                <w:color w:val="000000"/>
                <w:sz w:val="22"/>
                <w:szCs w:val="22"/>
              </w:rPr>
              <w:t>8.8%</w:t>
            </w:r>
          </w:p>
        </w:tc>
      </w:tr>
      <w:tr w:rsidR="00E33017" w:rsidRPr="006F2FFB" w14:paraId="5B648C7E" w14:textId="77777777" w:rsidTr="00C52262">
        <w:trPr>
          <w:jc w:val="center"/>
        </w:trPr>
        <w:tc>
          <w:tcPr>
            <w:tcW w:w="2278" w:type="dxa"/>
          </w:tcPr>
          <w:p w14:paraId="2CB6C603" w14:textId="6468A478" w:rsidR="00E33017" w:rsidRPr="006F2FFB" w:rsidRDefault="00E33017" w:rsidP="00E33017">
            <w:pPr>
              <w:rPr>
                <w:sz w:val="22"/>
                <w:szCs w:val="22"/>
              </w:rPr>
            </w:pPr>
            <w:r w:rsidRPr="006F2FFB">
              <w:rPr>
                <w:rFonts w:cs="Calibri"/>
                <w:color w:val="000000"/>
                <w:sz w:val="22"/>
                <w:szCs w:val="22"/>
              </w:rPr>
              <w:t>Waterford City &amp; County Council</w:t>
            </w:r>
          </w:p>
        </w:tc>
        <w:tc>
          <w:tcPr>
            <w:tcW w:w="1559" w:type="dxa"/>
          </w:tcPr>
          <w:p w14:paraId="7AD7311C" w14:textId="0AA4E956" w:rsidR="00E33017" w:rsidRPr="00E043C9" w:rsidRDefault="00E33017" w:rsidP="00E33017">
            <w:pPr>
              <w:pStyle w:val="TableHead"/>
              <w:jc w:val="right"/>
              <w:rPr>
                <w:b w:val="0"/>
                <w:bCs/>
                <w:sz w:val="22"/>
                <w:szCs w:val="22"/>
              </w:rPr>
            </w:pPr>
            <w:r w:rsidRPr="00E043C9">
              <w:rPr>
                <w:rFonts w:cs="Calibri"/>
                <w:b w:val="0"/>
                <w:bCs/>
                <w:color w:val="000000"/>
                <w:sz w:val="22"/>
                <w:szCs w:val="22"/>
              </w:rPr>
              <w:t>937</w:t>
            </w:r>
          </w:p>
        </w:tc>
        <w:tc>
          <w:tcPr>
            <w:tcW w:w="1560" w:type="dxa"/>
          </w:tcPr>
          <w:p w14:paraId="2C83FF13" w14:textId="305AA8FC" w:rsidR="00E33017" w:rsidRPr="006F2FFB" w:rsidRDefault="00E33017" w:rsidP="00E33017">
            <w:pPr>
              <w:jc w:val="right"/>
              <w:rPr>
                <w:sz w:val="22"/>
                <w:szCs w:val="22"/>
              </w:rPr>
            </w:pPr>
            <w:r w:rsidRPr="006F2FFB">
              <w:rPr>
                <w:rFonts w:cs="Calibri"/>
                <w:color w:val="000000"/>
                <w:sz w:val="22"/>
                <w:szCs w:val="22"/>
              </w:rPr>
              <w:t>47</w:t>
            </w:r>
          </w:p>
        </w:tc>
        <w:tc>
          <w:tcPr>
            <w:tcW w:w="1417" w:type="dxa"/>
          </w:tcPr>
          <w:p w14:paraId="5EDD5823" w14:textId="3BFA2489" w:rsidR="00E33017" w:rsidRPr="006F2FFB" w:rsidRDefault="00E33017" w:rsidP="00E33017">
            <w:pPr>
              <w:pStyle w:val="TableHead"/>
              <w:jc w:val="right"/>
              <w:rPr>
                <w:b w:val="0"/>
                <w:sz w:val="22"/>
                <w:szCs w:val="22"/>
              </w:rPr>
            </w:pPr>
            <w:r w:rsidRPr="006F2FFB">
              <w:rPr>
                <w:rFonts w:cs="Calibri"/>
                <w:color w:val="000000"/>
                <w:sz w:val="22"/>
                <w:szCs w:val="22"/>
              </w:rPr>
              <w:t>5.0%</w:t>
            </w:r>
          </w:p>
        </w:tc>
        <w:tc>
          <w:tcPr>
            <w:tcW w:w="1418" w:type="dxa"/>
          </w:tcPr>
          <w:p w14:paraId="6C8B278E" w14:textId="11C87CAD" w:rsidR="00E33017" w:rsidRPr="006F2FFB" w:rsidRDefault="00E33017" w:rsidP="00E33017">
            <w:pPr>
              <w:jc w:val="right"/>
              <w:rPr>
                <w:sz w:val="22"/>
                <w:szCs w:val="22"/>
              </w:rPr>
            </w:pPr>
            <w:r>
              <w:rPr>
                <w:rFonts w:cs="Calibri"/>
                <w:color w:val="000000"/>
                <w:sz w:val="22"/>
                <w:szCs w:val="22"/>
              </w:rPr>
              <w:t>972</w:t>
            </w:r>
          </w:p>
        </w:tc>
        <w:tc>
          <w:tcPr>
            <w:tcW w:w="1559" w:type="dxa"/>
          </w:tcPr>
          <w:p w14:paraId="3179618E" w14:textId="5482F4FA" w:rsidR="00E33017" w:rsidRPr="006F2FFB" w:rsidRDefault="00E33017" w:rsidP="00E33017">
            <w:pPr>
              <w:jc w:val="right"/>
              <w:rPr>
                <w:sz w:val="22"/>
                <w:szCs w:val="22"/>
              </w:rPr>
            </w:pPr>
            <w:r>
              <w:rPr>
                <w:rFonts w:cs="Calibri"/>
                <w:color w:val="000000"/>
                <w:sz w:val="22"/>
                <w:szCs w:val="22"/>
              </w:rPr>
              <w:t>52</w:t>
            </w:r>
          </w:p>
        </w:tc>
        <w:tc>
          <w:tcPr>
            <w:tcW w:w="1417" w:type="dxa"/>
          </w:tcPr>
          <w:p w14:paraId="18A05EE1" w14:textId="119E0905" w:rsidR="00E33017" w:rsidRPr="006F2FFB" w:rsidRDefault="00E33017" w:rsidP="00E33017">
            <w:pPr>
              <w:jc w:val="right"/>
              <w:rPr>
                <w:sz w:val="22"/>
                <w:szCs w:val="22"/>
              </w:rPr>
            </w:pPr>
            <w:r>
              <w:rPr>
                <w:rFonts w:cs="Calibri"/>
                <w:color w:val="000000"/>
                <w:sz w:val="22"/>
                <w:szCs w:val="22"/>
              </w:rPr>
              <w:t>5.3%</w:t>
            </w:r>
          </w:p>
        </w:tc>
      </w:tr>
      <w:tr w:rsidR="00E33017" w:rsidRPr="006F2FFB" w14:paraId="0B7D70A6" w14:textId="77777777" w:rsidTr="00C52262">
        <w:trPr>
          <w:jc w:val="center"/>
        </w:trPr>
        <w:tc>
          <w:tcPr>
            <w:tcW w:w="2278" w:type="dxa"/>
          </w:tcPr>
          <w:p w14:paraId="0E97011A" w14:textId="1D7A8AB4" w:rsidR="00E33017" w:rsidRPr="006F2FFB" w:rsidRDefault="00E33017" w:rsidP="00E33017">
            <w:pPr>
              <w:rPr>
                <w:sz w:val="22"/>
                <w:szCs w:val="22"/>
              </w:rPr>
            </w:pPr>
            <w:r w:rsidRPr="006F2FFB">
              <w:rPr>
                <w:rFonts w:cs="Calibri"/>
                <w:color w:val="000000"/>
                <w:sz w:val="22"/>
                <w:szCs w:val="22"/>
              </w:rPr>
              <w:t>Waterways Ireland</w:t>
            </w:r>
          </w:p>
        </w:tc>
        <w:tc>
          <w:tcPr>
            <w:tcW w:w="1559" w:type="dxa"/>
          </w:tcPr>
          <w:p w14:paraId="5211E882" w14:textId="09E6FBE2" w:rsidR="00E33017" w:rsidRPr="006F2FFB" w:rsidRDefault="00E33017" w:rsidP="00E33017">
            <w:pPr>
              <w:jc w:val="right"/>
              <w:rPr>
                <w:sz w:val="22"/>
                <w:szCs w:val="22"/>
              </w:rPr>
            </w:pPr>
            <w:r w:rsidRPr="006F2FFB">
              <w:rPr>
                <w:rFonts w:cs="Calibri"/>
                <w:color w:val="000000"/>
                <w:sz w:val="22"/>
                <w:szCs w:val="22"/>
              </w:rPr>
              <w:t>259</w:t>
            </w:r>
          </w:p>
        </w:tc>
        <w:tc>
          <w:tcPr>
            <w:tcW w:w="1560" w:type="dxa"/>
          </w:tcPr>
          <w:p w14:paraId="1411A78F" w14:textId="77B0BA43" w:rsidR="00E33017" w:rsidRPr="006F2FFB" w:rsidRDefault="00E33017" w:rsidP="00E33017">
            <w:pPr>
              <w:jc w:val="right"/>
              <w:rPr>
                <w:sz w:val="22"/>
                <w:szCs w:val="22"/>
              </w:rPr>
            </w:pPr>
            <w:r w:rsidRPr="006F2FFB">
              <w:rPr>
                <w:rFonts w:cs="Calibri"/>
                <w:color w:val="000000"/>
                <w:sz w:val="22"/>
                <w:szCs w:val="22"/>
              </w:rPr>
              <w:t>9</w:t>
            </w:r>
          </w:p>
        </w:tc>
        <w:tc>
          <w:tcPr>
            <w:tcW w:w="1417" w:type="dxa"/>
          </w:tcPr>
          <w:p w14:paraId="0455D4BF" w14:textId="154FE66C" w:rsidR="00E33017" w:rsidRPr="006F2FFB" w:rsidRDefault="00E33017" w:rsidP="00E33017">
            <w:pPr>
              <w:jc w:val="right"/>
              <w:rPr>
                <w:sz w:val="22"/>
                <w:szCs w:val="22"/>
              </w:rPr>
            </w:pPr>
            <w:r w:rsidRPr="006F2FFB">
              <w:rPr>
                <w:rFonts w:cs="Calibri"/>
                <w:color w:val="000000"/>
                <w:sz w:val="22"/>
                <w:szCs w:val="22"/>
              </w:rPr>
              <w:t>3.5%</w:t>
            </w:r>
          </w:p>
        </w:tc>
        <w:tc>
          <w:tcPr>
            <w:tcW w:w="1418" w:type="dxa"/>
          </w:tcPr>
          <w:p w14:paraId="6BCF54E9" w14:textId="5363BEE8" w:rsidR="00E33017" w:rsidRPr="006F2FFB" w:rsidRDefault="00E33017" w:rsidP="00E33017">
            <w:pPr>
              <w:jc w:val="right"/>
              <w:rPr>
                <w:sz w:val="22"/>
                <w:szCs w:val="22"/>
              </w:rPr>
            </w:pPr>
            <w:r>
              <w:rPr>
                <w:rFonts w:cs="Calibri"/>
                <w:color w:val="000000"/>
                <w:sz w:val="22"/>
                <w:szCs w:val="22"/>
              </w:rPr>
              <w:t>267</w:t>
            </w:r>
          </w:p>
        </w:tc>
        <w:tc>
          <w:tcPr>
            <w:tcW w:w="1559" w:type="dxa"/>
          </w:tcPr>
          <w:p w14:paraId="0BF97153" w14:textId="3EFD10D5" w:rsidR="00E33017" w:rsidRPr="006F2FFB" w:rsidRDefault="00E33017" w:rsidP="00E33017">
            <w:pPr>
              <w:jc w:val="right"/>
              <w:rPr>
                <w:sz w:val="22"/>
                <w:szCs w:val="22"/>
              </w:rPr>
            </w:pPr>
            <w:r>
              <w:rPr>
                <w:rFonts w:cs="Calibri"/>
                <w:color w:val="000000"/>
                <w:sz w:val="22"/>
                <w:szCs w:val="22"/>
              </w:rPr>
              <w:t>16</w:t>
            </w:r>
          </w:p>
        </w:tc>
        <w:tc>
          <w:tcPr>
            <w:tcW w:w="1417" w:type="dxa"/>
          </w:tcPr>
          <w:p w14:paraId="7B7D283C" w14:textId="76CCADCD" w:rsidR="00E33017" w:rsidRPr="006F2FFB" w:rsidRDefault="00E33017" w:rsidP="00E33017">
            <w:pPr>
              <w:jc w:val="right"/>
              <w:rPr>
                <w:sz w:val="22"/>
                <w:szCs w:val="22"/>
              </w:rPr>
            </w:pPr>
            <w:r>
              <w:rPr>
                <w:rFonts w:cs="Calibri"/>
                <w:color w:val="000000"/>
                <w:sz w:val="22"/>
                <w:szCs w:val="22"/>
              </w:rPr>
              <w:t>6.0%</w:t>
            </w:r>
          </w:p>
        </w:tc>
      </w:tr>
      <w:tr w:rsidR="00E33017" w:rsidRPr="006F2FFB" w14:paraId="2908B5AD" w14:textId="77777777" w:rsidTr="00C52262">
        <w:trPr>
          <w:jc w:val="center"/>
        </w:trPr>
        <w:tc>
          <w:tcPr>
            <w:tcW w:w="2278" w:type="dxa"/>
          </w:tcPr>
          <w:p w14:paraId="61A5AD40" w14:textId="0127DF94" w:rsidR="00E33017" w:rsidRPr="006F2FFB" w:rsidRDefault="00E33017" w:rsidP="00E33017">
            <w:pPr>
              <w:rPr>
                <w:sz w:val="22"/>
                <w:szCs w:val="22"/>
              </w:rPr>
            </w:pPr>
            <w:r w:rsidRPr="006F2FFB">
              <w:rPr>
                <w:rFonts w:cs="Calibri"/>
                <w:color w:val="000000"/>
                <w:sz w:val="22"/>
                <w:szCs w:val="22"/>
              </w:rPr>
              <w:t>Westmeath County Council</w:t>
            </w:r>
          </w:p>
        </w:tc>
        <w:tc>
          <w:tcPr>
            <w:tcW w:w="1559" w:type="dxa"/>
          </w:tcPr>
          <w:p w14:paraId="2BF469B6" w14:textId="10516C94" w:rsidR="00E33017" w:rsidRPr="006F2FFB" w:rsidRDefault="00E33017" w:rsidP="00E33017">
            <w:pPr>
              <w:jc w:val="right"/>
              <w:rPr>
                <w:sz w:val="22"/>
                <w:szCs w:val="22"/>
              </w:rPr>
            </w:pPr>
            <w:r w:rsidRPr="006F2FFB">
              <w:rPr>
                <w:rFonts w:cs="Calibri"/>
                <w:color w:val="000000"/>
                <w:sz w:val="22"/>
                <w:szCs w:val="22"/>
              </w:rPr>
              <w:t>501</w:t>
            </w:r>
          </w:p>
        </w:tc>
        <w:tc>
          <w:tcPr>
            <w:tcW w:w="1560" w:type="dxa"/>
          </w:tcPr>
          <w:p w14:paraId="5A882F73" w14:textId="249B07A8" w:rsidR="00E33017" w:rsidRPr="006F2FFB" w:rsidRDefault="00E33017" w:rsidP="00E33017">
            <w:pPr>
              <w:jc w:val="right"/>
              <w:rPr>
                <w:sz w:val="22"/>
                <w:szCs w:val="22"/>
              </w:rPr>
            </w:pPr>
            <w:r w:rsidRPr="006F2FFB">
              <w:rPr>
                <w:rFonts w:cs="Calibri"/>
                <w:color w:val="000000"/>
                <w:sz w:val="22"/>
                <w:szCs w:val="22"/>
              </w:rPr>
              <w:t>17</w:t>
            </w:r>
          </w:p>
        </w:tc>
        <w:tc>
          <w:tcPr>
            <w:tcW w:w="1417" w:type="dxa"/>
          </w:tcPr>
          <w:p w14:paraId="359141CB" w14:textId="023149F6" w:rsidR="00E33017" w:rsidRPr="006F2FFB" w:rsidRDefault="00E33017" w:rsidP="00E33017">
            <w:pPr>
              <w:jc w:val="right"/>
              <w:rPr>
                <w:sz w:val="22"/>
                <w:szCs w:val="22"/>
              </w:rPr>
            </w:pPr>
            <w:r w:rsidRPr="006F2FFB">
              <w:rPr>
                <w:rFonts w:cs="Calibri"/>
                <w:color w:val="000000"/>
                <w:sz w:val="22"/>
                <w:szCs w:val="22"/>
              </w:rPr>
              <w:t>3.4%</w:t>
            </w:r>
          </w:p>
        </w:tc>
        <w:tc>
          <w:tcPr>
            <w:tcW w:w="1418" w:type="dxa"/>
          </w:tcPr>
          <w:p w14:paraId="2095DB9E" w14:textId="349F9DC1" w:rsidR="00E33017" w:rsidRPr="006F2FFB" w:rsidRDefault="00E33017" w:rsidP="00E33017">
            <w:pPr>
              <w:jc w:val="right"/>
              <w:rPr>
                <w:sz w:val="22"/>
                <w:szCs w:val="22"/>
              </w:rPr>
            </w:pPr>
            <w:r>
              <w:rPr>
                <w:rFonts w:cs="Calibri"/>
                <w:color w:val="000000"/>
                <w:sz w:val="22"/>
                <w:szCs w:val="22"/>
              </w:rPr>
              <w:t>525</w:t>
            </w:r>
          </w:p>
        </w:tc>
        <w:tc>
          <w:tcPr>
            <w:tcW w:w="1559" w:type="dxa"/>
          </w:tcPr>
          <w:p w14:paraId="30171231" w14:textId="0D7B9871" w:rsidR="00E33017" w:rsidRPr="006F2FFB" w:rsidRDefault="00E33017" w:rsidP="00E33017">
            <w:pPr>
              <w:jc w:val="right"/>
              <w:rPr>
                <w:sz w:val="22"/>
                <w:szCs w:val="22"/>
              </w:rPr>
            </w:pPr>
            <w:r>
              <w:rPr>
                <w:rFonts w:cs="Calibri"/>
                <w:color w:val="000000"/>
                <w:sz w:val="22"/>
                <w:szCs w:val="22"/>
              </w:rPr>
              <w:t>35</w:t>
            </w:r>
          </w:p>
        </w:tc>
        <w:tc>
          <w:tcPr>
            <w:tcW w:w="1417" w:type="dxa"/>
          </w:tcPr>
          <w:p w14:paraId="0021BAD2" w14:textId="25347907" w:rsidR="00E33017" w:rsidRPr="006F2FFB" w:rsidRDefault="00E33017" w:rsidP="00E33017">
            <w:pPr>
              <w:jc w:val="right"/>
              <w:rPr>
                <w:sz w:val="22"/>
                <w:szCs w:val="22"/>
              </w:rPr>
            </w:pPr>
            <w:r>
              <w:rPr>
                <w:rFonts w:cs="Calibri"/>
                <w:color w:val="000000"/>
                <w:sz w:val="22"/>
                <w:szCs w:val="22"/>
              </w:rPr>
              <w:t>6.7%</w:t>
            </w:r>
          </w:p>
        </w:tc>
      </w:tr>
      <w:tr w:rsidR="00E33017" w:rsidRPr="006F2FFB" w14:paraId="566FB415" w14:textId="77777777" w:rsidTr="00C52262">
        <w:trPr>
          <w:jc w:val="center"/>
        </w:trPr>
        <w:tc>
          <w:tcPr>
            <w:tcW w:w="2278" w:type="dxa"/>
          </w:tcPr>
          <w:p w14:paraId="151C09FA" w14:textId="71B8EF7A" w:rsidR="00E33017" w:rsidRPr="006F2FFB" w:rsidRDefault="00E33017" w:rsidP="00E33017">
            <w:pPr>
              <w:rPr>
                <w:sz w:val="22"/>
                <w:szCs w:val="22"/>
              </w:rPr>
            </w:pPr>
            <w:r w:rsidRPr="006F2FFB">
              <w:rPr>
                <w:rFonts w:cs="Calibri"/>
                <w:color w:val="000000"/>
                <w:sz w:val="22"/>
                <w:szCs w:val="22"/>
              </w:rPr>
              <w:t>Wexford County Council</w:t>
            </w:r>
          </w:p>
        </w:tc>
        <w:tc>
          <w:tcPr>
            <w:tcW w:w="1559" w:type="dxa"/>
          </w:tcPr>
          <w:p w14:paraId="6FB781A7" w14:textId="6C50982E" w:rsidR="00E33017" w:rsidRPr="006F2FFB" w:rsidRDefault="00E33017" w:rsidP="00E33017">
            <w:pPr>
              <w:jc w:val="right"/>
              <w:rPr>
                <w:sz w:val="22"/>
                <w:szCs w:val="22"/>
              </w:rPr>
            </w:pPr>
            <w:r w:rsidRPr="006F2FFB">
              <w:rPr>
                <w:rFonts w:cs="Calibri"/>
                <w:color w:val="000000"/>
                <w:sz w:val="22"/>
                <w:szCs w:val="22"/>
              </w:rPr>
              <w:t>847</w:t>
            </w:r>
          </w:p>
        </w:tc>
        <w:tc>
          <w:tcPr>
            <w:tcW w:w="1560" w:type="dxa"/>
          </w:tcPr>
          <w:p w14:paraId="6DF5C898" w14:textId="57EC5853" w:rsidR="00E33017" w:rsidRPr="006F2FFB" w:rsidRDefault="00E33017" w:rsidP="00E33017">
            <w:pPr>
              <w:jc w:val="right"/>
              <w:rPr>
                <w:sz w:val="22"/>
                <w:szCs w:val="22"/>
              </w:rPr>
            </w:pPr>
            <w:r w:rsidRPr="006F2FFB">
              <w:rPr>
                <w:rFonts w:cs="Calibri"/>
                <w:color w:val="000000"/>
                <w:sz w:val="22"/>
                <w:szCs w:val="22"/>
              </w:rPr>
              <w:t>97</w:t>
            </w:r>
          </w:p>
        </w:tc>
        <w:tc>
          <w:tcPr>
            <w:tcW w:w="1417" w:type="dxa"/>
          </w:tcPr>
          <w:p w14:paraId="091D62D6" w14:textId="6273B6ED" w:rsidR="00E33017" w:rsidRPr="006F2FFB" w:rsidRDefault="00E33017" w:rsidP="00E33017">
            <w:pPr>
              <w:jc w:val="right"/>
              <w:rPr>
                <w:sz w:val="22"/>
                <w:szCs w:val="22"/>
              </w:rPr>
            </w:pPr>
            <w:r w:rsidRPr="006F2FFB">
              <w:rPr>
                <w:rFonts w:cs="Calibri"/>
                <w:color w:val="000000"/>
                <w:sz w:val="22"/>
                <w:szCs w:val="22"/>
              </w:rPr>
              <w:t>11.5%</w:t>
            </w:r>
          </w:p>
        </w:tc>
        <w:tc>
          <w:tcPr>
            <w:tcW w:w="1418" w:type="dxa"/>
          </w:tcPr>
          <w:p w14:paraId="476569B5" w14:textId="6A73B5ED" w:rsidR="00E33017" w:rsidRPr="006F2FFB" w:rsidRDefault="00E33017" w:rsidP="00E33017">
            <w:pPr>
              <w:jc w:val="right"/>
              <w:rPr>
                <w:sz w:val="22"/>
                <w:szCs w:val="22"/>
              </w:rPr>
            </w:pPr>
            <w:r>
              <w:rPr>
                <w:rFonts w:cs="Calibri"/>
                <w:color w:val="000000"/>
                <w:sz w:val="22"/>
                <w:szCs w:val="22"/>
              </w:rPr>
              <w:t>897</w:t>
            </w:r>
          </w:p>
        </w:tc>
        <w:tc>
          <w:tcPr>
            <w:tcW w:w="1559" w:type="dxa"/>
          </w:tcPr>
          <w:p w14:paraId="189526EA" w14:textId="5993F174" w:rsidR="00E33017" w:rsidRPr="006F2FFB" w:rsidRDefault="00E33017" w:rsidP="00E33017">
            <w:pPr>
              <w:jc w:val="right"/>
              <w:rPr>
                <w:sz w:val="22"/>
                <w:szCs w:val="22"/>
              </w:rPr>
            </w:pPr>
            <w:r>
              <w:rPr>
                <w:rFonts w:cs="Calibri"/>
                <w:color w:val="000000"/>
                <w:sz w:val="22"/>
                <w:szCs w:val="22"/>
              </w:rPr>
              <w:t>96</w:t>
            </w:r>
          </w:p>
        </w:tc>
        <w:tc>
          <w:tcPr>
            <w:tcW w:w="1417" w:type="dxa"/>
          </w:tcPr>
          <w:p w14:paraId="2D029089" w14:textId="6913B637" w:rsidR="00E33017" w:rsidRPr="006F2FFB" w:rsidRDefault="00E33017" w:rsidP="00E33017">
            <w:pPr>
              <w:jc w:val="right"/>
              <w:rPr>
                <w:sz w:val="22"/>
                <w:szCs w:val="22"/>
              </w:rPr>
            </w:pPr>
            <w:r>
              <w:rPr>
                <w:rFonts w:cs="Calibri"/>
                <w:color w:val="000000"/>
                <w:sz w:val="22"/>
                <w:szCs w:val="22"/>
              </w:rPr>
              <w:t>10.7%</w:t>
            </w:r>
          </w:p>
        </w:tc>
      </w:tr>
      <w:tr w:rsidR="00E33017" w:rsidRPr="006F2FFB" w14:paraId="7A3EE766" w14:textId="77777777" w:rsidTr="00C52262">
        <w:trPr>
          <w:jc w:val="center"/>
        </w:trPr>
        <w:tc>
          <w:tcPr>
            <w:tcW w:w="2278" w:type="dxa"/>
          </w:tcPr>
          <w:p w14:paraId="7EE431CB" w14:textId="77777777" w:rsidR="00E33017" w:rsidRPr="006F2FFB" w:rsidRDefault="00E33017" w:rsidP="00E33017">
            <w:pPr>
              <w:spacing w:after="0"/>
              <w:rPr>
                <w:rFonts w:cs="Calibri"/>
                <w:color w:val="000000"/>
                <w:sz w:val="22"/>
                <w:szCs w:val="22"/>
                <w:lang w:eastAsia="en-IE"/>
              </w:rPr>
            </w:pPr>
            <w:r w:rsidRPr="006F2FFB">
              <w:rPr>
                <w:rFonts w:cs="Calibri"/>
                <w:color w:val="000000"/>
                <w:sz w:val="22"/>
                <w:szCs w:val="22"/>
              </w:rPr>
              <w:t>Wicklow County Council</w:t>
            </w:r>
          </w:p>
          <w:p w14:paraId="76C6C59B" w14:textId="2E953C18" w:rsidR="00E33017" w:rsidRPr="006F2FFB" w:rsidRDefault="00E33017" w:rsidP="00E33017">
            <w:pPr>
              <w:pStyle w:val="TableHead"/>
              <w:rPr>
                <w:sz w:val="22"/>
                <w:szCs w:val="22"/>
              </w:rPr>
            </w:pPr>
          </w:p>
        </w:tc>
        <w:tc>
          <w:tcPr>
            <w:tcW w:w="1559" w:type="dxa"/>
          </w:tcPr>
          <w:p w14:paraId="4297B110" w14:textId="2FAB6222" w:rsidR="00E33017" w:rsidRPr="006F2FFB" w:rsidRDefault="00E33017" w:rsidP="00E33017">
            <w:pPr>
              <w:pStyle w:val="TableHead"/>
              <w:jc w:val="right"/>
              <w:rPr>
                <w:b w:val="0"/>
                <w:sz w:val="22"/>
                <w:szCs w:val="22"/>
              </w:rPr>
            </w:pPr>
            <w:r w:rsidRPr="006F2FFB">
              <w:rPr>
                <w:rFonts w:cs="Calibri"/>
                <w:b w:val="0"/>
                <w:color w:val="000000"/>
                <w:sz w:val="22"/>
                <w:szCs w:val="22"/>
              </w:rPr>
              <w:t>746</w:t>
            </w:r>
          </w:p>
        </w:tc>
        <w:tc>
          <w:tcPr>
            <w:tcW w:w="1560" w:type="dxa"/>
          </w:tcPr>
          <w:p w14:paraId="50708010" w14:textId="2D18C95B" w:rsidR="00E33017" w:rsidRPr="006F2FFB" w:rsidRDefault="00E33017" w:rsidP="00E33017">
            <w:pPr>
              <w:pStyle w:val="TableHead"/>
              <w:jc w:val="right"/>
              <w:rPr>
                <w:b w:val="0"/>
                <w:sz w:val="22"/>
                <w:szCs w:val="22"/>
              </w:rPr>
            </w:pPr>
            <w:r w:rsidRPr="006F2FFB">
              <w:rPr>
                <w:rFonts w:cs="Calibri"/>
                <w:b w:val="0"/>
                <w:color w:val="000000"/>
                <w:sz w:val="22"/>
                <w:szCs w:val="22"/>
              </w:rPr>
              <w:t>49</w:t>
            </w:r>
          </w:p>
        </w:tc>
        <w:tc>
          <w:tcPr>
            <w:tcW w:w="1417" w:type="dxa"/>
          </w:tcPr>
          <w:p w14:paraId="06EDCA12" w14:textId="0987DA7A" w:rsidR="00E33017" w:rsidRPr="006F2FFB" w:rsidRDefault="00E33017" w:rsidP="00E33017">
            <w:pPr>
              <w:pStyle w:val="TableHead"/>
              <w:jc w:val="right"/>
              <w:rPr>
                <w:b w:val="0"/>
                <w:sz w:val="22"/>
                <w:szCs w:val="22"/>
              </w:rPr>
            </w:pPr>
            <w:r w:rsidRPr="006F2FFB">
              <w:rPr>
                <w:rFonts w:cs="Calibri"/>
                <w:b w:val="0"/>
                <w:color w:val="000000"/>
                <w:sz w:val="22"/>
                <w:szCs w:val="22"/>
              </w:rPr>
              <w:t>6.6%</w:t>
            </w:r>
          </w:p>
        </w:tc>
        <w:tc>
          <w:tcPr>
            <w:tcW w:w="1418" w:type="dxa"/>
          </w:tcPr>
          <w:p w14:paraId="6B6DC95C" w14:textId="74172381" w:rsidR="00E33017" w:rsidRPr="006F2FFB" w:rsidRDefault="00E33017" w:rsidP="00E33017">
            <w:pPr>
              <w:pStyle w:val="TableHead"/>
              <w:jc w:val="right"/>
              <w:rPr>
                <w:b w:val="0"/>
                <w:bCs/>
                <w:sz w:val="22"/>
                <w:szCs w:val="22"/>
              </w:rPr>
            </w:pPr>
            <w:r w:rsidRPr="006F2FFB">
              <w:rPr>
                <w:rFonts w:cs="Calibri"/>
                <w:b w:val="0"/>
                <w:bCs/>
                <w:color w:val="000000"/>
                <w:sz w:val="22"/>
                <w:szCs w:val="22"/>
              </w:rPr>
              <w:t>674</w:t>
            </w:r>
          </w:p>
        </w:tc>
        <w:tc>
          <w:tcPr>
            <w:tcW w:w="1559" w:type="dxa"/>
          </w:tcPr>
          <w:p w14:paraId="6DD2D0CB" w14:textId="1BA2D725" w:rsidR="00E33017" w:rsidRPr="006F2FFB" w:rsidRDefault="00E33017" w:rsidP="00E33017">
            <w:pPr>
              <w:pStyle w:val="TableHead"/>
              <w:jc w:val="right"/>
              <w:rPr>
                <w:b w:val="0"/>
                <w:bCs/>
                <w:sz w:val="22"/>
                <w:szCs w:val="22"/>
              </w:rPr>
            </w:pPr>
            <w:r w:rsidRPr="006F2FFB">
              <w:rPr>
                <w:rFonts w:cs="Calibri"/>
                <w:b w:val="0"/>
                <w:bCs/>
                <w:color w:val="000000"/>
                <w:sz w:val="22"/>
                <w:szCs w:val="22"/>
              </w:rPr>
              <w:t>57</w:t>
            </w:r>
          </w:p>
        </w:tc>
        <w:tc>
          <w:tcPr>
            <w:tcW w:w="1417" w:type="dxa"/>
          </w:tcPr>
          <w:p w14:paraId="4BA0FE0C" w14:textId="3442506C" w:rsidR="00E33017" w:rsidRPr="006F2FFB" w:rsidRDefault="00E33017" w:rsidP="00E33017">
            <w:pPr>
              <w:pStyle w:val="TableHead"/>
              <w:jc w:val="right"/>
              <w:rPr>
                <w:b w:val="0"/>
                <w:bCs/>
                <w:sz w:val="22"/>
                <w:szCs w:val="22"/>
              </w:rPr>
            </w:pPr>
            <w:r w:rsidRPr="006F2FFB">
              <w:rPr>
                <w:rFonts w:cs="Calibri"/>
                <w:b w:val="0"/>
                <w:bCs/>
                <w:color w:val="000000"/>
                <w:sz w:val="22"/>
                <w:szCs w:val="22"/>
              </w:rPr>
              <w:t>8.5%</w:t>
            </w:r>
          </w:p>
        </w:tc>
      </w:tr>
      <w:tr w:rsidR="00E33017" w:rsidRPr="006F2FFB" w14:paraId="21C325E7" w14:textId="77777777" w:rsidTr="00C52262">
        <w:trPr>
          <w:jc w:val="center"/>
        </w:trPr>
        <w:tc>
          <w:tcPr>
            <w:tcW w:w="2278" w:type="dxa"/>
          </w:tcPr>
          <w:p w14:paraId="0A413B03" w14:textId="665B3A7D" w:rsidR="00E33017" w:rsidRPr="006F2FFB" w:rsidRDefault="00E33017" w:rsidP="00E33017">
            <w:pPr>
              <w:pStyle w:val="TableHead"/>
              <w:rPr>
                <w:sz w:val="22"/>
                <w:szCs w:val="22"/>
              </w:rPr>
            </w:pPr>
            <w:r w:rsidRPr="006F2FFB">
              <w:rPr>
                <w:sz w:val="22"/>
                <w:szCs w:val="22"/>
              </w:rPr>
              <w:t xml:space="preserve">Grand Total </w:t>
            </w:r>
          </w:p>
        </w:tc>
        <w:tc>
          <w:tcPr>
            <w:tcW w:w="1559" w:type="dxa"/>
          </w:tcPr>
          <w:p w14:paraId="3BD53CA2" w14:textId="77777777" w:rsidR="00E33017" w:rsidRPr="006F2FFB" w:rsidRDefault="00E33017" w:rsidP="00E33017">
            <w:pPr>
              <w:spacing w:after="0"/>
              <w:jc w:val="right"/>
              <w:rPr>
                <w:rFonts w:cs="Calibri"/>
                <w:b/>
                <w:bCs/>
                <w:color w:val="000000"/>
                <w:sz w:val="22"/>
                <w:szCs w:val="22"/>
                <w:lang w:eastAsia="en-IE"/>
              </w:rPr>
            </w:pPr>
            <w:r w:rsidRPr="006F2FFB">
              <w:rPr>
                <w:rFonts w:cs="Calibri"/>
                <w:b/>
                <w:bCs/>
                <w:color w:val="000000"/>
                <w:sz w:val="22"/>
                <w:szCs w:val="22"/>
              </w:rPr>
              <w:t>35,991</w:t>
            </w:r>
          </w:p>
          <w:p w14:paraId="0381A2E8" w14:textId="77777777" w:rsidR="00E33017" w:rsidRPr="006F2FFB" w:rsidRDefault="00E33017" w:rsidP="00E33017">
            <w:pPr>
              <w:pStyle w:val="TableHead"/>
              <w:jc w:val="right"/>
              <w:rPr>
                <w:sz w:val="22"/>
                <w:szCs w:val="22"/>
              </w:rPr>
            </w:pPr>
          </w:p>
        </w:tc>
        <w:tc>
          <w:tcPr>
            <w:tcW w:w="1560" w:type="dxa"/>
          </w:tcPr>
          <w:p w14:paraId="7E83E32C" w14:textId="77777777" w:rsidR="00E33017" w:rsidRPr="006F2FFB" w:rsidRDefault="00E33017" w:rsidP="00E33017">
            <w:pPr>
              <w:spacing w:after="0"/>
              <w:jc w:val="right"/>
              <w:rPr>
                <w:rFonts w:cs="Calibri"/>
                <w:b/>
                <w:bCs/>
                <w:color w:val="000000"/>
                <w:sz w:val="22"/>
                <w:szCs w:val="22"/>
                <w:lang w:eastAsia="en-IE"/>
              </w:rPr>
            </w:pPr>
            <w:r w:rsidRPr="006F2FFB">
              <w:rPr>
                <w:rFonts w:cs="Calibri"/>
                <w:b/>
                <w:bCs/>
                <w:color w:val="000000"/>
                <w:sz w:val="22"/>
                <w:szCs w:val="22"/>
              </w:rPr>
              <w:t>1,620</w:t>
            </w:r>
          </w:p>
          <w:p w14:paraId="1F535654" w14:textId="77777777" w:rsidR="00E33017" w:rsidRPr="006F2FFB" w:rsidRDefault="00E33017" w:rsidP="00E33017">
            <w:pPr>
              <w:pStyle w:val="TableHead"/>
              <w:jc w:val="right"/>
              <w:rPr>
                <w:sz w:val="22"/>
                <w:szCs w:val="22"/>
              </w:rPr>
            </w:pPr>
          </w:p>
        </w:tc>
        <w:tc>
          <w:tcPr>
            <w:tcW w:w="1417" w:type="dxa"/>
          </w:tcPr>
          <w:p w14:paraId="5B23A942" w14:textId="694888CE" w:rsidR="00E33017" w:rsidRPr="006F2FFB" w:rsidRDefault="00E33017" w:rsidP="00E33017">
            <w:pPr>
              <w:pStyle w:val="TableHead"/>
              <w:jc w:val="right"/>
              <w:rPr>
                <w:sz w:val="22"/>
                <w:szCs w:val="22"/>
              </w:rPr>
            </w:pPr>
            <w:r w:rsidRPr="006F2FFB">
              <w:rPr>
                <w:sz w:val="22"/>
                <w:szCs w:val="22"/>
              </w:rPr>
              <w:t>4.5%</w:t>
            </w:r>
          </w:p>
        </w:tc>
        <w:tc>
          <w:tcPr>
            <w:tcW w:w="1418" w:type="dxa"/>
          </w:tcPr>
          <w:p w14:paraId="7194C2AE" w14:textId="77777777" w:rsidR="00E33017" w:rsidRDefault="00E33017" w:rsidP="00E33017">
            <w:pPr>
              <w:spacing w:after="0"/>
              <w:jc w:val="right"/>
              <w:rPr>
                <w:rFonts w:cs="Calibri"/>
                <w:b/>
                <w:bCs/>
                <w:color w:val="000000"/>
                <w:sz w:val="22"/>
                <w:szCs w:val="22"/>
                <w:lang w:eastAsia="en-IE"/>
              </w:rPr>
            </w:pPr>
            <w:r>
              <w:rPr>
                <w:rFonts w:cs="Calibri"/>
                <w:b/>
                <w:bCs/>
                <w:color w:val="000000"/>
                <w:sz w:val="22"/>
                <w:szCs w:val="22"/>
              </w:rPr>
              <w:t>36497</w:t>
            </w:r>
          </w:p>
          <w:p w14:paraId="02213387" w14:textId="77777777" w:rsidR="00E33017" w:rsidRPr="006F2FFB" w:rsidRDefault="00E33017" w:rsidP="00E33017">
            <w:pPr>
              <w:pStyle w:val="TableHead"/>
              <w:jc w:val="right"/>
              <w:rPr>
                <w:sz w:val="22"/>
                <w:szCs w:val="22"/>
              </w:rPr>
            </w:pPr>
          </w:p>
        </w:tc>
        <w:tc>
          <w:tcPr>
            <w:tcW w:w="1559" w:type="dxa"/>
          </w:tcPr>
          <w:p w14:paraId="4064863B" w14:textId="77777777" w:rsidR="00E33017" w:rsidRDefault="00E33017" w:rsidP="00E33017">
            <w:pPr>
              <w:spacing w:after="0"/>
              <w:jc w:val="right"/>
              <w:rPr>
                <w:rFonts w:cs="Calibri"/>
                <w:b/>
                <w:bCs/>
                <w:color w:val="000000"/>
                <w:sz w:val="22"/>
                <w:szCs w:val="22"/>
                <w:lang w:eastAsia="en-IE"/>
              </w:rPr>
            </w:pPr>
            <w:r>
              <w:rPr>
                <w:rFonts w:cs="Calibri"/>
                <w:b/>
                <w:bCs/>
                <w:color w:val="000000"/>
                <w:sz w:val="22"/>
                <w:szCs w:val="22"/>
              </w:rPr>
              <w:t>1802</w:t>
            </w:r>
          </w:p>
          <w:p w14:paraId="4EC280C2" w14:textId="77777777" w:rsidR="00E33017" w:rsidRPr="006F2FFB" w:rsidRDefault="00E33017" w:rsidP="00E33017">
            <w:pPr>
              <w:pStyle w:val="TableHead"/>
              <w:jc w:val="right"/>
              <w:rPr>
                <w:sz w:val="22"/>
                <w:szCs w:val="22"/>
              </w:rPr>
            </w:pPr>
          </w:p>
        </w:tc>
        <w:tc>
          <w:tcPr>
            <w:tcW w:w="1417" w:type="dxa"/>
          </w:tcPr>
          <w:p w14:paraId="7E6A84AA" w14:textId="77777777" w:rsidR="00E33017" w:rsidRDefault="00E33017" w:rsidP="00E33017">
            <w:pPr>
              <w:spacing w:after="0"/>
              <w:jc w:val="right"/>
              <w:rPr>
                <w:rFonts w:cs="Calibri"/>
                <w:b/>
                <w:bCs/>
                <w:color w:val="000000"/>
                <w:sz w:val="22"/>
                <w:szCs w:val="22"/>
                <w:lang w:eastAsia="en-IE"/>
              </w:rPr>
            </w:pPr>
            <w:r>
              <w:rPr>
                <w:rFonts w:cs="Calibri"/>
                <w:b/>
                <w:bCs/>
                <w:color w:val="000000"/>
                <w:sz w:val="22"/>
                <w:szCs w:val="22"/>
              </w:rPr>
              <w:t>4.9%</w:t>
            </w:r>
          </w:p>
          <w:p w14:paraId="16D26D98" w14:textId="22512CB5" w:rsidR="00E33017" w:rsidRPr="006F2FFB" w:rsidRDefault="00E33017" w:rsidP="00E33017">
            <w:pPr>
              <w:pStyle w:val="TableHead"/>
              <w:jc w:val="right"/>
              <w:rPr>
                <w:sz w:val="22"/>
                <w:szCs w:val="22"/>
              </w:rPr>
            </w:pPr>
          </w:p>
        </w:tc>
      </w:tr>
    </w:tbl>
    <w:p w14:paraId="5002F618" w14:textId="21DE9932" w:rsidR="00E46650" w:rsidRDefault="00E46650" w:rsidP="00624403"/>
    <w:p w14:paraId="73A7C7E9" w14:textId="77777777" w:rsidR="00E46650" w:rsidRDefault="00E46650">
      <w:pPr>
        <w:spacing w:after="0"/>
      </w:pPr>
      <w:r>
        <w:br w:type="page"/>
      </w:r>
    </w:p>
    <w:p w14:paraId="2CD86F15" w14:textId="77777777" w:rsidR="004D6023" w:rsidRDefault="004D6023" w:rsidP="00DA2B08"/>
    <w:p w14:paraId="2199CE2E" w14:textId="400F7A6D" w:rsidR="000D5C5D" w:rsidRPr="00454924" w:rsidRDefault="00624403" w:rsidP="00B12C05">
      <w:pPr>
        <w:pStyle w:val="Heading2"/>
        <w:jc w:val="center"/>
        <w:rPr>
          <w:color w:val="000000" w:themeColor="text1"/>
        </w:rPr>
      </w:pPr>
      <w:bookmarkStart w:id="77" w:name="_Toc146113882"/>
      <w:r w:rsidRPr="00454924">
        <w:rPr>
          <w:color w:val="000000" w:themeColor="text1"/>
        </w:rPr>
        <w:t>Department of Public Expenditure &amp; Reform</w:t>
      </w:r>
      <w:bookmarkEnd w:id="77"/>
    </w:p>
    <w:p w14:paraId="3FE4EFA8" w14:textId="5E9F09B5" w:rsidR="00B12C05" w:rsidRPr="006F2FFB" w:rsidRDefault="00B12C05" w:rsidP="00B12C05">
      <w:pPr>
        <w:rPr>
          <w:b/>
          <w:sz w:val="22"/>
          <w:szCs w:val="22"/>
        </w:rPr>
      </w:pPr>
      <w:r w:rsidRPr="00454924">
        <w:rPr>
          <w:b/>
        </w:rPr>
        <w:t>*</w:t>
      </w:r>
      <w:r w:rsidR="00B833E4" w:rsidRPr="00454924">
        <w:rPr>
          <w:b/>
          <w:sz w:val="22"/>
          <w:szCs w:val="22"/>
        </w:rPr>
        <w:t>Relevant public bodies in the D</w:t>
      </w:r>
      <w:r w:rsidR="00166A0B" w:rsidRPr="00454924">
        <w:rPr>
          <w:b/>
          <w:sz w:val="22"/>
          <w:szCs w:val="22"/>
        </w:rPr>
        <w:t>epartment of Justice that for the purposes of Part 5</w:t>
      </w:r>
      <w:r w:rsidR="00F14C6B" w:rsidRPr="00454924">
        <w:rPr>
          <w:b/>
          <w:sz w:val="22"/>
          <w:szCs w:val="22"/>
        </w:rPr>
        <w:t>, report</w:t>
      </w:r>
      <w:r w:rsidR="00166A0B" w:rsidRPr="00454924">
        <w:rPr>
          <w:b/>
          <w:sz w:val="22"/>
          <w:szCs w:val="22"/>
        </w:rPr>
        <w:t xml:space="preserve"> under the Department of Public Expenditure &amp; Reform</w:t>
      </w:r>
    </w:p>
    <w:tbl>
      <w:tblPr>
        <w:tblStyle w:val="TableGrid"/>
        <w:tblW w:w="11345" w:type="dxa"/>
        <w:jc w:val="center"/>
        <w:tblLayout w:type="fixed"/>
        <w:tblLook w:val="04A0" w:firstRow="1" w:lastRow="0" w:firstColumn="1" w:lastColumn="0" w:noHBand="0" w:noVBand="1"/>
        <w:tblCaption w:val="Department of Public Expenditure &amp; Reform"/>
      </w:tblPr>
      <w:tblGrid>
        <w:gridCol w:w="1706"/>
        <w:gridCol w:w="1701"/>
        <w:gridCol w:w="1418"/>
        <w:gridCol w:w="1559"/>
        <w:gridCol w:w="1701"/>
        <w:gridCol w:w="1559"/>
        <w:gridCol w:w="1701"/>
      </w:tblGrid>
      <w:tr w:rsidR="00107D01" w:rsidRPr="006F2FFB" w14:paraId="465B19A8" w14:textId="77777777" w:rsidTr="000B04F5">
        <w:trPr>
          <w:tblHeader/>
          <w:jc w:val="center"/>
        </w:trPr>
        <w:tc>
          <w:tcPr>
            <w:tcW w:w="1706" w:type="dxa"/>
          </w:tcPr>
          <w:p w14:paraId="2C95791F" w14:textId="77777777" w:rsidR="00107D01" w:rsidRPr="006F2FFB" w:rsidRDefault="00107D01" w:rsidP="00812E67">
            <w:pPr>
              <w:pStyle w:val="TableHead"/>
              <w:rPr>
                <w:sz w:val="22"/>
                <w:szCs w:val="22"/>
              </w:rPr>
            </w:pPr>
            <w:r w:rsidRPr="006F2FFB">
              <w:rPr>
                <w:sz w:val="22"/>
                <w:szCs w:val="22"/>
              </w:rPr>
              <w:t>Public Body</w:t>
            </w:r>
          </w:p>
        </w:tc>
        <w:tc>
          <w:tcPr>
            <w:tcW w:w="1701" w:type="dxa"/>
          </w:tcPr>
          <w:p w14:paraId="23081671" w14:textId="77777777" w:rsidR="00F516FE" w:rsidRPr="006F2FFB" w:rsidRDefault="00FA0390" w:rsidP="00812E67">
            <w:pPr>
              <w:pStyle w:val="TableHead"/>
              <w:rPr>
                <w:sz w:val="22"/>
                <w:szCs w:val="22"/>
              </w:rPr>
            </w:pPr>
            <w:r w:rsidRPr="006F2FFB">
              <w:rPr>
                <w:sz w:val="22"/>
                <w:szCs w:val="22"/>
              </w:rPr>
              <w:t xml:space="preserve">Total </w:t>
            </w:r>
          </w:p>
          <w:p w14:paraId="738157FF" w14:textId="77777777" w:rsidR="00F516FE" w:rsidRPr="006F2FFB" w:rsidRDefault="00F1261F" w:rsidP="00812E67">
            <w:pPr>
              <w:pStyle w:val="TableHead"/>
              <w:rPr>
                <w:sz w:val="22"/>
                <w:szCs w:val="22"/>
              </w:rPr>
            </w:pPr>
            <w:r w:rsidRPr="006F2FFB">
              <w:rPr>
                <w:sz w:val="22"/>
                <w:szCs w:val="22"/>
              </w:rPr>
              <w:t xml:space="preserve">number </w:t>
            </w:r>
          </w:p>
          <w:p w14:paraId="3C52C141" w14:textId="77777777" w:rsidR="00F516FE" w:rsidRPr="006F2FFB" w:rsidRDefault="00F1261F" w:rsidP="00812E67">
            <w:pPr>
              <w:pStyle w:val="TableHead"/>
              <w:rPr>
                <w:sz w:val="22"/>
                <w:szCs w:val="22"/>
              </w:rPr>
            </w:pPr>
            <w:r w:rsidRPr="006F2FFB">
              <w:rPr>
                <w:sz w:val="22"/>
                <w:szCs w:val="22"/>
              </w:rPr>
              <w:t xml:space="preserve">of </w:t>
            </w:r>
          </w:p>
          <w:p w14:paraId="7D54687C" w14:textId="1C8E869A" w:rsidR="00107D01" w:rsidRPr="006F2FFB" w:rsidRDefault="00F1261F" w:rsidP="00812E67">
            <w:pPr>
              <w:pStyle w:val="TableHead"/>
              <w:rPr>
                <w:sz w:val="22"/>
                <w:szCs w:val="22"/>
              </w:rPr>
            </w:pPr>
            <w:r w:rsidRPr="006F2FFB">
              <w:rPr>
                <w:sz w:val="22"/>
                <w:szCs w:val="22"/>
              </w:rPr>
              <w:t>employees  202</w:t>
            </w:r>
            <w:r w:rsidR="004D6023">
              <w:rPr>
                <w:sz w:val="22"/>
                <w:szCs w:val="22"/>
              </w:rPr>
              <w:t>1</w:t>
            </w:r>
          </w:p>
        </w:tc>
        <w:tc>
          <w:tcPr>
            <w:tcW w:w="1418" w:type="dxa"/>
          </w:tcPr>
          <w:p w14:paraId="2A394F2A" w14:textId="05C2DE46" w:rsidR="00107D01" w:rsidRPr="006F2FFB" w:rsidRDefault="00107D01" w:rsidP="00812E67">
            <w:pPr>
              <w:pStyle w:val="TableHead"/>
              <w:rPr>
                <w:sz w:val="22"/>
                <w:szCs w:val="22"/>
              </w:rPr>
            </w:pPr>
            <w:r w:rsidRPr="006F2FFB">
              <w:rPr>
                <w:sz w:val="22"/>
                <w:szCs w:val="22"/>
              </w:rPr>
              <w:t>Number of employees reporting</w:t>
            </w:r>
            <w:r w:rsidR="00FA0390" w:rsidRPr="006F2FFB">
              <w:rPr>
                <w:sz w:val="22"/>
                <w:szCs w:val="22"/>
              </w:rPr>
              <w:t xml:space="preserve"> a</w:t>
            </w:r>
            <w:r w:rsidRPr="006F2FFB">
              <w:rPr>
                <w:sz w:val="22"/>
                <w:szCs w:val="22"/>
              </w:rPr>
              <w:t xml:space="preserve"> disab</w:t>
            </w:r>
            <w:r w:rsidR="00FA0390" w:rsidRPr="006F2FFB">
              <w:rPr>
                <w:sz w:val="22"/>
                <w:szCs w:val="22"/>
              </w:rPr>
              <w:t>ility</w:t>
            </w:r>
            <w:r w:rsidRPr="006F2FFB">
              <w:rPr>
                <w:sz w:val="22"/>
                <w:szCs w:val="22"/>
              </w:rPr>
              <w:t xml:space="preserve"> </w:t>
            </w:r>
          </w:p>
          <w:p w14:paraId="739ECA4F" w14:textId="673BEDBB" w:rsidR="00107D01" w:rsidRPr="006F2FFB" w:rsidRDefault="00F1261F" w:rsidP="00812E67">
            <w:pPr>
              <w:pStyle w:val="TableHead"/>
              <w:rPr>
                <w:sz w:val="22"/>
                <w:szCs w:val="22"/>
              </w:rPr>
            </w:pPr>
            <w:r w:rsidRPr="006F2FFB">
              <w:rPr>
                <w:sz w:val="22"/>
                <w:szCs w:val="22"/>
              </w:rPr>
              <w:t>202</w:t>
            </w:r>
            <w:r w:rsidR="004D6023">
              <w:rPr>
                <w:sz w:val="22"/>
                <w:szCs w:val="22"/>
              </w:rPr>
              <w:t>1</w:t>
            </w:r>
          </w:p>
        </w:tc>
        <w:tc>
          <w:tcPr>
            <w:tcW w:w="1559" w:type="dxa"/>
          </w:tcPr>
          <w:p w14:paraId="2DC4208D" w14:textId="07266BB7" w:rsidR="00107D01" w:rsidRPr="006F2FFB" w:rsidRDefault="00107D01" w:rsidP="00812E67">
            <w:pPr>
              <w:pStyle w:val="TableHead"/>
              <w:rPr>
                <w:sz w:val="22"/>
                <w:szCs w:val="22"/>
              </w:rPr>
            </w:pPr>
            <w:r w:rsidRPr="006F2FFB">
              <w:rPr>
                <w:sz w:val="22"/>
                <w:szCs w:val="22"/>
              </w:rPr>
              <w:t>% of employees reporting</w:t>
            </w:r>
            <w:r w:rsidR="004B379F" w:rsidRPr="006F2FFB">
              <w:rPr>
                <w:sz w:val="22"/>
                <w:szCs w:val="22"/>
              </w:rPr>
              <w:t xml:space="preserve"> a</w:t>
            </w:r>
          </w:p>
          <w:p w14:paraId="582191C5" w14:textId="2A76C658" w:rsidR="00107D01" w:rsidRPr="006F2FFB" w:rsidRDefault="004B379F" w:rsidP="00812E67">
            <w:pPr>
              <w:pStyle w:val="TableHead"/>
              <w:rPr>
                <w:sz w:val="22"/>
                <w:szCs w:val="22"/>
              </w:rPr>
            </w:pPr>
            <w:r w:rsidRPr="006F2FFB">
              <w:rPr>
                <w:sz w:val="22"/>
                <w:szCs w:val="22"/>
              </w:rPr>
              <w:t>disability</w:t>
            </w:r>
            <w:r w:rsidR="00F1261F" w:rsidRPr="006F2FFB">
              <w:rPr>
                <w:sz w:val="22"/>
                <w:szCs w:val="22"/>
              </w:rPr>
              <w:t xml:space="preserve"> 202</w:t>
            </w:r>
            <w:r w:rsidR="004D6023">
              <w:rPr>
                <w:sz w:val="22"/>
                <w:szCs w:val="22"/>
              </w:rPr>
              <w:t>1</w:t>
            </w:r>
          </w:p>
        </w:tc>
        <w:tc>
          <w:tcPr>
            <w:tcW w:w="1701" w:type="dxa"/>
          </w:tcPr>
          <w:p w14:paraId="00421F21" w14:textId="77777777" w:rsidR="00F516FE" w:rsidRPr="006F2FFB" w:rsidRDefault="00F1261F" w:rsidP="00812E67">
            <w:pPr>
              <w:pStyle w:val="TableHead"/>
              <w:rPr>
                <w:sz w:val="22"/>
                <w:szCs w:val="22"/>
              </w:rPr>
            </w:pPr>
            <w:r w:rsidRPr="006F2FFB">
              <w:rPr>
                <w:sz w:val="22"/>
                <w:szCs w:val="22"/>
              </w:rPr>
              <w:t xml:space="preserve">Total </w:t>
            </w:r>
          </w:p>
          <w:p w14:paraId="2FA79240" w14:textId="77777777" w:rsidR="00F516FE" w:rsidRPr="006F2FFB" w:rsidRDefault="00F1261F" w:rsidP="00812E67">
            <w:pPr>
              <w:pStyle w:val="TableHead"/>
              <w:rPr>
                <w:sz w:val="22"/>
                <w:szCs w:val="22"/>
              </w:rPr>
            </w:pPr>
            <w:r w:rsidRPr="006F2FFB">
              <w:rPr>
                <w:sz w:val="22"/>
                <w:szCs w:val="22"/>
              </w:rPr>
              <w:t xml:space="preserve">number </w:t>
            </w:r>
          </w:p>
          <w:p w14:paraId="242FB5C2" w14:textId="77777777" w:rsidR="00F516FE" w:rsidRPr="006F2FFB" w:rsidRDefault="00F1261F" w:rsidP="00812E67">
            <w:pPr>
              <w:pStyle w:val="TableHead"/>
              <w:rPr>
                <w:sz w:val="22"/>
                <w:szCs w:val="22"/>
              </w:rPr>
            </w:pPr>
            <w:r w:rsidRPr="006F2FFB">
              <w:rPr>
                <w:sz w:val="22"/>
                <w:szCs w:val="22"/>
              </w:rPr>
              <w:t xml:space="preserve">of </w:t>
            </w:r>
          </w:p>
          <w:p w14:paraId="1AE21686" w14:textId="0E72CAE6" w:rsidR="00107D01" w:rsidRPr="006F2FFB" w:rsidRDefault="00F1261F" w:rsidP="00812E67">
            <w:pPr>
              <w:pStyle w:val="TableHead"/>
              <w:rPr>
                <w:sz w:val="22"/>
                <w:szCs w:val="22"/>
              </w:rPr>
            </w:pPr>
            <w:r w:rsidRPr="006F2FFB">
              <w:rPr>
                <w:sz w:val="22"/>
                <w:szCs w:val="22"/>
              </w:rPr>
              <w:t>employees  202</w:t>
            </w:r>
            <w:r w:rsidR="004D6023">
              <w:rPr>
                <w:sz w:val="22"/>
                <w:szCs w:val="22"/>
              </w:rPr>
              <w:t>2</w:t>
            </w:r>
          </w:p>
        </w:tc>
        <w:tc>
          <w:tcPr>
            <w:tcW w:w="1559" w:type="dxa"/>
          </w:tcPr>
          <w:p w14:paraId="6E86D1FE" w14:textId="77777777" w:rsidR="00107D01" w:rsidRPr="006F2FFB" w:rsidRDefault="00107D01" w:rsidP="00812E67">
            <w:pPr>
              <w:pStyle w:val="TableHead"/>
              <w:rPr>
                <w:sz w:val="22"/>
                <w:szCs w:val="22"/>
              </w:rPr>
            </w:pPr>
            <w:r w:rsidRPr="006F2FFB">
              <w:rPr>
                <w:sz w:val="22"/>
                <w:szCs w:val="22"/>
              </w:rPr>
              <w:t xml:space="preserve">Number  of employees reporting disabilities </w:t>
            </w:r>
          </w:p>
          <w:p w14:paraId="4532E9C5" w14:textId="49E2017C" w:rsidR="00107D01" w:rsidRPr="006F2FFB" w:rsidRDefault="00F1261F" w:rsidP="00812E67">
            <w:pPr>
              <w:pStyle w:val="TableHead"/>
              <w:rPr>
                <w:sz w:val="22"/>
                <w:szCs w:val="22"/>
              </w:rPr>
            </w:pPr>
            <w:r w:rsidRPr="006F2FFB">
              <w:rPr>
                <w:sz w:val="22"/>
                <w:szCs w:val="22"/>
              </w:rPr>
              <w:t>202</w:t>
            </w:r>
            <w:r w:rsidR="004D6023">
              <w:rPr>
                <w:sz w:val="22"/>
                <w:szCs w:val="22"/>
              </w:rPr>
              <w:t>2</w:t>
            </w:r>
          </w:p>
        </w:tc>
        <w:tc>
          <w:tcPr>
            <w:tcW w:w="1701" w:type="dxa"/>
          </w:tcPr>
          <w:p w14:paraId="4D3F0501" w14:textId="04DC661C" w:rsidR="00107D01" w:rsidRPr="006F2FFB" w:rsidRDefault="00107D01" w:rsidP="00812E67">
            <w:pPr>
              <w:pStyle w:val="TableHead"/>
              <w:rPr>
                <w:sz w:val="22"/>
                <w:szCs w:val="22"/>
              </w:rPr>
            </w:pPr>
            <w:r w:rsidRPr="006F2FFB">
              <w:rPr>
                <w:sz w:val="22"/>
                <w:szCs w:val="22"/>
              </w:rPr>
              <w:t>% of employees reporting</w:t>
            </w:r>
            <w:r w:rsidR="004B379F" w:rsidRPr="006F2FFB">
              <w:rPr>
                <w:sz w:val="22"/>
                <w:szCs w:val="22"/>
              </w:rPr>
              <w:t xml:space="preserve"> a</w:t>
            </w:r>
          </w:p>
          <w:p w14:paraId="15607CE1" w14:textId="06D300D0" w:rsidR="004B379F" w:rsidRPr="006F2FFB" w:rsidRDefault="004B379F" w:rsidP="00812E67">
            <w:pPr>
              <w:pStyle w:val="TableHead"/>
              <w:rPr>
                <w:sz w:val="22"/>
                <w:szCs w:val="22"/>
              </w:rPr>
            </w:pPr>
            <w:r w:rsidRPr="006F2FFB">
              <w:rPr>
                <w:sz w:val="22"/>
                <w:szCs w:val="22"/>
              </w:rPr>
              <w:t>disability</w:t>
            </w:r>
          </w:p>
          <w:p w14:paraId="05AFDA6C" w14:textId="3EAA17C8" w:rsidR="00107D01" w:rsidRPr="006F2FFB" w:rsidRDefault="00F1261F" w:rsidP="00812E67">
            <w:pPr>
              <w:pStyle w:val="TableHead"/>
              <w:rPr>
                <w:sz w:val="24"/>
              </w:rPr>
            </w:pPr>
            <w:r w:rsidRPr="006F2FFB">
              <w:rPr>
                <w:sz w:val="22"/>
                <w:szCs w:val="22"/>
              </w:rPr>
              <w:t xml:space="preserve"> 202</w:t>
            </w:r>
            <w:r w:rsidR="004D6023">
              <w:rPr>
                <w:sz w:val="22"/>
                <w:szCs w:val="22"/>
              </w:rPr>
              <w:t>2</w:t>
            </w:r>
          </w:p>
        </w:tc>
      </w:tr>
      <w:tr w:rsidR="005057CB" w:rsidRPr="006F2FFB" w14:paraId="35B2CD4B" w14:textId="77777777" w:rsidTr="000B04F5">
        <w:trPr>
          <w:jc w:val="center"/>
        </w:trPr>
        <w:tc>
          <w:tcPr>
            <w:tcW w:w="1706" w:type="dxa"/>
          </w:tcPr>
          <w:p w14:paraId="5A33C3F4" w14:textId="000D2585" w:rsidR="005057CB" w:rsidRPr="006F2FFB" w:rsidRDefault="005057CB" w:rsidP="005057CB">
            <w:pPr>
              <w:rPr>
                <w:sz w:val="22"/>
                <w:szCs w:val="22"/>
              </w:rPr>
            </w:pPr>
            <w:r w:rsidRPr="006F2FFB">
              <w:rPr>
                <w:rFonts w:cs="Calibri"/>
                <w:color w:val="000000"/>
                <w:sz w:val="22"/>
                <w:szCs w:val="22"/>
              </w:rPr>
              <w:t>An Chomhairle um Oideachas Gaeltachta &amp; Gaelscolaíochta</w:t>
            </w:r>
          </w:p>
        </w:tc>
        <w:tc>
          <w:tcPr>
            <w:tcW w:w="1701" w:type="dxa"/>
          </w:tcPr>
          <w:p w14:paraId="0EF158C9" w14:textId="12D54808" w:rsidR="005057CB" w:rsidRPr="006F2FFB" w:rsidRDefault="005057CB" w:rsidP="005057CB">
            <w:pPr>
              <w:jc w:val="right"/>
              <w:rPr>
                <w:sz w:val="22"/>
                <w:szCs w:val="22"/>
              </w:rPr>
            </w:pPr>
            <w:r w:rsidRPr="006F2FFB">
              <w:rPr>
                <w:rFonts w:cs="Calibri"/>
                <w:color w:val="000000"/>
                <w:sz w:val="22"/>
                <w:szCs w:val="22"/>
              </w:rPr>
              <w:t>9</w:t>
            </w:r>
          </w:p>
        </w:tc>
        <w:tc>
          <w:tcPr>
            <w:tcW w:w="1418" w:type="dxa"/>
          </w:tcPr>
          <w:p w14:paraId="5BE7D522" w14:textId="78BB4252" w:rsidR="005057CB" w:rsidRPr="006F2FFB" w:rsidRDefault="005057CB" w:rsidP="005057CB">
            <w:pPr>
              <w:jc w:val="right"/>
              <w:rPr>
                <w:sz w:val="22"/>
                <w:szCs w:val="22"/>
              </w:rPr>
            </w:pPr>
            <w:r w:rsidRPr="006F2FFB">
              <w:rPr>
                <w:rFonts w:cs="Calibri"/>
                <w:color w:val="000000"/>
                <w:sz w:val="22"/>
                <w:szCs w:val="22"/>
              </w:rPr>
              <w:t>0</w:t>
            </w:r>
          </w:p>
        </w:tc>
        <w:tc>
          <w:tcPr>
            <w:tcW w:w="1559" w:type="dxa"/>
          </w:tcPr>
          <w:p w14:paraId="67E86971" w14:textId="7A97D46F" w:rsidR="005057CB" w:rsidRPr="006F2FFB" w:rsidRDefault="005057CB" w:rsidP="005057CB">
            <w:pPr>
              <w:jc w:val="right"/>
              <w:rPr>
                <w:sz w:val="22"/>
                <w:szCs w:val="22"/>
              </w:rPr>
            </w:pPr>
            <w:r w:rsidRPr="006F2FFB">
              <w:rPr>
                <w:rFonts w:cs="Calibri"/>
                <w:color w:val="000000"/>
                <w:sz w:val="22"/>
                <w:szCs w:val="22"/>
              </w:rPr>
              <w:t>0.0%</w:t>
            </w:r>
          </w:p>
        </w:tc>
        <w:tc>
          <w:tcPr>
            <w:tcW w:w="1701" w:type="dxa"/>
          </w:tcPr>
          <w:p w14:paraId="5A220A10" w14:textId="615812CB" w:rsidR="005057CB" w:rsidRPr="006F2FFB" w:rsidRDefault="005057CB" w:rsidP="005057CB">
            <w:pPr>
              <w:jc w:val="right"/>
              <w:rPr>
                <w:sz w:val="22"/>
                <w:szCs w:val="22"/>
              </w:rPr>
            </w:pPr>
            <w:r>
              <w:rPr>
                <w:rFonts w:cs="Calibri"/>
                <w:color w:val="000000"/>
                <w:sz w:val="22"/>
                <w:szCs w:val="22"/>
              </w:rPr>
              <w:t>9</w:t>
            </w:r>
          </w:p>
        </w:tc>
        <w:tc>
          <w:tcPr>
            <w:tcW w:w="1559" w:type="dxa"/>
          </w:tcPr>
          <w:p w14:paraId="66E8E4DF" w14:textId="0342EEEC" w:rsidR="005057CB" w:rsidRPr="006F2FFB" w:rsidRDefault="005057CB" w:rsidP="005057CB">
            <w:pPr>
              <w:jc w:val="right"/>
              <w:rPr>
                <w:sz w:val="22"/>
                <w:szCs w:val="22"/>
              </w:rPr>
            </w:pPr>
            <w:r>
              <w:rPr>
                <w:rFonts w:cs="Calibri"/>
                <w:color w:val="000000"/>
                <w:sz w:val="22"/>
                <w:szCs w:val="22"/>
              </w:rPr>
              <w:t>0</w:t>
            </w:r>
          </w:p>
        </w:tc>
        <w:tc>
          <w:tcPr>
            <w:tcW w:w="1701" w:type="dxa"/>
          </w:tcPr>
          <w:p w14:paraId="0FA12FC8" w14:textId="6B7B2FA4" w:rsidR="005057CB" w:rsidRPr="006F2FFB" w:rsidRDefault="005057CB" w:rsidP="005057CB">
            <w:pPr>
              <w:jc w:val="right"/>
              <w:rPr>
                <w:sz w:val="22"/>
                <w:szCs w:val="22"/>
              </w:rPr>
            </w:pPr>
            <w:r>
              <w:rPr>
                <w:rFonts w:cs="Calibri"/>
                <w:color w:val="000000"/>
                <w:sz w:val="22"/>
                <w:szCs w:val="22"/>
              </w:rPr>
              <w:t>0.0%</w:t>
            </w:r>
          </w:p>
        </w:tc>
      </w:tr>
      <w:tr w:rsidR="005057CB" w:rsidRPr="006F2FFB" w14:paraId="7EEDD7E7" w14:textId="77777777" w:rsidTr="000B04F5">
        <w:trPr>
          <w:jc w:val="center"/>
        </w:trPr>
        <w:tc>
          <w:tcPr>
            <w:tcW w:w="1706" w:type="dxa"/>
          </w:tcPr>
          <w:p w14:paraId="4FA30E46" w14:textId="13650C5A" w:rsidR="005057CB" w:rsidRPr="006F2FFB" w:rsidRDefault="005057CB" w:rsidP="005057CB">
            <w:pPr>
              <w:rPr>
                <w:sz w:val="22"/>
                <w:szCs w:val="22"/>
              </w:rPr>
            </w:pPr>
            <w:r w:rsidRPr="006F2FFB">
              <w:rPr>
                <w:rFonts w:cs="Calibri"/>
                <w:color w:val="000000"/>
                <w:sz w:val="22"/>
                <w:szCs w:val="22"/>
              </w:rPr>
              <w:t>An Coimisinéir Teanga</w:t>
            </w:r>
          </w:p>
        </w:tc>
        <w:tc>
          <w:tcPr>
            <w:tcW w:w="1701" w:type="dxa"/>
          </w:tcPr>
          <w:p w14:paraId="3D6776DC" w14:textId="5F56FE9D" w:rsidR="005057CB" w:rsidRPr="006F2FFB" w:rsidRDefault="005057CB" w:rsidP="005057CB">
            <w:pPr>
              <w:jc w:val="right"/>
              <w:rPr>
                <w:sz w:val="22"/>
                <w:szCs w:val="22"/>
              </w:rPr>
            </w:pPr>
            <w:r w:rsidRPr="006F2FFB">
              <w:rPr>
                <w:rFonts w:cs="Calibri"/>
                <w:color w:val="000000"/>
                <w:sz w:val="22"/>
                <w:szCs w:val="22"/>
              </w:rPr>
              <w:t>8</w:t>
            </w:r>
          </w:p>
        </w:tc>
        <w:tc>
          <w:tcPr>
            <w:tcW w:w="1418" w:type="dxa"/>
          </w:tcPr>
          <w:p w14:paraId="4547B12F" w14:textId="7727B223" w:rsidR="005057CB" w:rsidRPr="006F2FFB" w:rsidRDefault="005057CB" w:rsidP="005057CB">
            <w:pPr>
              <w:jc w:val="right"/>
              <w:rPr>
                <w:sz w:val="22"/>
                <w:szCs w:val="22"/>
              </w:rPr>
            </w:pPr>
            <w:r w:rsidRPr="006F2FFB">
              <w:rPr>
                <w:rFonts w:cs="Calibri"/>
                <w:color w:val="000000"/>
                <w:sz w:val="22"/>
                <w:szCs w:val="22"/>
              </w:rPr>
              <w:t>0</w:t>
            </w:r>
          </w:p>
        </w:tc>
        <w:tc>
          <w:tcPr>
            <w:tcW w:w="1559" w:type="dxa"/>
          </w:tcPr>
          <w:p w14:paraId="6A653B0D" w14:textId="4CA85E70" w:rsidR="005057CB" w:rsidRPr="006F2FFB" w:rsidRDefault="005057CB" w:rsidP="005057CB">
            <w:pPr>
              <w:jc w:val="right"/>
              <w:rPr>
                <w:sz w:val="22"/>
                <w:szCs w:val="22"/>
              </w:rPr>
            </w:pPr>
            <w:r w:rsidRPr="006F2FFB">
              <w:rPr>
                <w:rFonts w:cs="Calibri"/>
                <w:color w:val="000000"/>
                <w:sz w:val="22"/>
                <w:szCs w:val="22"/>
              </w:rPr>
              <w:t>0.0%</w:t>
            </w:r>
          </w:p>
        </w:tc>
        <w:tc>
          <w:tcPr>
            <w:tcW w:w="1701" w:type="dxa"/>
          </w:tcPr>
          <w:p w14:paraId="48975FE7" w14:textId="0AD5E65E" w:rsidR="005057CB" w:rsidRPr="006F2FFB" w:rsidRDefault="005057CB" w:rsidP="005057CB">
            <w:pPr>
              <w:jc w:val="right"/>
              <w:rPr>
                <w:sz w:val="22"/>
                <w:szCs w:val="22"/>
              </w:rPr>
            </w:pPr>
            <w:r>
              <w:rPr>
                <w:rFonts w:cs="Calibri"/>
                <w:color w:val="000000"/>
                <w:sz w:val="22"/>
                <w:szCs w:val="22"/>
              </w:rPr>
              <w:t>11</w:t>
            </w:r>
          </w:p>
        </w:tc>
        <w:tc>
          <w:tcPr>
            <w:tcW w:w="1559" w:type="dxa"/>
          </w:tcPr>
          <w:p w14:paraId="7246F642" w14:textId="39D47BAC" w:rsidR="005057CB" w:rsidRPr="006F2FFB" w:rsidRDefault="005057CB" w:rsidP="005057CB">
            <w:pPr>
              <w:jc w:val="right"/>
              <w:rPr>
                <w:sz w:val="22"/>
                <w:szCs w:val="22"/>
              </w:rPr>
            </w:pPr>
            <w:r>
              <w:rPr>
                <w:rFonts w:cs="Calibri"/>
                <w:color w:val="000000"/>
                <w:sz w:val="22"/>
                <w:szCs w:val="22"/>
              </w:rPr>
              <w:t>0</w:t>
            </w:r>
          </w:p>
        </w:tc>
        <w:tc>
          <w:tcPr>
            <w:tcW w:w="1701" w:type="dxa"/>
          </w:tcPr>
          <w:p w14:paraId="27623DE9" w14:textId="6FDFA1AF" w:rsidR="005057CB" w:rsidRPr="006F2FFB" w:rsidRDefault="005057CB" w:rsidP="005057CB">
            <w:pPr>
              <w:jc w:val="right"/>
              <w:rPr>
                <w:sz w:val="22"/>
                <w:szCs w:val="22"/>
              </w:rPr>
            </w:pPr>
            <w:r>
              <w:rPr>
                <w:rFonts w:cs="Calibri"/>
                <w:color w:val="000000"/>
                <w:sz w:val="22"/>
                <w:szCs w:val="22"/>
              </w:rPr>
              <w:t>0.0%</w:t>
            </w:r>
          </w:p>
        </w:tc>
      </w:tr>
      <w:tr w:rsidR="005057CB" w:rsidRPr="006F2FFB" w14:paraId="1A3E97CD" w14:textId="77777777" w:rsidTr="000B04F5">
        <w:trPr>
          <w:jc w:val="center"/>
        </w:trPr>
        <w:tc>
          <w:tcPr>
            <w:tcW w:w="1706" w:type="dxa"/>
          </w:tcPr>
          <w:p w14:paraId="41CFC7E8" w14:textId="2697928B" w:rsidR="005057CB" w:rsidRPr="006F2FFB" w:rsidRDefault="005057CB" w:rsidP="005057CB">
            <w:pPr>
              <w:rPr>
                <w:sz w:val="22"/>
                <w:szCs w:val="22"/>
              </w:rPr>
            </w:pPr>
            <w:r w:rsidRPr="006F2FFB">
              <w:rPr>
                <w:rFonts w:cs="Calibri"/>
                <w:color w:val="000000"/>
                <w:sz w:val="22"/>
                <w:szCs w:val="22"/>
              </w:rPr>
              <w:t>Central Statistics Office</w:t>
            </w:r>
          </w:p>
        </w:tc>
        <w:tc>
          <w:tcPr>
            <w:tcW w:w="1701" w:type="dxa"/>
          </w:tcPr>
          <w:p w14:paraId="5B34E227" w14:textId="78C56904" w:rsidR="005057CB" w:rsidRPr="006F2FFB" w:rsidRDefault="005057CB" w:rsidP="005057CB">
            <w:pPr>
              <w:jc w:val="right"/>
              <w:rPr>
                <w:sz w:val="22"/>
                <w:szCs w:val="22"/>
              </w:rPr>
            </w:pPr>
            <w:r w:rsidRPr="006F2FFB">
              <w:rPr>
                <w:rFonts w:cs="Calibri"/>
                <w:color w:val="000000"/>
                <w:sz w:val="22"/>
                <w:szCs w:val="22"/>
              </w:rPr>
              <w:t>971</w:t>
            </w:r>
          </w:p>
        </w:tc>
        <w:tc>
          <w:tcPr>
            <w:tcW w:w="1418" w:type="dxa"/>
          </w:tcPr>
          <w:p w14:paraId="16D4C7F7" w14:textId="5B7C4E59" w:rsidR="005057CB" w:rsidRPr="006F2FFB" w:rsidRDefault="005057CB" w:rsidP="005057CB">
            <w:pPr>
              <w:jc w:val="right"/>
              <w:rPr>
                <w:sz w:val="22"/>
                <w:szCs w:val="22"/>
              </w:rPr>
            </w:pPr>
            <w:r w:rsidRPr="006F2FFB">
              <w:rPr>
                <w:rFonts w:cs="Calibri"/>
                <w:color w:val="000000"/>
                <w:sz w:val="22"/>
                <w:szCs w:val="22"/>
              </w:rPr>
              <w:t>54</w:t>
            </w:r>
          </w:p>
        </w:tc>
        <w:tc>
          <w:tcPr>
            <w:tcW w:w="1559" w:type="dxa"/>
          </w:tcPr>
          <w:p w14:paraId="7C080161" w14:textId="23956FC5" w:rsidR="005057CB" w:rsidRPr="006F2FFB" w:rsidRDefault="005057CB" w:rsidP="005057CB">
            <w:pPr>
              <w:jc w:val="right"/>
              <w:rPr>
                <w:sz w:val="22"/>
                <w:szCs w:val="22"/>
              </w:rPr>
            </w:pPr>
            <w:r w:rsidRPr="006F2FFB">
              <w:rPr>
                <w:rFonts w:cs="Calibri"/>
                <w:color w:val="000000"/>
                <w:sz w:val="22"/>
                <w:szCs w:val="22"/>
              </w:rPr>
              <w:t>5.6%</w:t>
            </w:r>
          </w:p>
        </w:tc>
        <w:tc>
          <w:tcPr>
            <w:tcW w:w="1701" w:type="dxa"/>
          </w:tcPr>
          <w:p w14:paraId="5A29DE59" w14:textId="4AF357D9" w:rsidR="005057CB" w:rsidRPr="006F2FFB" w:rsidRDefault="005057CB" w:rsidP="005057CB">
            <w:pPr>
              <w:jc w:val="right"/>
              <w:rPr>
                <w:sz w:val="22"/>
                <w:szCs w:val="22"/>
              </w:rPr>
            </w:pPr>
            <w:r>
              <w:rPr>
                <w:rFonts w:cs="Calibri"/>
                <w:color w:val="000000"/>
                <w:sz w:val="22"/>
                <w:szCs w:val="22"/>
              </w:rPr>
              <w:t>1104</w:t>
            </w:r>
          </w:p>
        </w:tc>
        <w:tc>
          <w:tcPr>
            <w:tcW w:w="1559" w:type="dxa"/>
          </w:tcPr>
          <w:p w14:paraId="1343DCC5" w14:textId="27994836" w:rsidR="005057CB" w:rsidRPr="006F2FFB" w:rsidRDefault="005057CB" w:rsidP="005057CB">
            <w:pPr>
              <w:jc w:val="right"/>
              <w:rPr>
                <w:sz w:val="22"/>
                <w:szCs w:val="22"/>
              </w:rPr>
            </w:pPr>
            <w:r>
              <w:rPr>
                <w:rFonts w:cs="Calibri"/>
                <w:color w:val="000000"/>
                <w:sz w:val="22"/>
                <w:szCs w:val="22"/>
              </w:rPr>
              <w:t>103</w:t>
            </w:r>
          </w:p>
        </w:tc>
        <w:tc>
          <w:tcPr>
            <w:tcW w:w="1701" w:type="dxa"/>
          </w:tcPr>
          <w:p w14:paraId="2D791C47" w14:textId="714AA132" w:rsidR="005057CB" w:rsidRPr="006F2FFB" w:rsidRDefault="005057CB" w:rsidP="005057CB">
            <w:pPr>
              <w:jc w:val="right"/>
              <w:rPr>
                <w:sz w:val="22"/>
                <w:szCs w:val="22"/>
              </w:rPr>
            </w:pPr>
            <w:r>
              <w:rPr>
                <w:rFonts w:cs="Calibri"/>
                <w:color w:val="000000"/>
                <w:sz w:val="22"/>
                <w:szCs w:val="22"/>
              </w:rPr>
              <w:t>9.3%</w:t>
            </w:r>
          </w:p>
        </w:tc>
      </w:tr>
      <w:tr w:rsidR="005057CB" w:rsidRPr="006F2FFB" w14:paraId="16B1BDE9" w14:textId="77777777" w:rsidTr="000B04F5">
        <w:trPr>
          <w:jc w:val="center"/>
        </w:trPr>
        <w:tc>
          <w:tcPr>
            <w:tcW w:w="1706" w:type="dxa"/>
          </w:tcPr>
          <w:p w14:paraId="765AC1AF" w14:textId="1FDDA852" w:rsidR="005057CB" w:rsidRPr="006F2FFB" w:rsidRDefault="005057CB" w:rsidP="005057CB">
            <w:pPr>
              <w:rPr>
                <w:sz w:val="22"/>
                <w:szCs w:val="22"/>
              </w:rPr>
            </w:pPr>
            <w:r w:rsidRPr="006F2FFB">
              <w:rPr>
                <w:rFonts w:cs="Calibri"/>
                <w:color w:val="000000"/>
                <w:sz w:val="22"/>
                <w:szCs w:val="22"/>
              </w:rPr>
              <w:t>Charities Regulatory Authority</w:t>
            </w:r>
          </w:p>
        </w:tc>
        <w:tc>
          <w:tcPr>
            <w:tcW w:w="1701" w:type="dxa"/>
          </w:tcPr>
          <w:p w14:paraId="12C53C41" w14:textId="54A356D4" w:rsidR="005057CB" w:rsidRPr="006F2FFB" w:rsidRDefault="005057CB" w:rsidP="005057CB">
            <w:pPr>
              <w:jc w:val="right"/>
              <w:rPr>
                <w:sz w:val="22"/>
                <w:szCs w:val="22"/>
              </w:rPr>
            </w:pPr>
            <w:r w:rsidRPr="006F2FFB">
              <w:rPr>
                <w:rFonts w:cs="Calibri"/>
                <w:color w:val="000000"/>
                <w:sz w:val="22"/>
                <w:szCs w:val="22"/>
              </w:rPr>
              <w:t>41</w:t>
            </w:r>
          </w:p>
        </w:tc>
        <w:tc>
          <w:tcPr>
            <w:tcW w:w="1418" w:type="dxa"/>
          </w:tcPr>
          <w:p w14:paraId="33A54FD2" w14:textId="4EC46D08" w:rsidR="005057CB" w:rsidRPr="006F2FFB" w:rsidRDefault="005057CB" w:rsidP="005057CB">
            <w:pPr>
              <w:jc w:val="right"/>
              <w:rPr>
                <w:sz w:val="22"/>
                <w:szCs w:val="22"/>
              </w:rPr>
            </w:pPr>
            <w:r w:rsidRPr="006F2FFB">
              <w:rPr>
                <w:rFonts w:cs="Calibri"/>
                <w:color w:val="000000"/>
                <w:sz w:val="22"/>
                <w:szCs w:val="22"/>
              </w:rPr>
              <w:t>1</w:t>
            </w:r>
          </w:p>
        </w:tc>
        <w:tc>
          <w:tcPr>
            <w:tcW w:w="1559" w:type="dxa"/>
          </w:tcPr>
          <w:p w14:paraId="67F40CB2" w14:textId="35ACF753" w:rsidR="005057CB" w:rsidRPr="006F2FFB" w:rsidRDefault="005057CB" w:rsidP="005057CB">
            <w:pPr>
              <w:jc w:val="right"/>
              <w:rPr>
                <w:sz w:val="22"/>
                <w:szCs w:val="22"/>
              </w:rPr>
            </w:pPr>
            <w:r w:rsidRPr="006F2FFB">
              <w:rPr>
                <w:rFonts w:cs="Calibri"/>
                <w:color w:val="000000"/>
                <w:sz w:val="22"/>
                <w:szCs w:val="22"/>
              </w:rPr>
              <w:t>2.4%</w:t>
            </w:r>
          </w:p>
        </w:tc>
        <w:tc>
          <w:tcPr>
            <w:tcW w:w="1701" w:type="dxa"/>
          </w:tcPr>
          <w:p w14:paraId="1897E79A" w14:textId="1E982D66" w:rsidR="005057CB" w:rsidRPr="006F2FFB" w:rsidRDefault="00FB4E3E" w:rsidP="005057CB">
            <w:pPr>
              <w:jc w:val="right"/>
              <w:rPr>
                <w:sz w:val="22"/>
                <w:szCs w:val="22"/>
              </w:rPr>
            </w:pPr>
            <w:r>
              <w:rPr>
                <w:rFonts w:cs="Calibri"/>
                <w:color w:val="000000"/>
                <w:sz w:val="22"/>
                <w:szCs w:val="22"/>
              </w:rPr>
              <w:t>-</w:t>
            </w:r>
            <w:r w:rsidR="005057CB">
              <w:rPr>
                <w:rFonts w:cs="Calibri"/>
                <w:color w:val="000000"/>
                <w:sz w:val="22"/>
                <w:szCs w:val="22"/>
              </w:rPr>
              <w:t> </w:t>
            </w:r>
          </w:p>
        </w:tc>
        <w:tc>
          <w:tcPr>
            <w:tcW w:w="1559" w:type="dxa"/>
          </w:tcPr>
          <w:p w14:paraId="169CB7BE" w14:textId="4F127646" w:rsidR="005057CB" w:rsidRPr="006F2FFB" w:rsidRDefault="00FB4E3E" w:rsidP="005057CB">
            <w:pPr>
              <w:jc w:val="right"/>
              <w:rPr>
                <w:sz w:val="22"/>
                <w:szCs w:val="22"/>
              </w:rPr>
            </w:pPr>
            <w:r>
              <w:rPr>
                <w:rFonts w:cs="Calibri"/>
                <w:color w:val="000000"/>
                <w:sz w:val="22"/>
                <w:szCs w:val="22"/>
              </w:rPr>
              <w:t>-</w:t>
            </w:r>
            <w:r w:rsidR="005057CB">
              <w:rPr>
                <w:rFonts w:cs="Calibri"/>
                <w:color w:val="000000"/>
                <w:sz w:val="22"/>
                <w:szCs w:val="22"/>
              </w:rPr>
              <w:t> </w:t>
            </w:r>
          </w:p>
        </w:tc>
        <w:tc>
          <w:tcPr>
            <w:tcW w:w="1701" w:type="dxa"/>
          </w:tcPr>
          <w:p w14:paraId="1541C1BA" w14:textId="12503B91" w:rsidR="005057CB" w:rsidRPr="006F2FFB" w:rsidRDefault="00FB4E3E" w:rsidP="005057CB">
            <w:pPr>
              <w:jc w:val="right"/>
              <w:rPr>
                <w:sz w:val="22"/>
                <w:szCs w:val="22"/>
              </w:rPr>
            </w:pPr>
            <w:r>
              <w:rPr>
                <w:rFonts w:cs="Calibri"/>
                <w:color w:val="000000"/>
                <w:sz w:val="22"/>
                <w:szCs w:val="22"/>
              </w:rPr>
              <w:t>-</w:t>
            </w:r>
            <w:r w:rsidR="005057CB">
              <w:rPr>
                <w:rFonts w:cs="Calibri"/>
                <w:color w:val="000000"/>
                <w:sz w:val="22"/>
                <w:szCs w:val="22"/>
              </w:rPr>
              <w:t> </w:t>
            </w:r>
          </w:p>
        </w:tc>
      </w:tr>
      <w:tr w:rsidR="005057CB" w:rsidRPr="006F2FFB" w14:paraId="3C537720" w14:textId="77777777" w:rsidTr="000B04F5">
        <w:trPr>
          <w:jc w:val="center"/>
        </w:trPr>
        <w:tc>
          <w:tcPr>
            <w:tcW w:w="1706" w:type="dxa"/>
          </w:tcPr>
          <w:p w14:paraId="6EE1F876" w14:textId="158F208B" w:rsidR="005057CB" w:rsidRPr="006F2FFB" w:rsidRDefault="005057CB" w:rsidP="005057CB">
            <w:pPr>
              <w:rPr>
                <w:sz w:val="22"/>
                <w:szCs w:val="22"/>
              </w:rPr>
            </w:pPr>
            <w:r w:rsidRPr="006F2FFB">
              <w:rPr>
                <w:rFonts w:cs="Calibri"/>
                <w:color w:val="000000"/>
                <w:sz w:val="22"/>
                <w:szCs w:val="22"/>
              </w:rPr>
              <w:t>Chief State Solicitor's Office</w:t>
            </w:r>
          </w:p>
        </w:tc>
        <w:tc>
          <w:tcPr>
            <w:tcW w:w="1701" w:type="dxa"/>
          </w:tcPr>
          <w:p w14:paraId="6E05C113" w14:textId="54CBB129" w:rsidR="005057CB" w:rsidRPr="006F2FFB" w:rsidRDefault="005057CB" w:rsidP="005057CB">
            <w:pPr>
              <w:jc w:val="right"/>
              <w:rPr>
                <w:sz w:val="22"/>
                <w:szCs w:val="22"/>
              </w:rPr>
            </w:pPr>
            <w:r w:rsidRPr="006F2FFB">
              <w:rPr>
                <w:rFonts w:cs="Calibri"/>
                <w:color w:val="000000"/>
                <w:sz w:val="22"/>
                <w:szCs w:val="22"/>
              </w:rPr>
              <w:t>316</w:t>
            </w:r>
          </w:p>
        </w:tc>
        <w:tc>
          <w:tcPr>
            <w:tcW w:w="1418" w:type="dxa"/>
          </w:tcPr>
          <w:p w14:paraId="6DCCD9A1" w14:textId="47725C10" w:rsidR="005057CB" w:rsidRPr="006F2FFB" w:rsidRDefault="005057CB" w:rsidP="005057CB">
            <w:pPr>
              <w:jc w:val="right"/>
              <w:rPr>
                <w:sz w:val="22"/>
                <w:szCs w:val="22"/>
              </w:rPr>
            </w:pPr>
            <w:r w:rsidRPr="006F2FFB">
              <w:rPr>
                <w:rFonts w:cs="Calibri"/>
                <w:color w:val="000000"/>
                <w:sz w:val="22"/>
                <w:szCs w:val="22"/>
              </w:rPr>
              <w:t>19</w:t>
            </w:r>
          </w:p>
        </w:tc>
        <w:tc>
          <w:tcPr>
            <w:tcW w:w="1559" w:type="dxa"/>
          </w:tcPr>
          <w:p w14:paraId="66C5ECB2" w14:textId="5F1BC7B1" w:rsidR="005057CB" w:rsidRPr="006F2FFB" w:rsidRDefault="005057CB" w:rsidP="005057CB">
            <w:pPr>
              <w:jc w:val="right"/>
              <w:rPr>
                <w:sz w:val="22"/>
                <w:szCs w:val="22"/>
              </w:rPr>
            </w:pPr>
            <w:r w:rsidRPr="006F2FFB">
              <w:rPr>
                <w:rFonts w:cs="Calibri"/>
                <w:color w:val="000000"/>
                <w:sz w:val="22"/>
                <w:szCs w:val="22"/>
              </w:rPr>
              <w:t>6.0%</w:t>
            </w:r>
          </w:p>
        </w:tc>
        <w:tc>
          <w:tcPr>
            <w:tcW w:w="1701" w:type="dxa"/>
          </w:tcPr>
          <w:p w14:paraId="52166891" w14:textId="21C8B72C" w:rsidR="005057CB" w:rsidRPr="006F2FFB" w:rsidRDefault="005057CB" w:rsidP="005057CB">
            <w:pPr>
              <w:jc w:val="right"/>
              <w:rPr>
                <w:sz w:val="22"/>
                <w:szCs w:val="22"/>
              </w:rPr>
            </w:pPr>
            <w:r>
              <w:rPr>
                <w:rFonts w:cs="Calibri"/>
                <w:color w:val="000000"/>
                <w:sz w:val="22"/>
                <w:szCs w:val="22"/>
              </w:rPr>
              <w:t>323</w:t>
            </w:r>
          </w:p>
        </w:tc>
        <w:tc>
          <w:tcPr>
            <w:tcW w:w="1559" w:type="dxa"/>
          </w:tcPr>
          <w:p w14:paraId="40B65ED6" w14:textId="020248BB" w:rsidR="005057CB" w:rsidRPr="006F2FFB" w:rsidRDefault="005057CB" w:rsidP="005057CB">
            <w:pPr>
              <w:jc w:val="right"/>
              <w:rPr>
                <w:sz w:val="22"/>
                <w:szCs w:val="22"/>
              </w:rPr>
            </w:pPr>
            <w:r>
              <w:rPr>
                <w:rFonts w:cs="Calibri"/>
                <w:color w:val="000000"/>
                <w:sz w:val="22"/>
                <w:szCs w:val="22"/>
              </w:rPr>
              <w:t>23</w:t>
            </w:r>
          </w:p>
        </w:tc>
        <w:tc>
          <w:tcPr>
            <w:tcW w:w="1701" w:type="dxa"/>
          </w:tcPr>
          <w:p w14:paraId="2F61219E" w14:textId="24B3B98E" w:rsidR="005057CB" w:rsidRPr="006F2FFB" w:rsidRDefault="005057CB" w:rsidP="005057CB">
            <w:pPr>
              <w:jc w:val="right"/>
              <w:rPr>
                <w:sz w:val="22"/>
                <w:szCs w:val="22"/>
              </w:rPr>
            </w:pPr>
            <w:r>
              <w:rPr>
                <w:rFonts w:cs="Calibri"/>
                <w:color w:val="000000"/>
                <w:sz w:val="22"/>
                <w:szCs w:val="22"/>
              </w:rPr>
              <w:t>7.1%</w:t>
            </w:r>
          </w:p>
        </w:tc>
      </w:tr>
      <w:tr w:rsidR="00197C3B" w:rsidRPr="006F2FFB" w14:paraId="66035E00" w14:textId="77777777" w:rsidTr="000B04F5">
        <w:trPr>
          <w:jc w:val="center"/>
        </w:trPr>
        <w:tc>
          <w:tcPr>
            <w:tcW w:w="1706" w:type="dxa"/>
          </w:tcPr>
          <w:p w14:paraId="1A006FD3" w14:textId="550D1A99" w:rsidR="00197C3B" w:rsidRPr="006F2FFB" w:rsidRDefault="00197C3B" w:rsidP="00197C3B">
            <w:pPr>
              <w:rPr>
                <w:sz w:val="22"/>
                <w:szCs w:val="22"/>
              </w:rPr>
            </w:pPr>
            <w:r>
              <w:rPr>
                <w:sz w:val="22"/>
                <w:szCs w:val="22"/>
              </w:rPr>
              <w:t>Corporate Enforcement Authority (</w:t>
            </w:r>
            <w:r w:rsidRPr="00197C3B">
              <w:rPr>
                <w:b/>
                <w:bCs/>
                <w:sz w:val="22"/>
                <w:szCs w:val="22"/>
              </w:rPr>
              <w:t>This is a new public body that was created in 2022.  It did not make a Part 5 return in 2021)</w:t>
            </w:r>
          </w:p>
        </w:tc>
        <w:tc>
          <w:tcPr>
            <w:tcW w:w="1701" w:type="dxa"/>
          </w:tcPr>
          <w:p w14:paraId="1DCEB757" w14:textId="3CA4CC13" w:rsidR="00197C3B" w:rsidRPr="006F2FFB" w:rsidRDefault="00197C3B" w:rsidP="00197C3B">
            <w:pPr>
              <w:jc w:val="right"/>
              <w:rPr>
                <w:sz w:val="22"/>
                <w:szCs w:val="22"/>
              </w:rPr>
            </w:pPr>
            <w:r>
              <w:rPr>
                <w:sz w:val="22"/>
                <w:szCs w:val="22"/>
              </w:rPr>
              <w:t>-</w:t>
            </w:r>
          </w:p>
        </w:tc>
        <w:tc>
          <w:tcPr>
            <w:tcW w:w="1418" w:type="dxa"/>
          </w:tcPr>
          <w:p w14:paraId="1E5C353C" w14:textId="1935C946" w:rsidR="00197C3B" w:rsidRPr="006F2FFB" w:rsidRDefault="00197C3B" w:rsidP="00197C3B">
            <w:pPr>
              <w:jc w:val="right"/>
              <w:rPr>
                <w:sz w:val="22"/>
                <w:szCs w:val="22"/>
              </w:rPr>
            </w:pPr>
            <w:r>
              <w:rPr>
                <w:sz w:val="22"/>
                <w:szCs w:val="22"/>
              </w:rPr>
              <w:t>-</w:t>
            </w:r>
          </w:p>
        </w:tc>
        <w:tc>
          <w:tcPr>
            <w:tcW w:w="1559" w:type="dxa"/>
          </w:tcPr>
          <w:p w14:paraId="52731437" w14:textId="3F774A23" w:rsidR="00197C3B" w:rsidRPr="006F2FFB" w:rsidRDefault="00197C3B" w:rsidP="00197C3B">
            <w:pPr>
              <w:jc w:val="right"/>
              <w:rPr>
                <w:sz w:val="22"/>
                <w:szCs w:val="22"/>
              </w:rPr>
            </w:pPr>
            <w:r>
              <w:rPr>
                <w:sz w:val="22"/>
                <w:szCs w:val="22"/>
              </w:rPr>
              <w:t>-</w:t>
            </w:r>
          </w:p>
        </w:tc>
        <w:tc>
          <w:tcPr>
            <w:tcW w:w="1701" w:type="dxa"/>
          </w:tcPr>
          <w:p w14:paraId="23DB5E85" w14:textId="0872373C" w:rsidR="00197C3B" w:rsidRPr="006F2FFB" w:rsidRDefault="00197C3B" w:rsidP="00197C3B">
            <w:pPr>
              <w:jc w:val="right"/>
              <w:rPr>
                <w:sz w:val="22"/>
                <w:szCs w:val="22"/>
              </w:rPr>
            </w:pPr>
            <w:r>
              <w:rPr>
                <w:sz w:val="22"/>
                <w:szCs w:val="22"/>
              </w:rPr>
              <w:t>39</w:t>
            </w:r>
          </w:p>
        </w:tc>
        <w:tc>
          <w:tcPr>
            <w:tcW w:w="1559" w:type="dxa"/>
          </w:tcPr>
          <w:p w14:paraId="31C5D44E" w14:textId="2245CEB2" w:rsidR="00197C3B" w:rsidRPr="006F2FFB" w:rsidRDefault="00197C3B" w:rsidP="00197C3B">
            <w:pPr>
              <w:jc w:val="right"/>
              <w:rPr>
                <w:sz w:val="22"/>
                <w:szCs w:val="22"/>
              </w:rPr>
            </w:pPr>
            <w:r>
              <w:rPr>
                <w:sz w:val="22"/>
                <w:szCs w:val="22"/>
              </w:rPr>
              <w:t>2</w:t>
            </w:r>
          </w:p>
        </w:tc>
        <w:tc>
          <w:tcPr>
            <w:tcW w:w="1701" w:type="dxa"/>
          </w:tcPr>
          <w:p w14:paraId="0D6E92D3" w14:textId="71CD5AFD" w:rsidR="00197C3B" w:rsidRPr="006F2FFB" w:rsidRDefault="00197C3B" w:rsidP="00197C3B">
            <w:pPr>
              <w:jc w:val="right"/>
              <w:rPr>
                <w:sz w:val="22"/>
                <w:szCs w:val="22"/>
              </w:rPr>
            </w:pPr>
            <w:r>
              <w:rPr>
                <w:sz w:val="22"/>
                <w:szCs w:val="22"/>
              </w:rPr>
              <w:t>5.1%</w:t>
            </w:r>
          </w:p>
        </w:tc>
      </w:tr>
      <w:tr w:rsidR="00A4290E" w:rsidRPr="006F2FFB" w14:paraId="1EAA8725" w14:textId="77777777" w:rsidTr="000B04F5">
        <w:trPr>
          <w:jc w:val="center"/>
        </w:trPr>
        <w:tc>
          <w:tcPr>
            <w:tcW w:w="1706" w:type="dxa"/>
            <w:vAlign w:val="bottom"/>
          </w:tcPr>
          <w:p w14:paraId="452BFF1B" w14:textId="1D870ADA" w:rsidR="00A4290E" w:rsidRPr="006F2FFB" w:rsidRDefault="00A4290E" w:rsidP="00A4290E">
            <w:pPr>
              <w:spacing w:after="0"/>
              <w:rPr>
                <w:rFonts w:cs="Calibri"/>
                <w:color w:val="000000"/>
                <w:sz w:val="22"/>
                <w:szCs w:val="22"/>
              </w:rPr>
            </w:pPr>
            <w:bookmarkStart w:id="78" w:name="_Hlk145921203"/>
            <w:r w:rsidRPr="006F2FFB">
              <w:rPr>
                <w:rFonts w:cs="Calibri"/>
                <w:color w:val="000000"/>
                <w:sz w:val="22"/>
                <w:szCs w:val="22"/>
              </w:rPr>
              <w:t>Courts Service of Ireland</w:t>
            </w:r>
          </w:p>
        </w:tc>
        <w:tc>
          <w:tcPr>
            <w:tcW w:w="1701" w:type="dxa"/>
          </w:tcPr>
          <w:p w14:paraId="43E67C22" w14:textId="78B175EF" w:rsidR="00A4290E" w:rsidRPr="00A4290E" w:rsidRDefault="00A4290E" w:rsidP="00A4290E">
            <w:pPr>
              <w:jc w:val="right"/>
              <w:rPr>
                <w:rFonts w:cs="Calibri"/>
                <w:color w:val="000000"/>
                <w:sz w:val="22"/>
                <w:szCs w:val="22"/>
              </w:rPr>
            </w:pPr>
            <w:r w:rsidRPr="00A4290E">
              <w:rPr>
                <w:rFonts w:cs="Calibri"/>
                <w:color w:val="000000"/>
                <w:sz w:val="22"/>
                <w:szCs w:val="22"/>
              </w:rPr>
              <w:t>1,153</w:t>
            </w:r>
          </w:p>
        </w:tc>
        <w:tc>
          <w:tcPr>
            <w:tcW w:w="1418" w:type="dxa"/>
          </w:tcPr>
          <w:p w14:paraId="7C350F92" w14:textId="4B06521A" w:rsidR="00A4290E" w:rsidRPr="00A4290E" w:rsidRDefault="00A4290E" w:rsidP="00A4290E">
            <w:pPr>
              <w:spacing w:after="0"/>
              <w:jc w:val="right"/>
              <w:rPr>
                <w:rFonts w:cs="Calibri"/>
                <w:color w:val="000000"/>
                <w:sz w:val="22"/>
                <w:szCs w:val="22"/>
              </w:rPr>
            </w:pPr>
            <w:r w:rsidRPr="00A4290E">
              <w:rPr>
                <w:rFonts w:cs="Calibri"/>
                <w:color w:val="000000"/>
                <w:sz w:val="22"/>
                <w:szCs w:val="22"/>
              </w:rPr>
              <w:t>28</w:t>
            </w:r>
          </w:p>
        </w:tc>
        <w:tc>
          <w:tcPr>
            <w:tcW w:w="1559" w:type="dxa"/>
          </w:tcPr>
          <w:p w14:paraId="1AA35179" w14:textId="4C888816" w:rsidR="00A4290E" w:rsidRPr="00A4290E" w:rsidRDefault="00A4290E" w:rsidP="00A4290E">
            <w:pPr>
              <w:jc w:val="right"/>
              <w:rPr>
                <w:rFonts w:cs="Calibri"/>
                <w:color w:val="000000"/>
                <w:sz w:val="22"/>
                <w:szCs w:val="22"/>
              </w:rPr>
            </w:pPr>
            <w:r w:rsidRPr="00A4290E">
              <w:rPr>
                <w:rFonts w:cs="Calibri"/>
                <w:color w:val="000000"/>
                <w:sz w:val="22"/>
                <w:szCs w:val="22"/>
              </w:rPr>
              <w:t>2.4%</w:t>
            </w:r>
          </w:p>
        </w:tc>
        <w:tc>
          <w:tcPr>
            <w:tcW w:w="1701" w:type="dxa"/>
          </w:tcPr>
          <w:p w14:paraId="06794522" w14:textId="55FACEBB" w:rsidR="00A4290E" w:rsidRDefault="00A4290E" w:rsidP="00A4290E">
            <w:pPr>
              <w:jc w:val="right"/>
              <w:rPr>
                <w:rFonts w:cs="Calibri"/>
                <w:color w:val="000000"/>
                <w:sz w:val="22"/>
                <w:szCs w:val="22"/>
              </w:rPr>
            </w:pPr>
            <w:r>
              <w:rPr>
                <w:rFonts w:cs="Calibri"/>
                <w:color w:val="000000"/>
                <w:sz w:val="22"/>
                <w:szCs w:val="22"/>
              </w:rPr>
              <w:t>1258</w:t>
            </w:r>
          </w:p>
        </w:tc>
        <w:tc>
          <w:tcPr>
            <w:tcW w:w="1559" w:type="dxa"/>
          </w:tcPr>
          <w:p w14:paraId="755DE956" w14:textId="6BB15579" w:rsidR="00A4290E" w:rsidRDefault="00A4290E" w:rsidP="00A4290E">
            <w:pPr>
              <w:jc w:val="right"/>
              <w:rPr>
                <w:rFonts w:cs="Calibri"/>
                <w:color w:val="000000"/>
                <w:sz w:val="22"/>
                <w:szCs w:val="22"/>
              </w:rPr>
            </w:pPr>
            <w:r>
              <w:rPr>
                <w:rFonts w:cs="Calibri"/>
                <w:color w:val="000000"/>
                <w:sz w:val="22"/>
                <w:szCs w:val="22"/>
              </w:rPr>
              <w:t>88</w:t>
            </w:r>
          </w:p>
        </w:tc>
        <w:tc>
          <w:tcPr>
            <w:tcW w:w="1701" w:type="dxa"/>
          </w:tcPr>
          <w:p w14:paraId="2ECD8D17" w14:textId="5349C814" w:rsidR="00A4290E" w:rsidRDefault="00A4290E" w:rsidP="00A4290E">
            <w:pPr>
              <w:jc w:val="right"/>
              <w:rPr>
                <w:rFonts w:cs="Calibri"/>
                <w:color w:val="000000"/>
                <w:sz w:val="22"/>
                <w:szCs w:val="22"/>
              </w:rPr>
            </w:pPr>
            <w:r>
              <w:rPr>
                <w:rFonts w:cs="Calibri"/>
                <w:color w:val="000000"/>
                <w:sz w:val="22"/>
                <w:szCs w:val="22"/>
              </w:rPr>
              <w:t>7.0%</w:t>
            </w:r>
          </w:p>
        </w:tc>
      </w:tr>
      <w:bookmarkEnd w:id="78"/>
      <w:tr w:rsidR="00A4290E" w:rsidRPr="006F2FFB" w14:paraId="7B66E743" w14:textId="77777777" w:rsidTr="000B04F5">
        <w:trPr>
          <w:jc w:val="center"/>
        </w:trPr>
        <w:tc>
          <w:tcPr>
            <w:tcW w:w="1706" w:type="dxa"/>
            <w:vAlign w:val="bottom"/>
          </w:tcPr>
          <w:p w14:paraId="44DFF06C" w14:textId="12F5A5B7" w:rsidR="00A4290E" w:rsidRPr="006F2FFB" w:rsidRDefault="008363FF" w:rsidP="00A4290E">
            <w:pPr>
              <w:spacing w:after="0"/>
              <w:rPr>
                <w:sz w:val="22"/>
                <w:szCs w:val="22"/>
              </w:rPr>
            </w:pPr>
            <w:r>
              <w:rPr>
                <w:rFonts w:cs="Calibri"/>
                <w:color w:val="000000"/>
                <w:sz w:val="22"/>
                <w:szCs w:val="22"/>
              </w:rPr>
              <w:t>*</w:t>
            </w:r>
            <w:r w:rsidR="00A4290E" w:rsidRPr="006F2FFB">
              <w:rPr>
                <w:rFonts w:cs="Calibri"/>
                <w:color w:val="000000"/>
                <w:sz w:val="22"/>
                <w:szCs w:val="22"/>
              </w:rPr>
              <w:t xml:space="preserve">Garda Síochána Inspectorate </w:t>
            </w:r>
          </w:p>
        </w:tc>
        <w:tc>
          <w:tcPr>
            <w:tcW w:w="1701" w:type="dxa"/>
          </w:tcPr>
          <w:p w14:paraId="5E173746" w14:textId="08E7F2BF" w:rsidR="00A4290E" w:rsidRPr="006F2FFB" w:rsidRDefault="00A4290E" w:rsidP="00A4290E">
            <w:pPr>
              <w:jc w:val="right"/>
              <w:rPr>
                <w:rFonts w:cs="Arial"/>
                <w:sz w:val="22"/>
                <w:szCs w:val="22"/>
              </w:rPr>
            </w:pPr>
            <w:r w:rsidRPr="006F2FFB">
              <w:rPr>
                <w:rFonts w:cs="Calibri"/>
                <w:color w:val="000000"/>
                <w:sz w:val="22"/>
                <w:szCs w:val="22"/>
              </w:rPr>
              <w:t>12</w:t>
            </w:r>
          </w:p>
        </w:tc>
        <w:tc>
          <w:tcPr>
            <w:tcW w:w="1418" w:type="dxa"/>
          </w:tcPr>
          <w:p w14:paraId="3BB062AE" w14:textId="66FB26BF" w:rsidR="00A4290E" w:rsidRPr="006F2FFB" w:rsidRDefault="00A4290E" w:rsidP="00A4290E">
            <w:pPr>
              <w:spacing w:after="0"/>
              <w:jc w:val="right"/>
              <w:rPr>
                <w:rFonts w:cs="Arial"/>
                <w:sz w:val="22"/>
                <w:szCs w:val="22"/>
              </w:rPr>
            </w:pPr>
            <w:r w:rsidRPr="006F2FFB">
              <w:rPr>
                <w:rFonts w:cs="Calibri"/>
                <w:color w:val="000000"/>
                <w:sz w:val="22"/>
                <w:szCs w:val="22"/>
              </w:rPr>
              <w:t>0</w:t>
            </w:r>
          </w:p>
        </w:tc>
        <w:tc>
          <w:tcPr>
            <w:tcW w:w="1559" w:type="dxa"/>
          </w:tcPr>
          <w:p w14:paraId="78C6766A" w14:textId="437D752C" w:rsidR="00A4290E" w:rsidRPr="006F2FFB" w:rsidRDefault="00A4290E" w:rsidP="00A4290E">
            <w:pPr>
              <w:jc w:val="right"/>
              <w:rPr>
                <w:rFonts w:cs="Arial"/>
                <w:sz w:val="22"/>
                <w:szCs w:val="22"/>
              </w:rPr>
            </w:pPr>
            <w:r w:rsidRPr="006F2FFB">
              <w:rPr>
                <w:rFonts w:cs="Calibri"/>
                <w:color w:val="000000"/>
                <w:sz w:val="22"/>
                <w:szCs w:val="22"/>
              </w:rPr>
              <w:t>0.0%</w:t>
            </w:r>
          </w:p>
        </w:tc>
        <w:tc>
          <w:tcPr>
            <w:tcW w:w="1701" w:type="dxa"/>
          </w:tcPr>
          <w:p w14:paraId="70B9AC1A" w14:textId="116C2F7E" w:rsidR="00A4290E" w:rsidRPr="006F2FFB" w:rsidRDefault="00A4290E" w:rsidP="00A4290E">
            <w:pPr>
              <w:jc w:val="right"/>
              <w:rPr>
                <w:rFonts w:cs="Arial"/>
                <w:sz w:val="22"/>
                <w:szCs w:val="22"/>
              </w:rPr>
            </w:pPr>
            <w:r>
              <w:rPr>
                <w:rFonts w:cs="Calibri"/>
                <w:color w:val="000000"/>
                <w:sz w:val="22"/>
                <w:szCs w:val="22"/>
              </w:rPr>
              <w:t>12</w:t>
            </w:r>
          </w:p>
        </w:tc>
        <w:tc>
          <w:tcPr>
            <w:tcW w:w="1559" w:type="dxa"/>
          </w:tcPr>
          <w:p w14:paraId="1E0C5B5B" w14:textId="6D9D8D83" w:rsidR="00A4290E" w:rsidRPr="006F2FFB" w:rsidRDefault="00A4290E" w:rsidP="00A4290E">
            <w:pPr>
              <w:jc w:val="right"/>
              <w:rPr>
                <w:rFonts w:cs="Arial"/>
                <w:sz w:val="22"/>
                <w:szCs w:val="22"/>
              </w:rPr>
            </w:pPr>
            <w:r>
              <w:rPr>
                <w:rFonts w:cs="Calibri"/>
                <w:color w:val="000000"/>
                <w:sz w:val="22"/>
                <w:szCs w:val="22"/>
              </w:rPr>
              <w:t>0</w:t>
            </w:r>
          </w:p>
        </w:tc>
        <w:tc>
          <w:tcPr>
            <w:tcW w:w="1701" w:type="dxa"/>
          </w:tcPr>
          <w:p w14:paraId="5B1979EA" w14:textId="6C4A79D1" w:rsidR="00A4290E" w:rsidRPr="006F2FFB" w:rsidRDefault="00A4290E" w:rsidP="00A4290E">
            <w:pPr>
              <w:jc w:val="right"/>
              <w:rPr>
                <w:rFonts w:cs="Arial"/>
                <w:sz w:val="22"/>
                <w:szCs w:val="22"/>
              </w:rPr>
            </w:pPr>
            <w:r>
              <w:rPr>
                <w:rFonts w:cs="Calibri"/>
                <w:color w:val="000000"/>
                <w:sz w:val="22"/>
                <w:szCs w:val="22"/>
              </w:rPr>
              <w:t>0.0%</w:t>
            </w:r>
          </w:p>
        </w:tc>
      </w:tr>
      <w:tr w:rsidR="00A4290E" w:rsidRPr="006F2FFB" w14:paraId="47ADA48D" w14:textId="77777777" w:rsidTr="000B04F5">
        <w:trPr>
          <w:jc w:val="center"/>
        </w:trPr>
        <w:tc>
          <w:tcPr>
            <w:tcW w:w="1706" w:type="dxa"/>
            <w:vAlign w:val="bottom"/>
          </w:tcPr>
          <w:p w14:paraId="4CEB9A16" w14:textId="74E32B7A" w:rsidR="00A4290E" w:rsidRPr="006F2FFB" w:rsidRDefault="008363FF" w:rsidP="00A4290E">
            <w:pPr>
              <w:spacing w:after="120"/>
              <w:rPr>
                <w:sz w:val="22"/>
                <w:szCs w:val="22"/>
                <w:lang w:eastAsia="en-IE"/>
              </w:rPr>
            </w:pPr>
            <w:r>
              <w:rPr>
                <w:rFonts w:cs="Calibri"/>
                <w:color w:val="000000"/>
                <w:sz w:val="22"/>
                <w:szCs w:val="22"/>
              </w:rPr>
              <w:t>*</w:t>
            </w:r>
            <w:r w:rsidR="00A4290E" w:rsidRPr="006F2FFB">
              <w:rPr>
                <w:rFonts w:cs="Calibri"/>
                <w:color w:val="000000"/>
                <w:sz w:val="22"/>
                <w:szCs w:val="22"/>
              </w:rPr>
              <w:t>Garda Síochána Ombudsman Commission</w:t>
            </w:r>
          </w:p>
        </w:tc>
        <w:tc>
          <w:tcPr>
            <w:tcW w:w="1701" w:type="dxa"/>
          </w:tcPr>
          <w:p w14:paraId="0583142A" w14:textId="39777642" w:rsidR="00A4290E" w:rsidRPr="006F2FFB" w:rsidRDefault="00A4290E" w:rsidP="00A4290E">
            <w:pPr>
              <w:jc w:val="right"/>
              <w:rPr>
                <w:rFonts w:cs="Arial"/>
                <w:sz w:val="22"/>
                <w:szCs w:val="22"/>
              </w:rPr>
            </w:pPr>
            <w:r w:rsidRPr="006F2FFB">
              <w:rPr>
                <w:rFonts w:cs="Calibri"/>
                <w:color w:val="000000"/>
                <w:sz w:val="22"/>
                <w:szCs w:val="22"/>
              </w:rPr>
              <w:t>130</w:t>
            </w:r>
          </w:p>
        </w:tc>
        <w:tc>
          <w:tcPr>
            <w:tcW w:w="1418" w:type="dxa"/>
          </w:tcPr>
          <w:p w14:paraId="10A93E64" w14:textId="2E8025ED" w:rsidR="00A4290E" w:rsidRPr="006F2FFB" w:rsidRDefault="00A4290E" w:rsidP="00A4290E">
            <w:pPr>
              <w:spacing w:after="0"/>
              <w:jc w:val="right"/>
              <w:rPr>
                <w:rFonts w:cs="Arial"/>
                <w:sz w:val="22"/>
                <w:szCs w:val="22"/>
              </w:rPr>
            </w:pPr>
            <w:r w:rsidRPr="006F2FFB">
              <w:rPr>
                <w:rFonts w:cs="Calibri"/>
                <w:color w:val="000000"/>
                <w:sz w:val="22"/>
                <w:szCs w:val="22"/>
              </w:rPr>
              <w:t>12</w:t>
            </w:r>
          </w:p>
        </w:tc>
        <w:tc>
          <w:tcPr>
            <w:tcW w:w="1559" w:type="dxa"/>
          </w:tcPr>
          <w:p w14:paraId="47CB3F78" w14:textId="5F65428D" w:rsidR="00A4290E" w:rsidRPr="006F2FFB" w:rsidRDefault="00A4290E" w:rsidP="00A4290E">
            <w:pPr>
              <w:jc w:val="right"/>
              <w:rPr>
                <w:rFonts w:cs="Arial"/>
                <w:sz w:val="22"/>
                <w:szCs w:val="22"/>
              </w:rPr>
            </w:pPr>
            <w:r w:rsidRPr="006F2FFB">
              <w:rPr>
                <w:rFonts w:cs="Calibri"/>
                <w:color w:val="000000"/>
                <w:sz w:val="22"/>
                <w:szCs w:val="22"/>
              </w:rPr>
              <w:t>9.2%</w:t>
            </w:r>
          </w:p>
        </w:tc>
        <w:tc>
          <w:tcPr>
            <w:tcW w:w="1701" w:type="dxa"/>
          </w:tcPr>
          <w:p w14:paraId="5B4EC0D3" w14:textId="7E66A77F" w:rsidR="00A4290E" w:rsidRPr="006F2FFB" w:rsidRDefault="00A4290E" w:rsidP="00A4290E">
            <w:pPr>
              <w:jc w:val="right"/>
              <w:rPr>
                <w:rFonts w:cs="Arial"/>
                <w:sz w:val="22"/>
                <w:szCs w:val="22"/>
              </w:rPr>
            </w:pPr>
            <w:r>
              <w:rPr>
                <w:rFonts w:cs="Calibri"/>
                <w:color w:val="000000"/>
                <w:sz w:val="22"/>
                <w:szCs w:val="22"/>
              </w:rPr>
              <w:t>156</w:t>
            </w:r>
          </w:p>
        </w:tc>
        <w:tc>
          <w:tcPr>
            <w:tcW w:w="1559" w:type="dxa"/>
          </w:tcPr>
          <w:p w14:paraId="77483D82" w14:textId="504AC30A" w:rsidR="00A4290E" w:rsidRPr="006F2FFB" w:rsidRDefault="00A4290E" w:rsidP="00A4290E">
            <w:pPr>
              <w:jc w:val="right"/>
              <w:rPr>
                <w:rFonts w:cs="Arial"/>
                <w:sz w:val="22"/>
                <w:szCs w:val="22"/>
              </w:rPr>
            </w:pPr>
            <w:r>
              <w:rPr>
                <w:rFonts w:cs="Calibri"/>
                <w:color w:val="000000"/>
                <w:sz w:val="22"/>
                <w:szCs w:val="22"/>
              </w:rPr>
              <w:t>16</w:t>
            </w:r>
          </w:p>
        </w:tc>
        <w:tc>
          <w:tcPr>
            <w:tcW w:w="1701" w:type="dxa"/>
          </w:tcPr>
          <w:p w14:paraId="296CA2C8" w14:textId="003032AD" w:rsidR="00A4290E" w:rsidRPr="006F2FFB" w:rsidRDefault="00A4290E" w:rsidP="00A4290E">
            <w:pPr>
              <w:jc w:val="right"/>
              <w:rPr>
                <w:rFonts w:cs="Arial"/>
                <w:sz w:val="22"/>
                <w:szCs w:val="22"/>
              </w:rPr>
            </w:pPr>
            <w:r>
              <w:rPr>
                <w:rFonts w:cs="Calibri"/>
                <w:color w:val="000000"/>
                <w:sz w:val="22"/>
                <w:szCs w:val="22"/>
              </w:rPr>
              <w:t>10.3%</w:t>
            </w:r>
          </w:p>
        </w:tc>
      </w:tr>
      <w:tr w:rsidR="00A4290E" w:rsidRPr="006F2FFB" w14:paraId="4EBDEAF1" w14:textId="77777777" w:rsidTr="000B04F5">
        <w:trPr>
          <w:jc w:val="center"/>
        </w:trPr>
        <w:tc>
          <w:tcPr>
            <w:tcW w:w="1706" w:type="dxa"/>
            <w:vAlign w:val="bottom"/>
          </w:tcPr>
          <w:p w14:paraId="3B5D95E3" w14:textId="229A8DDD" w:rsidR="00A4290E" w:rsidRPr="006F2FFB" w:rsidRDefault="00A4290E" w:rsidP="00A4290E">
            <w:pPr>
              <w:spacing w:after="120"/>
              <w:rPr>
                <w:rFonts w:cs="Arial"/>
                <w:sz w:val="22"/>
                <w:szCs w:val="22"/>
                <w:lang w:eastAsia="en-IE"/>
              </w:rPr>
            </w:pPr>
            <w:r w:rsidRPr="006F2FFB">
              <w:rPr>
                <w:rFonts w:cs="Calibri"/>
                <w:color w:val="000000"/>
                <w:sz w:val="22"/>
                <w:szCs w:val="22"/>
              </w:rPr>
              <w:t>Houses of the Oireachtas</w:t>
            </w:r>
          </w:p>
        </w:tc>
        <w:tc>
          <w:tcPr>
            <w:tcW w:w="1701" w:type="dxa"/>
          </w:tcPr>
          <w:p w14:paraId="104C090C" w14:textId="6B8D4E52" w:rsidR="00A4290E" w:rsidRPr="006F2FFB" w:rsidRDefault="00A4290E" w:rsidP="00A4290E">
            <w:pPr>
              <w:jc w:val="right"/>
              <w:rPr>
                <w:rFonts w:cs="Arial"/>
                <w:sz w:val="22"/>
                <w:szCs w:val="22"/>
              </w:rPr>
            </w:pPr>
            <w:r w:rsidRPr="006F2FFB">
              <w:rPr>
                <w:rFonts w:cs="Calibri"/>
                <w:color w:val="000000"/>
                <w:sz w:val="22"/>
                <w:szCs w:val="22"/>
              </w:rPr>
              <w:t>655</w:t>
            </w:r>
          </w:p>
        </w:tc>
        <w:tc>
          <w:tcPr>
            <w:tcW w:w="1418" w:type="dxa"/>
          </w:tcPr>
          <w:p w14:paraId="5003D432" w14:textId="2A92A717" w:rsidR="00A4290E" w:rsidRPr="006F2FFB" w:rsidRDefault="00A4290E" w:rsidP="00A4290E">
            <w:pPr>
              <w:spacing w:after="0"/>
              <w:jc w:val="right"/>
              <w:rPr>
                <w:rFonts w:cs="Arial"/>
                <w:sz w:val="22"/>
                <w:szCs w:val="22"/>
              </w:rPr>
            </w:pPr>
            <w:r w:rsidRPr="006F2FFB">
              <w:rPr>
                <w:rFonts w:cs="Calibri"/>
                <w:color w:val="000000"/>
                <w:sz w:val="22"/>
                <w:szCs w:val="22"/>
              </w:rPr>
              <w:t>36</w:t>
            </w:r>
          </w:p>
        </w:tc>
        <w:tc>
          <w:tcPr>
            <w:tcW w:w="1559" w:type="dxa"/>
          </w:tcPr>
          <w:p w14:paraId="3DF05CE7" w14:textId="26143236" w:rsidR="00A4290E" w:rsidRPr="006F2FFB" w:rsidRDefault="00A4290E" w:rsidP="00A4290E">
            <w:pPr>
              <w:jc w:val="right"/>
              <w:rPr>
                <w:rFonts w:cs="Arial"/>
                <w:sz w:val="22"/>
                <w:szCs w:val="22"/>
              </w:rPr>
            </w:pPr>
            <w:r w:rsidRPr="006F2FFB">
              <w:rPr>
                <w:rFonts w:cs="Calibri"/>
                <w:color w:val="000000"/>
                <w:sz w:val="22"/>
                <w:szCs w:val="22"/>
              </w:rPr>
              <w:t>5.5%</w:t>
            </w:r>
          </w:p>
        </w:tc>
        <w:tc>
          <w:tcPr>
            <w:tcW w:w="1701" w:type="dxa"/>
          </w:tcPr>
          <w:p w14:paraId="4928E27C" w14:textId="4334B237" w:rsidR="00A4290E" w:rsidRPr="006F2FFB" w:rsidRDefault="00A4290E" w:rsidP="00A4290E">
            <w:pPr>
              <w:jc w:val="right"/>
              <w:rPr>
                <w:rFonts w:cs="Calibri"/>
                <w:color w:val="000000"/>
                <w:sz w:val="22"/>
                <w:szCs w:val="22"/>
              </w:rPr>
            </w:pPr>
            <w:r>
              <w:rPr>
                <w:rFonts w:cs="Calibri"/>
                <w:color w:val="000000"/>
                <w:sz w:val="22"/>
                <w:szCs w:val="22"/>
              </w:rPr>
              <w:t>692</w:t>
            </w:r>
          </w:p>
        </w:tc>
        <w:tc>
          <w:tcPr>
            <w:tcW w:w="1559" w:type="dxa"/>
          </w:tcPr>
          <w:p w14:paraId="40857D59" w14:textId="5F293890" w:rsidR="00A4290E" w:rsidRPr="006F2FFB" w:rsidRDefault="00A4290E" w:rsidP="00A4290E">
            <w:pPr>
              <w:jc w:val="right"/>
              <w:rPr>
                <w:rFonts w:cs="Calibri"/>
                <w:color w:val="000000"/>
                <w:sz w:val="22"/>
                <w:szCs w:val="22"/>
              </w:rPr>
            </w:pPr>
            <w:r>
              <w:rPr>
                <w:rFonts w:cs="Calibri"/>
                <w:color w:val="000000"/>
                <w:sz w:val="22"/>
                <w:szCs w:val="22"/>
              </w:rPr>
              <w:t>39</w:t>
            </w:r>
          </w:p>
        </w:tc>
        <w:tc>
          <w:tcPr>
            <w:tcW w:w="1701" w:type="dxa"/>
          </w:tcPr>
          <w:p w14:paraId="5C26920D" w14:textId="5414D21D" w:rsidR="00A4290E" w:rsidRPr="006F2FFB" w:rsidRDefault="00A4290E" w:rsidP="00A4290E">
            <w:pPr>
              <w:jc w:val="right"/>
              <w:rPr>
                <w:rFonts w:cs="Calibri"/>
                <w:color w:val="000000"/>
                <w:sz w:val="22"/>
                <w:szCs w:val="22"/>
              </w:rPr>
            </w:pPr>
            <w:r>
              <w:rPr>
                <w:rFonts w:cs="Calibri"/>
                <w:color w:val="000000"/>
                <w:sz w:val="22"/>
                <w:szCs w:val="22"/>
              </w:rPr>
              <w:t>5.6%</w:t>
            </w:r>
          </w:p>
        </w:tc>
      </w:tr>
      <w:tr w:rsidR="00A4290E" w:rsidRPr="006F2FFB" w14:paraId="778E15AF" w14:textId="77777777" w:rsidTr="000B04F5">
        <w:trPr>
          <w:jc w:val="center"/>
        </w:trPr>
        <w:tc>
          <w:tcPr>
            <w:tcW w:w="1706" w:type="dxa"/>
            <w:vAlign w:val="bottom"/>
          </w:tcPr>
          <w:p w14:paraId="455DA611" w14:textId="4A07EAE5" w:rsidR="00A4290E" w:rsidRPr="006F2FFB" w:rsidRDefault="008363FF" w:rsidP="00A4290E">
            <w:pPr>
              <w:spacing w:after="120"/>
              <w:rPr>
                <w:sz w:val="22"/>
                <w:szCs w:val="22"/>
              </w:rPr>
            </w:pPr>
            <w:r w:rsidRPr="008363FF">
              <w:rPr>
                <w:rFonts w:cs="Calibri"/>
                <w:b/>
                <w:bCs/>
                <w:color w:val="000000"/>
                <w:sz w:val="22"/>
                <w:szCs w:val="22"/>
              </w:rPr>
              <w:lastRenderedPageBreak/>
              <w:t>*</w:t>
            </w:r>
            <w:r w:rsidR="00A4290E" w:rsidRPr="006F2FFB">
              <w:rPr>
                <w:rFonts w:cs="Calibri"/>
                <w:color w:val="000000"/>
                <w:sz w:val="22"/>
                <w:szCs w:val="22"/>
              </w:rPr>
              <w:t>Insolvency Service of Ireland</w:t>
            </w:r>
          </w:p>
        </w:tc>
        <w:tc>
          <w:tcPr>
            <w:tcW w:w="1701" w:type="dxa"/>
          </w:tcPr>
          <w:p w14:paraId="34B8B0A5" w14:textId="25294405" w:rsidR="00A4290E" w:rsidRPr="006F2FFB" w:rsidRDefault="00A4290E" w:rsidP="00A4290E">
            <w:pPr>
              <w:jc w:val="right"/>
              <w:rPr>
                <w:sz w:val="22"/>
                <w:szCs w:val="22"/>
              </w:rPr>
            </w:pPr>
            <w:r w:rsidRPr="006F2FFB">
              <w:rPr>
                <w:rFonts w:cs="Calibri"/>
                <w:color w:val="000000"/>
                <w:sz w:val="22"/>
                <w:szCs w:val="22"/>
              </w:rPr>
              <w:t>80</w:t>
            </w:r>
          </w:p>
        </w:tc>
        <w:tc>
          <w:tcPr>
            <w:tcW w:w="1418" w:type="dxa"/>
          </w:tcPr>
          <w:p w14:paraId="2C5D74F2" w14:textId="53A3807F" w:rsidR="00A4290E" w:rsidRPr="006F2FFB" w:rsidRDefault="00A4290E" w:rsidP="00A4290E">
            <w:pPr>
              <w:spacing w:after="0"/>
              <w:jc w:val="right"/>
              <w:rPr>
                <w:sz w:val="22"/>
                <w:szCs w:val="22"/>
              </w:rPr>
            </w:pPr>
            <w:r w:rsidRPr="006F2FFB">
              <w:rPr>
                <w:rFonts w:cs="Calibri"/>
                <w:color w:val="000000"/>
                <w:sz w:val="22"/>
                <w:szCs w:val="22"/>
              </w:rPr>
              <w:t>7</w:t>
            </w:r>
          </w:p>
        </w:tc>
        <w:tc>
          <w:tcPr>
            <w:tcW w:w="1559" w:type="dxa"/>
          </w:tcPr>
          <w:p w14:paraId="185C3AF0" w14:textId="13BBB219" w:rsidR="00A4290E" w:rsidRPr="006F2FFB" w:rsidRDefault="00A4290E" w:rsidP="00A4290E">
            <w:pPr>
              <w:jc w:val="right"/>
              <w:rPr>
                <w:sz w:val="22"/>
                <w:szCs w:val="22"/>
              </w:rPr>
            </w:pPr>
            <w:r w:rsidRPr="006F2FFB">
              <w:rPr>
                <w:rFonts w:cs="Calibri"/>
                <w:color w:val="000000"/>
                <w:sz w:val="22"/>
                <w:szCs w:val="22"/>
              </w:rPr>
              <w:t>8.8%</w:t>
            </w:r>
          </w:p>
        </w:tc>
        <w:tc>
          <w:tcPr>
            <w:tcW w:w="1701" w:type="dxa"/>
          </w:tcPr>
          <w:p w14:paraId="254DC68E" w14:textId="57A5C437" w:rsidR="00A4290E" w:rsidRPr="006F2FFB" w:rsidRDefault="00A4290E" w:rsidP="00A4290E">
            <w:pPr>
              <w:jc w:val="right"/>
              <w:rPr>
                <w:rFonts w:cs="Calibri"/>
                <w:color w:val="000000"/>
                <w:sz w:val="22"/>
                <w:szCs w:val="22"/>
              </w:rPr>
            </w:pPr>
            <w:r>
              <w:rPr>
                <w:rFonts w:cs="Calibri"/>
                <w:color w:val="000000"/>
                <w:sz w:val="22"/>
                <w:szCs w:val="22"/>
              </w:rPr>
              <w:t>80</w:t>
            </w:r>
          </w:p>
        </w:tc>
        <w:tc>
          <w:tcPr>
            <w:tcW w:w="1559" w:type="dxa"/>
          </w:tcPr>
          <w:p w14:paraId="33C7065C" w14:textId="4B6BD5A9" w:rsidR="00A4290E" w:rsidRPr="006F2FFB" w:rsidRDefault="00A4290E" w:rsidP="00A4290E">
            <w:pPr>
              <w:jc w:val="right"/>
              <w:rPr>
                <w:rFonts w:cs="Calibri"/>
                <w:color w:val="000000"/>
                <w:sz w:val="22"/>
                <w:szCs w:val="22"/>
              </w:rPr>
            </w:pPr>
            <w:r>
              <w:rPr>
                <w:rFonts w:cs="Calibri"/>
                <w:color w:val="000000"/>
                <w:sz w:val="22"/>
                <w:szCs w:val="22"/>
              </w:rPr>
              <w:t>6</w:t>
            </w:r>
          </w:p>
        </w:tc>
        <w:tc>
          <w:tcPr>
            <w:tcW w:w="1701" w:type="dxa"/>
          </w:tcPr>
          <w:p w14:paraId="754BC9EA" w14:textId="3DCD9660" w:rsidR="00A4290E" w:rsidRPr="006F2FFB" w:rsidRDefault="00A4290E" w:rsidP="00A4290E">
            <w:pPr>
              <w:jc w:val="right"/>
              <w:rPr>
                <w:rFonts w:cs="Calibri"/>
                <w:color w:val="000000"/>
                <w:sz w:val="22"/>
                <w:szCs w:val="22"/>
              </w:rPr>
            </w:pPr>
            <w:r>
              <w:rPr>
                <w:rFonts w:cs="Calibri"/>
                <w:color w:val="000000"/>
                <w:sz w:val="22"/>
                <w:szCs w:val="22"/>
              </w:rPr>
              <w:t>7.5%</w:t>
            </w:r>
          </w:p>
        </w:tc>
      </w:tr>
      <w:tr w:rsidR="00A4290E" w:rsidRPr="006F2FFB" w14:paraId="322BDF43" w14:textId="77777777" w:rsidTr="000B04F5">
        <w:trPr>
          <w:jc w:val="center"/>
        </w:trPr>
        <w:tc>
          <w:tcPr>
            <w:tcW w:w="1706" w:type="dxa"/>
            <w:vAlign w:val="bottom"/>
          </w:tcPr>
          <w:p w14:paraId="3CBF19F2" w14:textId="2CCB2B89" w:rsidR="00A4290E" w:rsidRPr="006F2FFB" w:rsidRDefault="008363FF" w:rsidP="00A4290E">
            <w:pPr>
              <w:spacing w:after="120"/>
              <w:rPr>
                <w:sz w:val="22"/>
                <w:szCs w:val="22"/>
              </w:rPr>
            </w:pPr>
            <w:r w:rsidRPr="008363FF">
              <w:rPr>
                <w:rFonts w:cs="Calibri"/>
                <w:b/>
                <w:bCs/>
                <w:color w:val="000000"/>
                <w:sz w:val="22"/>
                <w:szCs w:val="22"/>
              </w:rPr>
              <w:t>*</w:t>
            </w:r>
            <w:r w:rsidR="00A4290E" w:rsidRPr="006F2FFB">
              <w:rPr>
                <w:rFonts w:cs="Calibri"/>
                <w:color w:val="000000"/>
                <w:sz w:val="22"/>
                <w:szCs w:val="22"/>
              </w:rPr>
              <w:t>International Protection Appeals Tribunal</w:t>
            </w:r>
          </w:p>
        </w:tc>
        <w:tc>
          <w:tcPr>
            <w:tcW w:w="1701" w:type="dxa"/>
          </w:tcPr>
          <w:p w14:paraId="0A531C0E" w14:textId="3F1873E6" w:rsidR="00A4290E" w:rsidRPr="006F2FFB" w:rsidRDefault="00A4290E" w:rsidP="00A4290E">
            <w:pPr>
              <w:jc w:val="right"/>
              <w:rPr>
                <w:sz w:val="22"/>
                <w:szCs w:val="22"/>
              </w:rPr>
            </w:pPr>
            <w:r w:rsidRPr="006F2FFB">
              <w:rPr>
                <w:rFonts w:cs="Calibri"/>
                <w:color w:val="000000"/>
                <w:sz w:val="22"/>
                <w:szCs w:val="22"/>
              </w:rPr>
              <w:t>51</w:t>
            </w:r>
          </w:p>
        </w:tc>
        <w:tc>
          <w:tcPr>
            <w:tcW w:w="1418" w:type="dxa"/>
          </w:tcPr>
          <w:p w14:paraId="3167EEF9" w14:textId="64A2756A" w:rsidR="00A4290E" w:rsidRPr="006F2FFB" w:rsidRDefault="00A4290E" w:rsidP="00A4290E">
            <w:pPr>
              <w:spacing w:after="0"/>
              <w:jc w:val="right"/>
              <w:rPr>
                <w:sz w:val="22"/>
                <w:szCs w:val="22"/>
              </w:rPr>
            </w:pPr>
            <w:r w:rsidRPr="006F2FFB">
              <w:rPr>
                <w:rFonts w:cs="Calibri"/>
                <w:color w:val="000000"/>
                <w:sz w:val="22"/>
                <w:szCs w:val="22"/>
              </w:rPr>
              <w:t>4</w:t>
            </w:r>
          </w:p>
        </w:tc>
        <w:tc>
          <w:tcPr>
            <w:tcW w:w="1559" w:type="dxa"/>
          </w:tcPr>
          <w:p w14:paraId="7B478E89" w14:textId="7A4CAF60" w:rsidR="00A4290E" w:rsidRPr="006F2FFB" w:rsidRDefault="00A4290E" w:rsidP="00A4290E">
            <w:pPr>
              <w:jc w:val="right"/>
              <w:rPr>
                <w:sz w:val="22"/>
                <w:szCs w:val="22"/>
              </w:rPr>
            </w:pPr>
            <w:r w:rsidRPr="006F2FFB">
              <w:rPr>
                <w:rFonts w:cs="Calibri"/>
                <w:color w:val="000000"/>
                <w:sz w:val="22"/>
                <w:szCs w:val="22"/>
              </w:rPr>
              <w:t>7.8%</w:t>
            </w:r>
          </w:p>
        </w:tc>
        <w:tc>
          <w:tcPr>
            <w:tcW w:w="1701" w:type="dxa"/>
          </w:tcPr>
          <w:p w14:paraId="033413EF" w14:textId="0D6562D3" w:rsidR="00A4290E" w:rsidRPr="006F2FFB" w:rsidRDefault="00A4290E" w:rsidP="00A4290E">
            <w:pPr>
              <w:jc w:val="right"/>
              <w:rPr>
                <w:rFonts w:cs="Calibri"/>
                <w:color w:val="000000"/>
                <w:sz w:val="22"/>
                <w:szCs w:val="22"/>
              </w:rPr>
            </w:pPr>
            <w:r>
              <w:rPr>
                <w:rFonts w:cs="Calibri"/>
                <w:color w:val="000000"/>
                <w:sz w:val="22"/>
                <w:szCs w:val="22"/>
              </w:rPr>
              <w:t>47</w:t>
            </w:r>
          </w:p>
        </w:tc>
        <w:tc>
          <w:tcPr>
            <w:tcW w:w="1559" w:type="dxa"/>
          </w:tcPr>
          <w:p w14:paraId="7FED7C88" w14:textId="02F09D13" w:rsidR="00A4290E" w:rsidRPr="006F2FFB" w:rsidRDefault="00A4290E" w:rsidP="00A4290E">
            <w:pPr>
              <w:jc w:val="right"/>
              <w:rPr>
                <w:rFonts w:cs="Calibri"/>
                <w:color w:val="000000"/>
                <w:sz w:val="22"/>
                <w:szCs w:val="22"/>
              </w:rPr>
            </w:pPr>
            <w:r>
              <w:rPr>
                <w:rFonts w:cs="Calibri"/>
                <w:color w:val="000000"/>
                <w:sz w:val="22"/>
                <w:szCs w:val="22"/>
              </w:rPr>
              <w:t>6</w:t>
            </w:r>
          </w:p>
        </w:tc>
        <w:tc>
          <w:tcPr>
            <w:tcW w:w="1701" w:type="dxa"/>
          </w:tcPr>
          <w:p w14:paraId="54CF5CE7" w14:textId="130EC20F" w:rsidR="00A4290E" w:rsidRPr="006F2FFB" w:rsidRDefault="00A4290E" w:rsidP="00A4290E">
            <w:pPr>
              <w:jc w:val="right"/>
              <w:rPr>
                <w:rFonts w:cs="Calibri"/>
                <w:color w:val="000000"/>
                <w:sz w:val="22"/>
                <w:szCs w:val="22"/>
              </w:rPr>
            </w:pPr>
            <w:r>
              <w:rPr>
                <w:rFonts w:cs="Calibri"/>
                <w:color w:val="000000"/>
                <w:sz w:val="22"/>
                <w:szCs w:val="22"/>
              </w:rPr>
              <w:t>12.8%</w:t>
            </w:r>
          </w:p>
        </w:tc>
      </w:tr>
      <w:tr w:rsidR="00A4290E" w:rsidRPr="006F2FFB" w14:paraId="4B689FCC" w14:textId="77777777" w:rsidTr="000B04F5">
        <w:trPr>
          <w:jc w:val="center"/>
        </w:trPr>
        <w:tc>
          <w:tcPr>
            <w:tcW w:w="1706" w:type="dxa"/>
            <w:vAlign w:val="bottom"/>
          </w:tcPr>
          <w:p w14:paraId="6D75EBD9" w14:textId="0951E02B" w:rsidR="00A4290E" w:rsidRPr="006F2FFB" w:rsidRDefault="008363FF" w:rsidP="00A4290E">
            <w:pPr>
              <w:spacing w:after="120"/>
              <w:rPr>
                <w:sz w:val="22"/>
                <w:szCs w:val="22"/>
              </w:rPr>
            </w:pPr>
            <w:r w:rsidRPr="008363FF">
              <w:rPr>
                <w:rFonts w:cs="Calibri"/>
                <w:b/>
                <w:color w:val="000000"/>
                <w:sz w:val="22"/>
                <w:szCs w:val="22"/>
              </w:rPr>
              <w:t>*</w:t>
            </w:r>
            <w:r w:rsidR="00A4290E" w:rsidRPr="00C2512E">
              <w:rPr>
                <w:rFonts w:cs="Calibri"/>
                <w:bCs/>
                <w:color w:val="000000"/>
                <w:sz w:val="22"/>
                <w:szCs w:val="22"/>
              </w:rPr>
              <w:t>I</w:t>
            </w:r>
            <w:r w:rsidR="00A4290E" w:rsidRPr="006F2FFB">
              <w:rPr>
                <w:rFonts w:cs="Calibri"/>
                <w:color w:val="000000"/>
                <w:sz w:val="22"/>
                <w:szCs w:val="22"/>
              </w:rPr>
              <w:t>rish Film Classification Office</w:t>
            </w:r>
          </w:p>
        </w:tc>
        <w:tc>
          <w:tcPr>
            <w:tcW w:w="1701" w:type="dxa"/>
          </w:tcPr>
          <w:p w14:paraId="5FE5C89C" w14:textId="39736B22" w:rsidR="00A4290E" w:rsidRPr="006F2FFB" w:rsidRDefault="00A4290E" w:rsidP="00A4290E">
            <w:pPr>
              <w:jc w:val="right"/>
              <w:rPr>
                <w:sz w:val="22"/>
                <w:szCs w:val="22"/>
              </w:rPr>
            </w:pPr>
            <w:r w:rsidRPr="006F2FFB">
              <w:rPr>
                <w:rFonts w:cs="Calibri"/>
                <w:color w:val="000000"/>
                <w:sz w:val="22"/>
                <w:szCs w:val="22"/>
              </w:rPr>
              <w:t>4</w:t>
            </w:r>
          </w:p>
        </w:tc>
        <w:tc>
          <w:tcPr>
            <w:tcW w:w="1418" w:type="dxa"/>
          </w:tcPr>
          <w:p w14:paraId="0D4DEE5A" w14:textId="40D859D6" w:rsidR="00A4290E" w:rsidRPr="006F2FFB" w:rsidRDefault="00A4290E" w:rsidP="00A4290E">
            <w:pPr>
              <w:spacing w:after="0"/>
              <w:jc w:val="right"/>
              <w:rPr>
                <w:sz w:val="22"/>
                <w:szCs w:val="22"/>
              </w:rPr>
            </w:pPr>
            <w:r w:rsidRPr="006F2FFB">
              <w:rPr>
                <w:rFonts w:cs="Calibri"/>
                <w:color w:val="000000"/>
                <w:sz w:val="22"/>
                <w:szCs w:val="22"/>
              </w:rPr>
              <w:t>0</w:t>
            </w:r>
          </w:p>
        </w:tc>
        <w:tc>
          <w:tcPr>
            <w:tcW w:w="1559" w:type="dxa"/>
          </w:tcPr>
          <w:p w14:paraId="01BDB8D5" w14:textId="2EA77449" w:rsidR="00A4290E" w:rsidRPr="006F2FFB" w:rsidRDefault="00A4290E" w:rsidP="00A4290E">
            <w:pPr>
              <w:jc w:val="right"/>
              <w:rPr>
                <w:sz w:val="22"/>
                <w:szCs w:val="22"/>
              </w:rPr>
            </w:pPr>
            <w:r w:rsidRPr="006F2FFB">
              <w:rPr>
                <w:rFonts w:cs="Calibri"/>
                <w:color w:val="000000"/>
                <w:sz w:val="22"/>
                <w:szCs w:val="22"/>
              </w:rPr>
              <w:t>0.0%</w:t>
            </w:r>
          </w:p>
        </w:tc>
        <w:tc>
          <w:tcPr>
            <w:tcW w:w="1701" w:type="dxa"/>
          </w:tcPr>
          <w:p w14:paraId="66687774" w14:textId="058D0143" w:rsidR="00A4290E" w:rsidRPr="006F2FFB" w:rsidRDefault="00A4290E" w:rsidP="00A4290E">
            <w:pPr>
              <w:jc w:val="right"/>
              <w:rPr>
                <w:sz w:val="22"/>
                <w:szCs w:val="22"/>
              </w:rPr>
            </w:pPr>
            <w:r>
              <w:rPr>
                <w:rFonts w:cs="Calibri"/>
                <w:color w:val="000000"/>
                <w:sz w:val="22"/>
                <w:szCs w:val="22"/>
              </w:rPr>
              <w:t>4</w:t>
            </w:r>
          </w:p>
        </w:tc>
        <w:tc>
          <w:tcPr>
            <w:tcW w:w="1559" w:type="dxa"/>
          </w:tcPr>
          <w:p w14:paraId="50BB8033" w14:textId="63C68BDC" w:rsidR="00A4290E" w:rsidRPr="006F2FFB" w:rsidRDefault="00A4290E" w:rsidP="00A4290E">
            <w:pPr>
              <w:jc w:val="right"/>
              <w:rPr>
                <w:sz w:val="22"/>
                <w:szCs w:val="22"/>
              </w:rPr>
            </w:pPr>
            <w:r>
              <w:rPr>
                <w:rFonts w:cs="Calibri"/>
                <w:color w:val="000000"/>
                <w:sz w:val="22"/>
                <w:szCs w:val="22"/>
              </w:rPr>
              <w:t>1</w:t>
            </w:r>
          </w:p>
        </w:tc>
        <w:tc>
          <w:tcPr>
            <w:tcW w:w="1701" w:type="dxa"/>
          </w:tcPr>
          <w:p w14:paraId="4431F3F4" w14:textId="3837837B" w:rsidR="00A4290E" w:rsidRPr="006F2FFB" w:rsidRDefault="00A4290E" w:rsidP="00A4290E">
            <w:pPr>
              <w:jc w:val="right"/>
              <w:rPr>
                <w:sz w:val="22"/>
                <w:szCs w:val="22"/>
              </w:rPr>
            </w:pPr>
            <w:r>
              <w:rPr>
                <w:rFonts w:cs="Calibri"/>
                <w:color w:val="000000"/>
                <w:sz w:val="22"/>
                <w:szCs w:val="22"/>
              </w:rPr>
              <w:t>25.0%</w:t>
            </w:r>
          </w:p>
        </w:tc>
      </w:tr>
      <w:tr w:rsidR="00A4290E" w:rsidRPr="006F2FFB" w14:paraId="2D91F4FC" w14:textId="77777777" w:rsidTr="000B04F5">
        <w:trPr>
          <w:jc w:val="center"/>
        </w:trPr>
        <w:tc>
          <w:tcPr>
            <w:tcW w:w="1706" w:type="dxa"/>
            <w:vAlign w:val="bottom"/>
          </w:tcPr>
          <w:p w14:paraId="29484E51" w14:textId="3B990CA7" w:rsidR="00A4290E" w:rsidRPr="006F2FFB" w:rsidRDefault="00A4290E" w:rsidP="00A4290E">
            <w:pPr>
              <w:rPr>
                <w:sz w:val="22"/>
                <w:szCs w:val="22"/>
              </w:rPr>
            </w:pPr>
            <w:r w:rsidRPr="006F2FFB">
              <w:rPr>
                <w:rFonts w:cs="Calibri"/>
                <w:color w:val="000000"/>
                <w:sz w:val="22"/>
                <w:szCs w:val="22"/>
              </w:rPr>
              <w:t>Irish Human Rights &amp; Equality Commission</w:t>
            </w:r>
          </w:p>
        </w:tc>
        <w:tc>
          <w:tcPr>
            <w:tcW w:w="1701" w:type="dxa"/>
          </w:tcPr>
          <w:p w14:paraId="55F13990" w14:textId="48F5CFCD" w:rsidR="00A4290E" w:rsidRPr="006F2FFB" w:rsidRDefault="00A4290E" w:rsidP="00A4290E">
            <w:pPr>
              <w:jc w:val="right"/>
              <w:rPr>
                <w:sz w:val="22"/>
                <w:szCs w:val="22"/>
              </w:rPr>
            </w:pPr>
            <w:r w:rsidRPr="006F2FFB">
              <w:rPr>
                <w:rFonts w:cs="Calibri"/>
                <w:color w:val="000000"/>
                <w:sz w:val="22"/>
                <w:szCs w:val="22"/>
              </w:rPr>
              <w:t>73</w:t>
            </w:r>
          </w:p>
        </w:tc>
        <w:tc>
          <w:tcPr>
            <w:tcW w:w="1418" w:type="dxa"/>
          </w:tcPr>
          <w:p w14:paraId="223A35BC" w14:textId="24ECE56D" w:rsidR="00A4290E" w:rsidRPr="006F2FFB" w:rsidRDefault="00A4290E" w:rsidP="00A4290E">
            <w:pPr>
              <w:spacing w:after="0"/>
              <w:jc w:val="right"/>
              <w:rPr>
                <w:sz w:val="22"/>
                <w:szCs w:val="22"/>
              </w:rPr>
            </w:pPr>
            <w:r w:rsidRPr="006F2FFB">
              <w:rPr>
                <w:rFonts w:cs="Calibri"/>
                <w:color w:val="000000"/>
                <w:sz w:val="22"/>
                <w:szCs w:val="22"/>
              </w:rPr>
              <w:t>15</w:t>
            </w:r>
          </w:p>
        </w:tc>
        <w:tc>
          <w:tcPr>
            <w:tcW w:w="1559" w:type="dxa"/>
          </w:tcPr>
          <w:p w14:paraId="2E2C40C5" w14:textId="061ECD3F" w:rsidR="00A4290E" w:rsidRPr="006F2FFB" w:rsidRDefault="00A4290E" w:rsidP="00A4290E">
            <w:pPr>
              <w:jc w:val="right"/>
              <w:rPr>
                <w:sz w:val="22"/>
                <w:szCs w:val="22"/>
              </w:rPr>
            </w:pPr>
            <w:r w:rsidRPr="006F2FFB">
              <w:rPr>
                <w:rFonts w:cs="Calibri"/>
                <w:color w:val="000000"/>
                <w:sz w:val="22"/>
                <w:szCs w:val="22"/>
              </w:rPr>
              <w:t>20.5%</w:t>
            </w:r>
          </w:p>
        </w:tc>
        <w:tc>
          <w:tcPr>
            <w:tcW w:w="1701" w:type="dxa"/>
          </w:tcPr>
          <w:p w14:paraId="72BD8660" w14:textId="0D761B32" w:rsidR="00A4290E" w:rsidRPr="006F2FFB" w:rsidRDefault="00A4290E" w:rsidP="00A4290E">
            <w:pPr>
              <w:jc w:val="right"/>
              <w:rPr>
                <w:sz w:val="22"/>
                <w:szCs w:val="22"/>
              </w:rPr>
            </w:pPr>
            <w:r>
              <w:rPr>
                <w:rFonts w:cs="Calibri"/>
                <w:color w:val="000000"/>
                <w:sz w:val="22"/>
                <w:szCs w:val="22"/>
              </w:rPr>
              <w:t>84</w:t>
            </w:r>
          </w:p>
        </w:tc>
        <w:tc>
          <w:tcPr>
            <w:tcW w:w="1559" w:type="dxa"/>
          </w:tcPr>
          <w:p w14:paraId="6BD915A5" w14:textId="52F06C56" w:rsidR="00A4290E" w:rsidRPr="006F2FFB" w:rsidRDefault="00A4290E" w:rsidP="00A4290E">
            <w:pPr>
              <w:jc w:val="right"/>
              <w:rPr>
                <w:sz w:val="22"/>
                <w:szCs w:val="22"/>
              </w:rPr>
            </w:pPr>
            <w:r>
              <w:rPr>
                <w:rFonts w:cs="Calibri"/>
                <w:color w:val="000000"/>
                <w:sz w:val="22"/>
                <w:szCs w:val="22"/>
              </w:rPr>
              <w:t>8</w:t>
            </w:r>
          </w:p>
        </w:tc>
        <w:tc>
          <w:tcPr>
            <w:tcW w:w="1701" w:type="dxa"/>
          </w:tcPr>
          <w:p w14:paraId="0220560D" w14:textId="44BBCAD8" w:rsidR="00A4290E" w:rsidRPr="006F2FFB" w:rsidRDefault="00A4290E" w:rsidP="00A4290E">
            <w:pPr>
              <w:jc w:val="right"/>
              <w:rPr>
                <w:sz w:val="22"/>
                <w:szCs w:val="22"/>
              </w:rPr>
            </w:pPr>
            <w:r>
              <w:rPr>
                <w:rFonts w:cs="Calibri"/>
                <w:color w:val="000000"/>
                <w:sz w:val="22"/>
                <w:szCs w:val="22"/>
              </w:rPr>
              <w:t>9.5%</w:t>
            </w:r>
          </w:p>
        </w:tc>
      </w:tr>
      <w:tr w:rsidR="00A4290E" w:rsidRPr="006F2FFB" w14:paraId="3F7FD185" w14:textId="77777777" w:rsidTr="000B04F5">
        <w:trPr>
          <w:jc w:val="center"/>
        </w:trPr>
        <w:tc>
          <w:tcPr>
            <w:tcW w:w="1706" w:type="dxa"/>
            <w:vAlign w:val="bottom"/>
          </w:tcPr>
          <w:p w14:paraId="3A7D3CB3" w14:textId="7CF35051" w:rsidR="00A4290E" w:rsidRPr="006F2FFB" w:rsidRDefault="00A4290E" w:rsidP="00A4290E">
            <w:pPr>
              <w:rPr>
                <w:sz w:val="22"/>
                <w:szCs w:val="22"/>
              </w:rPr>
            </w:pPr>
            <w:r w:rsidRPr="006F2FFB">
              <w:rPr>
                <w:rFonts w:cs="Calibri"/>
                <w:color w:val="000000"/>
                <w:sz w:val="22"/>
                <w:szCs w:val="22"/>
              </w:rPr>
              <w:t>Law Reform Commission</w:t>
            </w:r>
          </w:p>
        </w:tc>
        <w:tc>
          <w:tcPr>
            <w:tcW w:w="1701" w:type="dxa"/>
          </w:tcPr>
          <w:p w14:paraId="718E768A" w14:textId="3822E02F" w:rsidR="00A4290E" w:rsidRPr="006F2FFB" w:rsidRDefault="00A4290E" w:rsidP="00A4290E">
            <w:pPr>
              <w:jc w:val="right"/>
              <w:rPr>
                <w:sz w:val="22"/>
                <w:szCs w:val="22"/>
              </w:rPr>
            </w:pPr>
            <w:r w:rsidRPr="006F2FFB">
              <w:rPr>
                <w:rFonts w:cs="Calibri"/>
                <w:color w:val="000000"/>
                <w:sz w:val="22"/>
                <w:szCs w:val="22"/>
              </w:rPr>
              <w:t>20</w:t>
            </w:r>
          </w:p>
        </w:tc>
        <w:tc>
          <w:tcPr>
            <w:tcW w:w="1418" w:type="dxa"/>
          </w:tcPr>
          <w:p w14:paraId="01669255" w14:textId="5837545A" w:rsidR="00A4290E" w:rsidRPr="006F2FFB" w:rsidRDefault="00A4290E" w:rsidP="00A4290E">
            <w:pPr>
              <w:spacing w:after="0"/>
              <w:jc w:val="right"/>
              <w:rPr>
                <w:sz w:val="22"/>
                <w:szCs w:val="22"/>
              </w:rPr>
            </w:pPr>
            <w:r w:rsidRPr="006F2FFB">
              <w:rPr>
                <w:rFonts w:cs="Calibri"/>
                <w:color w:val="000000"/>
                <w:sz w:val="22"/>
                <w:szCs w:val="22"/>
              </w:rPr>
              <w:t>1</w:t>
            </w:r>
          </w:p>
        </w:tc>
        <w:tc>
          <w:tcPr>
            <w:tcW w:w="1559" w:type="dxa"/>
          </w:tcPr>
          <w:p w14:paraId="570886A4" w14:textId="253C07D2" w:rsidR="00A4290E" w:rsidRPr="006F2FFB" w:rsidRDefault="00A4290E" w:rsidP="00A4290E">
            <w:pPr>
              <w:jc w:val="right"/>
              <w:rPr>
                <w:sz w:val="22"/>
                <w:szCs w:val="22"/>
              </w:rPr>
            </w:pPr>
            <w:r w:rsidRPr="006F2FFB">
              <w:rPr>
                <w:rFonts w:cs="Calibri"/>
                <w:color w:val="000000"/>
                <w:sz w:val="22"/>
                <w:szCs w:val="22"/>
              </w:rPr>
              <w:t>5.0%</w:t>
            </w:r>
          </w:p>
        </w:tc>
        <w:tc>
          <w:tcPr>
            <w:tcW w:w="1701" w:type="dxa"/>
          </w:tcPr>
          <w:p w14:paraId="7D223185" w14:textId="06FDF4F4" w:rsidR="00A4290E" w:rsidRPr="006F2FFB" w:rsidRDefault="00A4290E" w:rsidP="00A4290E">
            <w:pPr>
              <w:jc w:val="right"/>
              <w:rPr>
                <w:sz w:val="22"/>
                <w:szCs w:val="22"/>
              </w:rPr>
            </w:pPr>
            <w:r>
              <w:rPr>
                <w:rFonts w:cs="Calibri"/>
                <w:color w:val="000000"/>
                <w:sz w:val="22"/>
                <w:szCs w:val="22"/>
              </w:rPr>
              <w:t>20</w:t>
            </w:r>
          </w:p>
        </w:tc>
        <w:tc>
          <w:tcPr>
            <w:tcW w:w="1559" w:type="dxa"/>
          </w:tcPr>
          <w:p w14:paraId="23D2AEDC" w14:textId="6C7901EC" w:rsidR="00A4290E" w:rsidRPr="006F2FFB" w:rsidRDefault="00A4290E" w:rsidP="00A4290E">
            <w:pPr>
              <w:jc w:val="right"/>
              <w:rPr>
                <w:sz w:val="22"/>
                <w:szCs w:val="22"/>
              </w:rPr>
            </w:pPr>
            <w:r>
              <w:rPr>
                <w:rFonts w:cs="Calibri"/>
                <w:color w:val="000000"/>
                <w:sz w:val="22"/>
                <w:szCs w:val="22"/>
              </w:rPr>
              <w:t>1</w:t>
            </w:r>
          </w:p>
        </w:tc>
        <w:tc>
          <w:tcPr>
            <w:tcW w:w="1701" w:type="dxa"/>
          </w:tcPr>
          <w:p w14:paraId="648AE4FE" w14:textId="73618D0B" w:rsidR="00A4290E" w:rsidRPr="006F2FFB" w:rsidRDefault="00A4290E" w:rsidP="00A4290E">
            <w:pPr>
              <w:jc w:val="right"/>
              <w:rPr>
                <w:sz w:val="22"/>
                <w:szCs w:val="22"/>
              </w:rPr>
            </w:pPr>
            <w:r>
              <w:rPr>
                <w:rFonts w:cs="Calibri"/>
                <w:color w:val="000000"/>
                <w:sz w:val="22"/>
                <w:szCs w:val="22"/>
              </w:rPr>
              <w:t>5.0%</w:t>
            </w:r>
          </w:p>
        </w:tc>
      </w:tr>
      <w:tr w:rsidR="00A4290E" w:rsidRPr="006F2FFB" w14:paraId="69355A26" w14:textId="77777777" w:rsidTr="000B04F5">
        <w:trPr>
          <w:jc w:val="center"/>
        </w:trPr>
        <w:tc>
          <w:tcPr>
            <w:tcW w:w="1706" w:type="dxa"/>
            <w:vAlign w:val="bottom"/>
          </w:tcPr>
          <w:p w14:paraId="468864A4" w14:textId="25118A58" w:rsidR="00A4290E" w:rsidRPr="006F2FFB" w:rsidRDefault="008363FF" w:rsidP="00A4290E">
            <w:pPr>
              <w:rPr>
                <w:sz w:val="22"/>
                <w:szCs w:val="22"/>
              </w:rPr>
            </w:pPr>
            <w:r w:rsidRPr="008363FF">
              <w:rPr>
                <w:rFonts w:cs="Calibri"/>
                <w:b/>
                <w:bCs/>
                <w:color w:val="000000"/>
                <w:sz w:val="22"/>
                <w:szCs w:val="22"/>
              </w:rPr>
              <w:t>*</w:t>
            </w:r>
            <w:r w:rsidR="00A4290E" w:rsidRPr="006F2FFB">
              <w:rPr>
                <w:rFonts w:cs="Calibri"/>
                <w:color w:val="000000"/>
                <w:sz w:val="22"/>
                <w:szCs w:val="22"/>
              </w:rPr>
              <w:t>Legal Aid Board</w:t>
            </w:r>
          </w:p>
        </w:tc>
        <w:tc>
          <w:tcPr>
            <w:tcW w:w="1701" w:type="dxa"/>
          </w:tcPr>
          <w:p w14:paraId="7989C0AA" w14:textId="54874DF4" w:rsidR="00A4290E" w:rsidRPr="006F2FFB" w:rsidRDefault="00A4290E" w:rsidP="00A4290E">
            <w:pPr>
              <w:jc w:val="right"/>
              <w:rPr>
                <w:sz w:val="22"/>
                <w:szCs w:val="22"/>
              </w:rPr>
            </w:pPr>
            <w:r w:rsidRPr="006F2FFB">
              <w:rPr>
                <w:rFonts w:cs="Calibri"/>
                <w:color w:val="000000"/>
                <w:sz w:val="22"/>
                <w:szCs w:val="22"/>
              </w:rPr>
              <w:t>483</w:t>
            </w:r>
          </w:p>
        </w:tc>
        <w:tc>
          <w:tcPr>
            <w:tcW w:w="1418" w:type="dxa"/>
          </w:tcPr>
          <w:p w14:paraId="34B138D6" w14:textId="073F3339" w:rsidR="00A4290E" w:rsidRPr="006F2FFB" w:rsidRDefault="00A4290E" w:rsidP="00A4290E">
            <w:pPr>
              <w:spacing w:after="0"/>
              <w:jc w:val="right"/>
              <w:rPr>
                <w:sz w:val="22"/>
                <w:szCs w:val="22"/>
              </w:rPr>
            </w:pPr>
            <w:r w:rsidRPr="006F2FFB">
              <w:rPr>
                <w:rFonts w:cs="Calibri"/>
                <w:color w:val="000000"/>
                <w:sz w:val="22"/>
                <w:szCs w:val="22"/>
              </w:rPr>
              <w:t>18</w:t>
            </w:r>
          </w:p>
        </w:tc>
        <w:tc>
          <w:tcPr>
            <w:tcW w:w="1559" w:type="dxa"/>
          </w:tcPr>
          <w:p w14:paraId="0DDE45FB" w14:textId="7CB04B7D" w:rsidR="00A4290E" w:rsidRPr="006F2FFB" w:rsidRDefault="00A4290E" w:rsidP="00A4290E">
            <w:pPr>
              <w:jc w:val="right"/>
              <w:rPr>
                <w:sz w:val="22"/>
                <w:szCs w:val="22"/>
              </w:rPr>
            </w:pPr>
            <w:r w:rsidRPr="006F2FFB">
              <w:rPr>
                <w:rFonts w:cs="Calibri"/>
                <w:color w:val="000000"/>
                <w:sz w:val="22"/>
                <w:szCs w:val="22"/>
              </w:rPr>
              <w:t>3.7%</w:t>
            </w:r>
          </w:p>
        </w:tc>
        <w:tc>
          <w:tcPr>
            <w:tcW w:w="1701" w:type="dxa"/>
          </w:tcPr>
          <w:p w14:paraId="232F78AA" w14:textId="57AAF96C" w:rsidR="00A4290E" w:rsidRPr="006F2FFB" w:rsidRDefault="00A4290E" w:rsidP="00A4290E">
            <w:pPr>
              <w:jc w:val="right"/>
              <w:rPr>
                <w:sz w:val="22"/>
                <w:szCs w:val="22"/>
              </w:rPr>
            </w:pPr>
            <w:r>
              <w:rPr>
                <w:rFonts w:cs="Calibri"/>
                <w:color w:val="000000"/>
                <w:sz w:val="22"/>
                <w:szCs w:val="22"/>
              </w:rPr>
              <w:t>526</w:t>
            </w:r>
          </w:p>
        </w:tc>
        <w:tc>
          <w:tcPr>
            <w:tcW w:w="1559" w:type="dxa"/>
          </w:tcPr>
          <w:p w14:paraId="6F34DA5C" w14:textId="794B9D0A" w:rsidR="00A4290E" w:rsidRPr="006F2FFB" w:rsidRDefault="00A4290E" w:rsidP="00A4290E">
            <w:pPr>
              <w:jc w:val="right"/>
              <w:rPr>
                <w:sz w:val="22"/>
                <w:szCs w:val="22"/>
              </w:rPr>
            </w:pPr>
            <w:r>
              <w:rPr>
                <w:rFonts w:cs="Calibri"/>
                <w:color w:val="000000"/>
                <w:sz w:val="22"/>
                <w:szCs w:val="22"/>
              </w:rPr>
              <w:t>33</w:t>
            </w:r>
          </w:p>
        </w:tc>
        <w:tc>
          <w:tcPr>
            <w:tcW w:w="1701" w:type="dxa"/>
          </w:tcPr>
          <w:p w14:paraId="59A9FBFF" w14:textId="006CD144" w:rsidR="00A4290E" w:rsidRPr="006F2FFB" w:rsidRDefault="00A4290E" w:rsidP="00A4290E">
            <w:pPr>
              <w:jc w:val="right"/>
              <w:rPr>
                <w:sz w:val="22"/>
                <w:szCs w:val="22"/>
              </w:rPr>
            </w:pPr>
            <w:r>
              <w:rPr>
                <w:rFonts w:cs="Calibri"/>
                <w:color w:val="000000"/>
                <w:sz w:val="22"/>
                <w:szCs w:val="22"/>
              </w:rPr>
              <w:t>6.3%</w:t>
            </w:r>
          </w:p>
        </w:tc>
      </w:tr>
      <w:tr w:rsidR="00A4290E" w:rsidRPr="006F2FFB" w14:paraId="38676C19" w14:textId="77777777" w:rsidTr="000B04F5">
        <w:trPr>
          <w:jc w:val="center"/>
        </w:trPr>
        <w:tc>
          <w:tcPr>
            <w:tcW w:w="1706" w:type="dxa"/>
            <w:vAlign w:val="bottom"/>
          </w:tcPr>
          <w:p w14:paraId="5B94FE88" w14:textId="1C057411" w:rsidR="00A4290E" w:rsidRPr="006F2FFB" w:rsidRDefault="00A4290E" w:rsidP="00A4290E">
            <w:pPr>
              <w:rPr>
                <w:sz w:val="22"/>
                <w:szCs w:val="22"/>
              </w:rPr>
            </w:pPr>
            <w:r w:rsidRPr="006F2FFB">
              <w:rPr>
                <w:rFonts w:cs="Calibri"/>
                <w:color w:val="000000"/>
                <w:sz w:val="22"/>
                <w:szCs w:val="22"/>
              </w:rPr>
              <w:t>National Council for Curriculum &amp; Assessment</w:t>
            </w:r>
          </w:p>
        </w:tc>
        <w:tc>
          <w:tcPr>
            <w:tcW w:w="1701" w:type="dxa"/>
          </w:tcPr>
          <w:p w14:paraId="7DF58B48" w14:textId="2C76BEF5" w:rsidR="00A4290E" w:rsidRPr="006F2FFB" w:rsidRDefault="00A4290E" w:rsidP="00A4290E">
            <w:pPr>
              <w:jc w:val="right"/>
              <w:rPr>
                <w:sz w:val="22"/>
                <w:szCs w:val="22"/>
              </w:rPr>
            </w:pPr>
            <w:r w:rsidRPr="006F2FFB">
              <w:rPr>
                <w:rFonts w:cs="Calibri"/>
                <w:color w:val="000000"/>
                <w:sz w:val="22"/>
                <w:szCs w:val="22"/>
              </w:rPr>
              <w:t>45</w:t>
            </w:r>
          </w:p>
        </w:tc>
        <w:tc>
          <w:tcPr>
            <w:tcW w:w="1418" w:type="dxa"/>
          </w:tcPr>
          <w:p w14:paraId="4FED4E3A" w14:textId="2CA552ED" w:rsidR="00A4290E" w:rsidRPr="006F2FFB" w:rsidRDefault="00A4290E" w:rsidP="00A4290E">
            <w:pPr>
              <w:spacing w:after="0"/>
              <w:jc w:val="right"/>
              <w:rPr>
                <w:sz w:val="22"/>
                <w:szCs w:val="22"/>
              </w:rPr>
            </w:pPr>
            <w:r w:rsidRPr="006F2FFB">
              <w:rPr>
                <w:rFonts w:cs="Calibri"/>
                <w:color w:val="000000"/>
                <w:sz w:val="22"/>
                <w:szCs w:val="22"/>
              </w:rPr>
              <w:t>3</w:t>
            </w:r>
          </w:p>
        </w:tc>
        <w:tc>
          <w:tcPr>
            <w:tcW w:w="1559" w:type="dxa"/>
          </w:tcPr>
          <w:p w14:paraId="5DDEF7B0" w14:textId="72B15650" w:rsidR="00A4290E" w:rsidRPr="006F2FFB" w:rsidRDefault="00A4290E" w:rsidP="00A4290E">
            <w:pPr>
              <w:jc w:val="right"/>
              <w:rPr>
                <w:sz w:val="22"/>
                <w:szCs w:val="22"/>
              </w:rPr>
            </w:pPr>
            <w:r w:rsidRPr="006F2FFB">
              <w:rPr>
                <w:rFonts w:cs="Calibri"/>
                <w:color w:val="000000"/>
                <w:sz w:val="22"/>
                <w:szCs w:val="22"/>
              </w:rPr>
              <w:t>6.7%</w:t>
            </w:r>
          </w:p>
        </w:tc>
        <w:tc>
          <w:tcPr>
            <w:tcW w:w="1701" w:type="dxa"/>
          </w:tcPr>
          <w:p w14:paraId="4DD0F500" w14:textId="552F9AB2" w:rsidR="00A4290E" w:rsidRPr="006F2FFB" w:rsidRDefault="00A4290E" w:rsidP="00A4290E">
            <w:pPr>
              <w:jc w:val="right"/>
              <w:rPr>
                <w:rFonts w:cs="Calibri"/>
                <w:color w:val="000000"/>
                <w:sz w:val="22"/>
                <w:szCs w:val="22"/>
              </w:rPr>
            </w:pPr>
            <w:r>
              <w:rPr>
                <w:rFonts w:cs="Calibri"/>
                <w:color w:val="000000"/>
                <w:sz w:val="22"/>
                <w:szCs w:val="22"/>
              </w:rPr>
              <w:t>55</w:t>
            </w:r>
          </w:p>
        </w:tc>
        <w:tc>
          <w:tcPr>
            <w:tcW w:w="1559" w:type="dxa"/>
          </w:tcPr>
          <w:p w14:paraId="6453E793" w14:textId="64D46E75" w:rsidR="00A4290E" w:rsidRPr="006F2FFB" w:rsidRDefault="00A4290E" w:rsidP="00A4290E">
            <w:pPr>
              <w:jc w:val="right"/>
              <w:rPr>
                <w:rFonts w:cs="Calibri"/>
                <w:color w:val="000000"/>
                <w:sz w:val="22"/>
                <w:szCs w:val="22"/>
              </w:rPr>
            </w:pPr>
            <w:r>
              <w:rPr>
                <w:rFonts w:cs="Calibri"/>
                <w:color w:val="000000"/>
                <w:sz w:val="22"/>
                <w:szCs w:val="22"/>
              </w:rPr>
              <w:t>3</w:t>
            </w:r>
          </w:p>
        </w:tc>
        <w:tc>
          <w:tcPr>
            <w:tcW w:w="1701" w:type="dxa"/>
          </w:tcPr>
          <w:p w14:paraId="01E7E5CC" w14:textId="69A4D154" w:rsidR="00A4290E" w:rsidRPr="006F2FFB" w:rsidRDefault="00A4290E" w:rsidP="00A4290E">
            <w:pPr>
              <w:jc w:val="right"/>
              <w:rPr>
                <w:rFonts w:cs="Calibri"/>
                <w:color w:val="000000"/>
                <w:sz w:val="22"/>
                <w:szCs w:val="22"/>
              </w:rPr>
            </w:pPr>
            <w:r>
              <w:rPr>
                <w:rFonts w:cs="Calibri"/>
                <w:color w:val="000000"/>
                <w:sz w:val="22"/>
                <w:szCs w:val="22"/>
              </w:rPr>
              <w:t>5.5%</w:t>
            </w:r>
          </w:p>
        </w:tc>
      </w:tr>
      <w:tr w:rsidR="00A4290E" w:rsidRPr="006F2FFB" w14:paraId="15A8907D" w14:textId="77777777" w:rsidTr="000B04F5">
        <w:trPr>
          <w:jc w:val="center"/>
        </w:trPr>
        <w:tc>
          <w:tcPr>
            <w:tcW w:w="1706" w:type="dxa"/>
            <w:vAlign w:val="bottom"/>
          </w:tcPr>
          <w:p w14:paraId="2424F215" w14:textId="18425EC9" w:rsidR="00A4290E" w:rsidRPr="006F2FFB" w:rsidRDefault="00A4290E" w:rsidP="00A4290E">
            <w:pPr>
              <w:spacing w:after="0"/>
              <w:rPr>
                <w:sz w:val="22"/>
                <w:szCs w:val="22"/>
              </w:rPr>
            </w:pPr>
            <w:r w:rsidRPr="006F2FFB">
              <w:rPr>
                <w:rFonts w:cs="Calibri"/>
                <w:color w:val="000000"/>
                <w:sz w:val="22"/>
                <w:szCs w:val="22"/>
              </w:rPr>
              <w:t>National Council for Special Education</w:t>
            </w:r>
          </w:p>
        </w:tc>
        <w:tc>
          <w:tcPr>
            <w:tcW w:w="1701" w:type="dxa"/>
          </w:tcPr>
          <w:p w14:paraId="3867E74C" w14:textId="4C9E8F96" w:rsidR="00A4290E" w:rsidRPr="006F2FFB" w:rsidRDefault="00A4290E" w:rsidP="00A4290E">
            <w:pPr>
              <w:spacing w:after="0"/>
              <w:jc w:val="right"/>
              <w:rPr>
                <w:sz w:val="22"/>
                <w:szCs w:val="22"/>
              </w:rPr>
            </w:pPr>
            <w:r w:rsidRPr="006F2FFB">
              <w:rPr>
                <w:rFonts w:cs="Calibri"/>
                <w:color w:val="000000"/>
                <w:sz w:val="22"/>
                <w:szCs w:val="22"/>
              </w:rPr>
              <w:t>239</w:t>
            </w:r>
          </w:p>
        </w:tc>
        <w:tc>
          <w:tcPr>
            <w:tcW w:w="1418" w:type="dxa"/>
          </w:tcPr>
          <w:p w14:paraId="05211605" w14:textId="1CFA0AC1" w:rsidR="00A4290E" w:rsidRPr="006F2FFB" w:rsidRDefault="00A4290E" w:rsidP="00A4290E">
            <w:pPr>
              <w:spacing w:after="0"/>
              <w:jc w:val="right"/>
              <w:rPr>
                <w:sz w:val="22"/>
                <w:szCs w:val="22"/>
              </w:rPr>
            </w:pPr>
            <w:r w:rsidRPr="006F2FFB">
              <w:rPr>
                <w:rFonts w:cs="Calibri"/>
                <w:color w:val="000000"/>
                <w:sz w:val="22"/>
                <w:szCs w:val="22"/>
              </w:rPr>
              <w:t>6</w:t>
            </w:r>
          </w:p>
        </w:tc>
        <w:tc>
          <w:tcPr>
            <w:tcW w:w="1559" w:type="dxa"/>
          </w:tcPr>
          <w:p w14:paraId="61567543" w14:textId="78283D29" w:rsidR="00A4290E" w:rsidRPr="006F2FFB" w:rsidRDefault="00A4290E" w:rsidP="00A4290E">
            <w:pPr>
              <w:spacing w:after="0"/>
              <w:jc w:val="right"/>
              <w:rPr>
                <w:sz w:val="22"/>
                <w:szCs w:val="22"/>
              </w:rPr>
            </w:pPr>
            <w:r w:rsidRPr="006F2FFB">
              <w:rPr>
                <w:rFonts w:cs="Calibri"/>
                <w:color w:val="000000"/>
                <w:sz w:val="22"/>
                <w:szCs w:val="22"/>
              </w:rPr>
              <w:t>2.5%</w:t>
            </w:r>
          </w:p>
        </w:tc>
        <w:tc>
          <w:tcPr>
            <w:tcW w:w="1701" w:type="dxa"/>
          </w:tcPr>
          <w:p w14:paraId="4CDD7510" w14:textId="1E4E7F2D" w:rsidR="00A4290E" w:rsidRPr="006F2FFB" w:rsidRDefault="00A4290E" w:rsidP="00A4290E">
            <w:pPr>
              <w:spacing w:after="0"/>
              <w:jc w:val="right"/>
              <w:rPr>
                <w:rFonts w:cs="Calibri"/>
                <w:color w:val="000000"/>
                <w:sz w:val="22"/>
                <w:szCs w:val="22"/>
              </w:rPr>
            </w:pPr>
            <w:r>
              <w:rPr>
                <w:rFonts w:cs="Calibri"/>
                <w:color w:val="000000"/>
                <w:sz w:val="22"/>
                <w:szCs w:val="22"/>
              </w:rPr>
              <w:t>243</w:t>
            </w:r>
          </w:p>
        </w:tc>
        <w:tc>
          <w:tcPr>
            <w:tcW w:w="1559" w:type="dxa"/>
          </w:tcPr>
          <w:p w14:paraId="66E0CBF7" w14:textId="449E7903" w:rsidR="00A4290E" w:rsidRPr="006F2FFB" w:rsidRDefault="00A4290E" w:rsidP="00A4290E">
            <w:pPr>
              <w:spacing w:after="0"/>
              <w:jc w:val="right"/>
              <w:rPr>
                <w:rFonts w:cs="Calibri"/>
                <w:color w:val="000000"/>
                <w:sz w:val="22"/>
                <w:szCs w:val="22"/>
              </w:rPr>
            </w:pPr>
            <w:r>
              <w:rPr>
                <w:rFonts w:cs="Calibri"/>
                <w:color w:val="000000"/>
                <w:sz w:val="22"/>
                <w:szCs w:val="22"/>
              </w:rPr>
              <w:t>21</w:t>
            </w:r>
          </w:p>
        </w:tc>
        <w:tc>
          <w:tcPr>
            <w:tcW w:w="1701" w:type="dxa"/>
          </w:tcPr>
          <w:p w14:paraId="58FDA4CF" w14:textId="72FF631F" w:rsidR="00A4290E" w:rsidRPr="006F2FFB" w:rsidRDefault="00A4290E" w:rsidP="00A4290E">
            <w:pPr>
              <w:spacing w:after="0"/>
              <w:jc w:val="right"/>
              <w:rPr>
                <w:rFonts w:cs="Calibri"/>
                <w:color w:val="000000"/>
                <w:sz w:val="22"/>
                <w:szCs w:val="22"/>
              </w:rPr>
            </w:pPr>
            <w:r>
              <w:rPr>
                <w:rFonts w:cs="Calibri"/>
                <w:color w:val="000000"/>
                <w:sz w:val="22"/>
                <w:szCs w:val="22"/>
              </w:rPr>
              <w:t>8.6%</w:t>
            </w:r>
          </w:p>
        </w:tc>
      </w:tr>
      <w:tr w:rsidR="00A4290E" w:rsidRPr="006F2FFB" w14:paraId="1272A7CC" w14:textId="77777777" w:rsidTr="000B04F5">
        <w:trPr>
          <w:jc w:val="center"/>
        </w:trPr>
        <w:tc>
          <w:tcPr>
            <w:tcW w:w="1706" w:type="dxa"/>
            <w:vAlign w:val="bottom"/>
          </w:tcPr>
          <w:p w14:paraId="440F23ED" w14:textId="453AF7BF" w:rsidR="00A4290E" w:rsidRPr="006F2FFB" w:rsidRDefault="00A4290E" w:rsidP="00A4290E">
            <w:pPr>
              <w:rPr>
                <w:sz w:val="22"/>
                <w:szCs w:val="22"/>
              </w:rPr>
            </w:pPr>
            <w:r w:rsidRPr="006F2FFB">
              <w:rPr>
                <w:rFonts w:cs="Calibri"/>
                <w:color w:val="000000"/>
                <w:sz w:val="22"/>
                <w:szCs w:val="22"/>
              </w:rPr>
              <w:t>National Shared Services Office</w:t>
            </w:r>
          </w:p>
        </w:tc>
        <w:tc>
          <w:tcPr>
            <w:tcW w:w="1701" w:type="dxa"/>
          </w:tcPr>
          <w:p w14:paraId="13E20A60" w14:textId="569CF86B" w:rsidR="00A4290E" w:rsidRPr="006F2FFB" w:rsidRDefault="00A4290E" w:rsidP="00A4290E">
            <w:pPr>
              <w:spacing w:after="0"/>
              <w:jc w:val="right"/>
              <w:rPr>
                <w:sz w:val="22"/>
                <w:szCs w:val="22"/>
              </w:rPr>
            </w:pPr>
            <w:r w:rsidRPr="006F2FFB">
              <w:rPr>
                <w:rFonts w:cs="Calibri"/>
                <w:color w:val="000000"/>
                <w:sz w:val="22"/>
                <w:szCs w:val="22"/>
              </w:rPr>
              <w:t>758</w:t>
            </w:r>
          </w:p>
        </w:tc>
        <w:tc>
          <w:tcPr>
            <w:tcW w:w="1418" w:type="dxa"/>
          </w:tcPr>
          <w:p w14:paraId="61B4BF18" w14:textId="29441868" w:rsidR="00A4290E" w:rsidRPr="006F2FFB" w:rsidRDefault="00A4290E" w:rsidP="00A4290E">
            <w:pPr>
              <w:spacing w:after="0"/>
              <w:jc w:val="right"/>
              <w:rPr>
                <w:sz w:val="22"/>
                <w:szCs w:val="22"/>
              </w:rPr>
            </w:pPr>
            <w:r w:rsidRPr="006F2FFB">
              <w:rPr>
                <w:rFonts w:cs="Calibri"/>
                <w:color w:val="000000"/>
                <w:sz w:val="22"/>
                <w:szCs w:val="22"/>
              </w:rPr>
              <w:t>34</w:t>
            </w:r>
          </w:p>
        </w:tc>
        <w:tc>
          <w:tcPr>
            <w:tcW w:w="1559" w:type="dxa"/>
          </w:tcPr>
          <w:p w14:paraId="6E13DABA" w14:textId="3C1CEA3E" w:rsidR="00A4290E" w:rsidRPr="006F2FFB" w:rsidRDefault="00A4290E" w:rsidP="00A4290E">
            <w:pPr>
              <w:spacing w:after="0"/>
              <w:jc w:val="right"/>
              <w:rPr>
                <w:sz w:val="22"/>
                <w:szCs w:val="22"/>
              </w:rPr>
            </w:pPr>
            <w:r w:rsidRPr="006F2FFB">
              <w:rPr>
                <w:rFonts w:cs="Calibri"/>
                <w:color w:val="000000"/>
                <w:sz w:val="22"/>
                <w:szCs w:val="22"/>
              </w:rPr>
              <w:t>4.5%</w:t>
            </w:r>
          </w:p>
        </w:tc>
        <w:tc>
          <w:tcPr>
            <w:tcW w:w="1701" w:type="dxa"/>
          </w:tcPr>
          <w:p w14:paraId="0ABAF7B3" w14:textId="44719306" w:rsidR="00A4290E" w:rsidRPr="006F2FFB" w:rsidRDefault="00A4290E" w:rsidP="00A4290E">
            <w:pPr>
              <w:spacing w:after="0"/>
              <w:jc w:val="right"/>
              <w:rPr>
                <w:rFonts w:cs="Calibri"/>
                <w:color w:val="000000"/>
                <w:sz w:val="22"/>
                <w:szCs w:val="22"/>
              </w:rPr>
            </w:pPr>
            <w:r>
              <w:rPr>
                <w:rFonts w:cs="Calibri"/>
                <w:color w:val="000000"/>
                <w:sz w:val="22"/>
                <w:szCs w:val="22"/>
              </w:rPr>
              <w:t>827</w:t>
            </w:r>
          </w:p>
        </w:tc>
        <w:tc>
          <w:tcPr>
            <w:tcW w:w="1559" w:type="dxa"/>
          </w:tcPr>
          <w:p w14:paraId="41BD57AF" w14:textId="0E954142" w:rsidR="00A4290E" w:rsidRPr="006F2FFB" w:rsidRDefault="00A4290E" w:rsidP="00A4290E">
            <w:pPr>
              <w:spacing w:after="0"/>
              <w:jc w:val="right"/>
              <w:rPr>
                <w:rFonts w:cs="Calibri"/>
                <w:color w:val="000000"/>
                <w:sz w:val="22"/>
                <w:szCs w:val="22"/>
              </w:rPr>
            </w:pPr>
            <w:r>
              <w:rPr>
                <w:rFonts w:cs="Calibri"/>
                <w:color w:val="000000"/>
                <w:sz w:val="22"/>
                <w:szCs w:val="22"/>
              </w:rPr>
              <w:t>54</w:t>
            </w:r>
          </w:p>
        </w:tc>
        <w:tc>
          <w:tcPr>
            <w:tcW w:w="1701" w:type="dxa"/>
          </w:tcPr>
          <w:p w14:paraId="17D99D42" w14:textId="4A8A9F3C" w:rsidR="00A4290E" w:rsidRPr="006F2FFB" w:rsidRDefault="00A4290E" w:rsidP="00A4290E">
            <w:pPr>
              <w:spacing w:after="0"/>
              <w:jc w:val="right"/>
              <w:rPr>
                <w:rFonts w:cs="Calibri"/>
                <w:color w:val="000000"/>
                <w:sz w:val="22"/>
                <w:szCs w:val="22"/>
              </w:rPr>
            </w:pPr>
            <w:r>
              <w:rPr>
                <w:rFonts w:cs="Calibri"/>
                <w:color w:val="000000"/>
                <w:sz w:val="22"/>
                <w:szCs w:val="22"/>
              </w:rPr>
              <w:t>6.5%</w:t>
            </w:r>
          </w:p>
        </w:tc>
      </w:tr>
      <w:tr w:rsidR="00A4290E" w:rsidRPr="006F2FFB" w14:paraId="52C428F7" w14:textId="77777777" w:rsidTr="000B04F5">
        <w:trPr>
          <w:jc w:val="center"/>
        </w:trPr>
        <w:tc>
          <w:tcPr>
            <w:tcW w:w="1706" w:type="dxa"/>
            <w:vAlign w:val="bottom"/>
          </w:tcPr>
          <w:p w14:paraId="447784C7" w14:textId="023F331B" w:rsidR="00A4290E" w:rsidRPr="006F2FFB" w:rsidRDefault="00A4290E" w:rsidP="00A4290E">
            <w:pPr>
              <w:spacing w:after="0"/>
              <w:rPr>
                <w:sz w:val="22"/>
                <w:szCs w:val="22"/>
              </w:rPr>
            </w:pPr>
            <w:r w:rsidRPr="006F2FFB">
              <w:rPr>
                <w:rFonts w:cs="Calibri"/>
                <w:color w:val="000000"/>
                <w:sz w:val="22"/>
                <w:szCs w:val="22"/>
              </w:rPr>
              <w:t>Office of Government Procurement</w:t>
            </w:r>
          </w:p>
        </w:tc>
        <w:tc>
          <w:tcPr>
            <w:tcW w:w="1701" w:type="dxa"/>
          </w:tcPr>
          <w:p w14:paraId="382D9EEF" w14:textId="5CFC2F11" w:rsidR="00A4290E" w:rsidRPr="006F2FFB" w:rsidRDefault="00A4290E" w:rsidP="00A4290E">
            <w:pPr>
              <w:spacing w:after="0"/>
              <w:jc w:val="right"/>
              <w:rPr>
                <w:sz w:val="22"/>
                <w:szCs w:val="22"/>
              </w:rPr>
            </w:pPr>
            <w:r w:rsidRPr="006F2FFB">
              <w:rPr>
                <w:rFonts w:cs="Calibri"/>
                <w:color w:val="000000"/>
                <w:sz w:val="22"/>
                <w:szCs w:val="22"/>
              </w:rPr>
              <w:t>243</w:t>
            </w:r>
          </w:p>
        </w:tc>
        <w:tc>
          <w:tcPr>
            <w:tcW w:w="1418" w:type="dxa"/>
          </w:tcPr>
          <w:p w14:paraId="49370C18" w14:textId="7E519405" w:rsidR="00A4290E" w:rsidRPr="006F2FFB" w:rsidRDefault="00A4290E" w:rsidP="00A4290E">
            <w:pPr>
              <w:spacing w:after="0"/>
              <w:jc w:val="right"/>
              <w:rPr>
                <w:sz w:val="22"/>
                <w:szCs w:val="22"/>
              </w:rPr>
            </w:pPr>
            <w:r w:rsidRPr="006F2FFB">
              <w:rPr>
                <w:rFonts w:cs="Calibri"/>
                <w:color w:val="000000"/>
                <w:sz w:val="22"/>
                <w:szCs w:val="22"/>
              </w:rPr>
              <w:t>19</w:t>
            </w:r>
          </w:p>
        </w:tc>
        <w:tc>
          <w:tcPr>
            <w:tcW w:w="1559" w:type="dxa"/>
          </w:tcPr>
          <w:p w14:paraId="5FD7C351" w14:textId="4FEB8DF9" w:rsidR="00A4290E" w:rsidRPr="006F2FFB" w:rsidRDefault="00A4290E" w:rsidP="00A4290E">
            <w:pPr>
              <w:spacing w:after="0"/>
              <w:jc w:val="right"/>
              <w:rPr>
                <w:sz w:val="22"/>
                <w:szCs w:val="22"/>
              </w:rPr>
            </w:pPr>
            <w:r w:rsidRPr="006F2FFB">
              <w:rPr>
                <w:rFonts w:cs="Calibri"/>
                <w:color w:val="000000"/>
                <w:sz w:val="22"/>
                <w:szCs w:val="22"/>
              </w:rPr>
              <w:t>7.8%</w:t>
            </w:r>
          </w:p>
        </w:tc>
        <w:tc>
          <w:tcPr>
            <w:tcW w:w="1701" w:type="dxa"/>
          </w:tcPr>
          <w:p w14:paraId="736CE904" w14:textId="5422376D" w:rsidR="00A4290E" w:rsidRPr="006F2FFB" w:rsidRDefault="00A4290E" w:rsidP="00A4290E">
            <w:pPr>
              <w:spacing w:after="0"/>
              <w:jc w:val="right"/>
              <w:rPr>
                <w:rFonts w:cs="Calibri"/>
                <w:color w:val="000000"/>
                <w:sz w:val="22"/>
                <w:szCs w:val="22"/>
              </w:rPr>
            </w:pPr>
            <w:r>
              <w:rPr>
                <w:rFonts w:cs="Calibri"/>
                <w:color w:val="000000"/>
                <w:sz w:val="22"/>
                <w:szCs w:val="22"/>
              </w:rPr>
              <w:t>232</w:t>
            </w:r>
          </w:p>
        </w:tc>
        <w:tc>
          <w:tcPr>
            <w:tcW w:w="1559" w:type="dxa"/>
          </w:tcPr>
          <w:p w14:paraId="3434428E" w14:textId="0EF53A4D" w:rsidR="00A4290E" w:rsidRPr="006F2FFB" w:rsidRDefault="00A4290E" w:rsidP="00A4290E">
            <w:pPr>
              <w:spacing w:after="0"/>
              <w:jc w:val="right"/>
              <w:rPr>
                <w:rFonts w:cs="Calibri"/>
                <w:color w:val="000000"/>
                <w:sz w:val="22"/>
                <w:szCs w:val="22"/>
              </w:rPr>
            </w:pPr>
            <w:r>
              <w:rPr>
                <w:rFonts w:cs="Calibri"/>
                <w:color w:val="000000"/>
                <w:sz w:val="22"/>
                <w:szCs w:val="22"/>
              </w:rPr>
              <w:t>15</w:t>
            </w:r>
          </w:p>
        </w:tc>
        <w:tc>
          <w:tcPr>
            <w:tcW w:w="1701" w:type="dxa"/>
          </w:tcPr>
          <w:p w14:paraId="53E9FE0D" w14:textId="430BAE1E" w:rsidR="00A4290E" w:rsidRPr="006F2FFB" w:rsidRDefault="00A4290E" w:rsidP="00A4290E">
            <w:pPr>
              <w:spacing w:after="0"/>
              <w:jc w:val="right"/>
              <w:rPr>
                <w:rFonts w:cs="Calibri"/>
                <w:color w:val="000000"/>
                <w:sz w:val="22"/>
                <w:szCs w:val="22"/>
              </w:rPr>
            </w:pPr>
            <w:r>
              <w:rPr>
                <w:rFonts w:cs="Calibri"/>
                <w:color w:val="000000"/>
                <w:sz w:val="22"/>
                <w:szCs w:val="22"/>
              </w:rPr>
              <w:t>6.5%</w:t>
            </w:r>
          </w:p>
        </w:tc>
      </w:tr>
      <w:tr w:rsidR="00A4290E" w:rsidRPr="006F2FFB" w14:paraId="0C1DECEB" w14:textId="77777777" w:rsidTr="000B04F5">
        <w:trPr>
          <w:jc w:val="center"/>
        </w:trPr>
        <w:tc>
          <w:tcPr>
            <w:tcW w:w="1706" w:type="dxa"/>
            <w:vAlign w:val="bottom"/>
          </w:tcPr>
          <w:p w14:paraId="6474DB74" w14:textId="4D9848AE" w:rsidR="00A4290E" w:rsidRPr="006F2FFB" w:rsidRDefault="00A4290E" w:rsidP="00A4290E">
            <w:pPr>
              <w:rPr>
                <w:sz w:val="22"/>
                <w:szCs w:val="22"/>
              </w:rPr>
            </w:pPr>
            <w:r w:rsidRPr="006F2FFB">
              <w:rPr>
                <w:rFonts w:cs="Calibri"/>
                <w:color w:val="000000"/>
                <w:sz w:val="22"/>
                <w:szCs w:val="22"/>
              </w:rPr>
              <w:t>Office of Public Works</w:t>
            </w:r>
          </w:p>
        </w:tc>
        <w:tc>
          <w:tcPr>
            <w:tcW w:w="1701" w:type="dxa"/>
          </w:tcPr>
          <w:p w14:paraId="7213DC10" w14:textId="46D4E096" w:rsidR="00A4290E" w:rsidRPr="006F2FFB" w:rsidRDefault="00A4290E" w:rsidP="00A4290E">
            <w:pPr>
              <w:spacing w:after="0"/>
              <w:jc w:val="right"/>
              <w:rPr>
                <w:sz w:val="22"/>
                <w:szCs w:val="22"/>
              </w:rPr>
            </w:pPr>
            <w:r w:rsidRPr="006F2FFB">
              <w:rPr>
                <w:rFonts w:cs="Calibri"/>
                <w:color w:val="000000"/>
                <w:sz w:val="22"/>
                <w:szCs w:val="22"/>
              </w:rPr>
              <w:t>2,110</w:t>
            </w:r>
          </w:p>
        </w:tc>
        <w:tc>
          <w:tcPr>
            <w:tcW w:w="1418" w:type="dxa"/>
          </w:tcPr>
          <w:p w14:paraId="7EEE335E" w14:textId="1B135C41" w:rsidR="00A4290E" w:rsidRPr="006F2FFB" w:rsidRDefault="00A4290E" w:rsidP="00A4290E">
            <w:pPr>
              <w:spacing w:after="0"/>
              <w:jc w:val="right"/>
              <w:rPr>
                <w:sz w:val="22"/>
                <w:szCs w:val="22"/>
              </w:rPr>
            </w:pPr>
            <w:r w:rsidRPr="006F2FFB">
              <w:rPr>
                <w:rFonts w:cs="Calibri"/>
                <w:color w:val="000000"/>
                <w:sz w:val="22"/>
                <w:szCs w:val="22"/>
              </w:rPr>
              <w:t>69</w:t>
            </w:r>
          </w:p>
        </w:tc>
        <w:tc>
          <w:tcPr>
            <w:tcW w:w="1559" w:type="dxa"/>
          </w:tcPr>
          <w:p w14:paraId="13358A2C" w14:textId="786189EC" w:rsidR="00A4290E" w:rsidRPr="006F2FFB" w:rsidRDefault="00A4290E" w:rsidP="00A4290E">
            <w:pPr>
              <w:spacing w:after="0"/>
              <w:jc w:val="right"/>
              <w:rPr>
                <w:sz w:val="22"/>
                <w:szCs w:val="22"/>
              </w:rPr>
            </w:pPr>
            <w:r w:rsidRPr="006F2FFB">
              <w:rPr>
                <w:rFonts w:cs="Calibri"/>
                <w:color w:val="000000"/>
                <w:sz w:val="22"/>
                <w:szCs w:val="22"/>
              </w:rPr>
              <w:t>3.3%</w:t>
            </w:r>
          </w:p>
        </w:tc>
        <w:tc>
          <w:tcPr>
            <w:tcW w:w="1701" w:type="dxa"/>
          </w:tcPr>
          <w:p w14:paraId="0802788E" w14:textId="3FB5402B" w:rsidR="00A4290E" w:rsidRPr="006F2FFB" w:rsidRDefault="00A4290E" w:rsidP="00A4290E">
            <w:pPr>
              <w:spacing w:after="0"/>
              <w:jc w:val="right"/>
              <w:rPr>
                <w:rFonts w:cs="Calibri"/>
                <w:color w:val="000000"/>
                <w:sz w:val="22"/>
                <w:szCs w:val="22"/>
              </w:rPr>
            </w:pPr>
            <w:r>
              <w:rPr>
                <w:rFonts w:cs="Calibri"/>
                <w:color w:val="000000"/>
                <w:sz w:val="22"/>
                <w:szCs w:val="22"/>
              </w:rPr>
              <w:t>2124</w:t>
            </w:r>
          </w:p>
        </w:tc>
        <w:tc>
          <w:tcPr>
            <w:tcW w:w="1559" w:type="dxa"/>
          </w:tcPr>
          <w:p w14:paraId="61D78666" w14:textId="70CA4DB9" w:rsidR="00A4290E" w:rsidRPr="006F2FFB" w:rsidRDefault="00A4290E" w:rsidP="00A4290E">
            <w:pPr>
              <w:spacing w:after="0"/>
              <w:jc w:val="right"/>
              <w:rPr>
                <w:rFonts w:cs="Calibri"/>
                <w:color w:val="000000"/>
                <w:sz w:val="22"/>
                <w:szCs w:val="22"/>
              </w:rPr>
            </w:pPr>
            <w:r>
              <w:rPr>
                <w:rFonts w:cs="Calibri"/>
                <w:color w:val="000000"/>
                <w:sz w:val="22"/>
                <w:szCs w:val="22"/>
              </w:rPr>
              <w:t>71</w:t>
            </w:r>
          </w:p>
        </w:tc>
        <w:tc>
          <w:tcPr>
            <w:tcW w:w="1701" w:type="dxa"/>
          </w:tcPr>
          <w:p w14:paraId="244BD458" w14:textId="32238F43" w:rsidR="00A4290E" w:rsidRPr="006F2FFB" w:rsidRDefault="00A4290E" w:rsidP="00A4290E">
            <w:pPr>
              <w:spacing w:after="0"/>
              <w:jc w:val="right"/>
              <w:rPr>
                <w:rFonts w:cs="Calibri"/>
                <w:color w:val="000000"/>
                <w:sz w:val="22"/>
                <w:szCs w:val="22"/>
              </w:rPr>
            </w:pPr>
            <w:r>
              <w:rPr>
                <w:rFonts w:cs="Calibri"/>
                <w:color w:val="000000"/>
                <w:sz w:val="22"/>
                <w:szCs w:val="22"/>
              </w:rPr>
              <w:t>3.3%</w:t>
            </w:r>
          </w:p>
        </w:tc>
      </w:tr>
      <w:tr w:rsidR="00A4290E" w:rsidRPr="006F2FFB" w14:paraId="5CBD22B0" w14:textId="77777777" w:rsidTr="000B04F5">
        <w:trPr>
          <w:jc w:val="center"/>
        </w:trPr>
        <w:tc>
          <w:tcPr>
            <w:tcW w:w="1706" w:type="dxa"/>
            <w:vAlign w:val="bottom"/>
          </w:tcPr>
          <w:p w14:paraId="6E37116D" w14:textId="66292C0E" w:rsidR="00A4290E" w:rsidRPr="006F2FFB" w:rsidRDefault="00A4290E" w:rsidP="00A4290E">
            <w:pPr>
              <w:rPr>
                <w:sz w:val="22"/>
                <w:szCs w:val="22"/>
              </w:rPr>
            </w:pPr>
            <w:r w:rsidRPr="006F2FFB">
              <w:rPr>
                <w:rFonts w:cs="Calibri"/>
                <w:color w:val="000000"/>
                <w:sz w:val="22"/>
                <w:szCs w:val="22"/>
              </w:rPr>
              <w:t>Office of the Attorney General</w:t>
            </w:r>
          </w:p>
        </w:tc>
        <w:tc>
          <w:tcPr>
            <w:tcW w:w="1701" w:type="dxa"/>
          </w:tcPr>
          <w:p w14:paraId="51A48220" w14:textId="63E609FD" w:rsidR="00A4290E" w:rsidRPr="006F2FFB" w:rsidRDefault="00A4290E" w:rsidP="00A4290E">
            <w:pPr>
              <w:spacing w:after="0"/>
              <w:jc w:val="right"/>
              <w:rPr>
                <w:sz w:val="22"/>
                <w:szCs w:val="22"/>
              </w:rPr>
            </w:pPr>
            <w:r w:rsidRPr="006F2FFB">
              <w:rPr>
                <w:rFonts w:cs="Calibri"/>
                <w:color w:val="000000"/>
                <w:sz w:val="22"/>
                <w:szCs w:val="22"/>
              </w:rPr>
              <w:t>148</w:t>
            </w:r>
          </w:p>
        </w:tc>
        <w:tc>
          <w:tcPr>
            <w:tcW w:w="1418" w:type="dxa"/>
          </w:tcPr>
          <w:p w14:paraId="2F20E576" w14:textId="045236F2" w:rsidR="00A4290E" w:rsidRPr="006F2FFB" w:rsidRDefault="00A4290E" w:rsidP="00A4290E">
            <w:pPr>
              <w:spacing w:after="0"/>
              <w:jc w:val="right"/>
              <w:rPr>
                <w:sz w:val="22"/>
                <w:szCs w:val="22"/>
              </w:rPr>
            </w:pPr>
            <w:r w:rsidRPr="006F2FFB">
              <w:rPr>
                <w:rFonts w:cs="Calibri"/>
                <w:color w:val="000000"/>
                <w:sz w:val="22"/>
                <w:szCs w:val="22"/>
              </w:rPr>
              <w:t>6</w:t>
            </w:r>
          </w:p>
        </w:tc>
        <w:tc>
          <w:tcPr>
            <w:tcW w:w="1559" w:type="dxa"/>
          </w:tcPr>
          <w:p w14:paraId="1C0F9F8F" w14:textId="231376D1" w:rsidR="00A4290E" w:rsidRPr="006F2FFB" w:rsidRDefault="00A4290E" w:rsidP="00A4290E">
            <w:pPr>
              <w:spacing w:after="0"/>
              <w:jc w:val="right"/>
              <w:rPr>
                <w:sz w:val="22"/>
                <w:szCs w:val="22"/>
              </w:rPr>
            </w:pPr>
            <w:r w:rsidRPr="006F2FFB">
              <w:rPr>
                <w:rFonts w:cs="Calibri"/>
                <w:color w:val="000000"/>
                <w:sz w:val="22"/>
                <w:szCs w:val="22"/>
              </w:rPr>
              <w:t>4.1%</w:t>
            </w:r>
          </w:p>
        </w:tc>
        <w:tc>
          <w:tcPr>
            <w:tcW w:w="1701" w:type="dxa"/>
          </w:tcPr>
          <w:p w14:paraId="1E68F390" w14:textId="276B76DB" w:rsidR="00A4290E" w:rsidRPr="006F2FFB" w:rsidRDefault="00A4290E" w:rsidP="00A4290E">
            <w:pPr>
              <w:spacing w:after="0"/>
              <w:jc w:val="right"/>
              <w:rPr>
                <w:rFonts w:cs="Calibri"/>
                <w:color w:val="000000"/>
                <w:sz w:val="22"/>
                <w:szCs w:val="22"/>
              </w:rPr>
            </w:pPr>
            <w:r>
              <w:rPr>
                <w:rFonts w:cs="Calibri"/>
                <w:color w:val="000000"/>
                <w:sz w:val="22"/>
                <w:szCs w:val="22"/>
              </w:rPr>
              <w:t>138</w:t>
            </w:r>
          </w:p>
        </w:tc>
        <w:tc>
          <w:tcPr>
            <w:tcW w:w="1559" w:type="dxa"/>
          </w:tcPr>
          <w:p w14:paraId="3B54A125" w14:textId="1C14A36D" w:rsidR="00A4290E" w:rsidRPr="006F2FFB" w:rsidRDefault="00A4290E" w:rsidP="00A4290E">
            <w:pPr>
              <w:spacing w:after="0"/>
              <w:jc w:val="right"/>
              <w:rPr>
                <w:rFonts w:cs="Calibri"/>
                <w:color w:val="000000"/>
                <w:sz w:val="22"/>
                <w:szCs w:val="22"/>
              </w:rPr>
            </w:pPr>
            <w:r>
              <w:rPr>
                <w:rFonts w:cs="Calibri"/>
                <w:color w:val="000000"/>
                <w:sz w:val="22"/>
                <w:szCs w:val="22"/>
              </w:rPr>
              <w:t>5</w:t>
            </w:r>
          </w:p>
        </w:tc>
        <w:tc>
          <w:tcPr>
            <w:tcW w:w="1701" w:type="dxa"/>
          </w:tcPr>
          <w:p w14:paraId="38B6ED5F" w14:textId="193BD96E" w:rsidR="00A4290E" w:rsidRPr="006F2FFB" w:rsidRDefault="00A4290E" w:rsidP="00A4290E">
            <w:pPr>
              <w:spacing w:after="0"/>
              <w:jc w:val="right"/>
              <w:rPr>
                <w:rFonts w:cs="Calibri"/>
                <w:color w:val="000000"/>
                <w:sz w:val="22"/>
                <w:szCs w:val="22"/>
              </w:rPr>
            </w:pPr>
            <w:r>
              <w:rPr>
                <w:rFonts w:cs="Calibri"/>
                <w:color w:val="000000"/>
                <w:sz w:val="22"/>
                <w:szCs w:val="22"/>
              </w:rPr>
              <w:t>3.6%</w:t>
            </w:r>
          </w:p>
        </w:tc>
      </w:tr>
      <w:tr w:rsidR="00A4290E" w:rsidRPr="006F2FFB" w14:paraId="089BD6CB" w14:textId="77777777" w:rsidTr="000B04F5">
        <w:trPr>
          <w:jc w:val="center"/>
        </w:trPr>
        <w:tc>
          <w:tcPr>
            <w:tcW w:w="1706" w:type="dxa"/>
            <w:vAlign w:val="bottom"/>
          </w:tcPr>
          <w:p w14:paraId="135B94DE" w14:textId="548BF4B2" w:rsidR="00A4290E" w:rsidRPr="006F2FFB" w:rsidRDefault="00A4290E" w:rsidP="00A4290E">
            <w:pPr>
              <w:rPr>
                <w:sz w:val="22"/>
                <w:szCs w:val="22"/>
              </w:rPr>
            </w:pPr>
            <w:r w:rsidRPr="006F2FFB">
              <w:rPr>
                <w:rFonts w:cs="Calibri"/>
                <w:color w:val="000000"/>
                <w:sz w:val="22"/>
                <w:szCs w:val="22"/>
              </w:rPr>
              <w:lastRenderedPageBreak/>
              <w:t>Office of the Comptroller &amp; Auditor General</w:t>
            </w:r>
          </w:p>
        </w:tc>
        <w:tc>
          <w:tcPr>
            <w:tcW w:w="1701" w:type="dxa"/>
          </w:tcPr>
          <w:p w14:paraId="3B6AD321" w14:textId="7A6ADC78" w:rsidR="00A4290E" w:rsidRPr="006F2FFB" w:rsidRDefault="00A4290E" w:rsidP="00A4290E">
            <w:pPr>
              <w:spacing w:after="0"/>
              <w:jc w:val="right"/>
              <w:rPr>
                <w:sz w:val="22"/>
                <w:szCs w:val="22"/>
              </w:rPr>
            </w:pPr>
            <w:r w:rsidRPr="006F2FFB">
              <w:rPr>
                <w:rFonts w:cs="Calibri"/>
                <w:color w:val="000000"/>
                <w:sz w:val="22"/>
                <w:szCs w:val="22"/>
              </w:rPr>
              <w:t>178</w:t>
            </w:r>
          </w:p>
        </w:tc>
        <w:tc>
          <w:tcPr>
            <w:tcW w:w="1418" w:type="dxa"/>
          </w:tcPr>
          <w:p w14:paraId="0C326199" w14:textId="31F0923D" w:rsidR="00A4290E" w:rsidRPr="006F2FFB" w:rsidRDefault="00A4290E" w:rsidP="00A4290E">
            <w:pPr>
              <w:spacing w:after="0"/>
              <w:jc w:val="right"/>
              <w:rPr>
                <w:sz w:val="22"/>
                <w:szCs w:val="22"/>
              </w:rPr>
            </w:pPr>
            <w:r w:rsidRPr="006F2FFB">
              <w:rPr>
                <w:rFonts w:cs="Calibri"/>
                <w:color w:val="000000"/>
                <w:sz w:val="22"/>
                <w:szCs w:val="22"/>
              </w:rPr>
              <w:t>15</w:t>
            </w:r>
          </w:p>
        </w:tc>
        <w:tc>
          <w:tcPr>
            <w:tcW w:w="1559" w:type="dxa"/>
          </w:tcPr>
          <w:p w14:paraId="03D6DE70" w14:textId="73934EE1" w:rsidR="00A4290E" w:rsidRPr="006F2FFB" w:rsidRDefault="00A4290E" w:rsidP="00A4290E">
            <w:pPr>
              <w:spacing w:after="0"/>
              <w:jc w:val="right"/>
              <w:rPr>
                <w:sz w:val="22"/>
                <w:szCs w:val="22"/>
              </w:rPr>
            </w:pPr>
            <w:r w:rsidRPr="006F2FFB">
              <w:rPr>
                <w:rFonts w:cs="Calibri"/>
                <w:color w:val="000000"/>
                <w:sz w:val="22"/>
                <w:szCs w:val="22"/>
              </w:rPr>
              <w:t>8.4%</w:t>
            </w:r>
          </w:p>
        </w:tc>
        <w:tc>
          <w:tcPr>
            <w:tcW w:w="1701" w:type="dxa"/>
          </w:tcPr>
          <w:p w14:paraId="65201679" w14:textId="60BB831A" w:rsidR="00A4290E" w:rsidRPr="006F2FFB" w:rsidRDefault="00A4290E" w:rsidP="00A4290E">
            <w:pPr>
              <w:spacing w:after="0"/>
              <w:jc w:val="right"/>
              <w:rPr>
                <w:rFonts w:cs="Calibri"/>
                <w:color w:val="000000"/>
                <w:sz w:val="22"/>
                <w:szCs w:val="22"/>
              </w:rPr>
            </w:pPr>
            <w:r>
              <w:rPr>
                <w:rFonts w:cs="Calibri"/>
                <w:color w:val="000000"/>
                <w:sz w:val="22"/>
                <w:szCs w:val="22"/>
              </w:rPr>
              <w:t>203</w:t>
            </w:r>
          </w:p>
        </w:tc>
        <w:tc>
          <w:tcPr>
            <w:tcW w:w="1559" w:type="dxa"/>
          </w:tcPr>
          <w:p w14:paraId="1B0B0B1B" w14:textId="5ECE51C1" w:rsidR="00A4290E" w:rsidRPr="006F2FFB" w:rsidRDefault="00A4290E" w:rsidP="00A4290E">
            <w:pPr>
              <w:spacing w:after="0"/>
              <w:jc w:val="right"/>
              <w:rPr>
                <w:rFonts w:cs="Calibri"/>
                <w:color w:val="000000"/>
                <w:sz w:val="22"/>
                <w:szCs w:val="22"/>
              </w:rPr>
            </w:pPr>
            <w:r>
              <w:rPr>
                <w:rFonts w:cs="Calibri"/>
                <w:color w:val="000000"/>
                <w:sz w:val="22"/>
                <w:szCs w:val="22"/>
              </w:rPr>
              <w:t>13</w:t>
            </w:r>
          </w:p>
        </w:tc>
        <w:tc>
          <w:tcPr>
            <w:tcW w:w="1701" w:type="dxa"/>
          </w:tcPr>
          <w:p w14:paraId="11B5DAE9" w14:textId="28110D81" w:rsidR="00A4290E" w:rsidRPr="006F2FFB" w:rsidRDefault="00A4290E" w:rsidP="00A4290E">
            <w:pPr>
              <w:spacing w:after="0"/>
              <w:jc w:val="right"/>
              <w:rPr>
                <w:rFonts w:cs="Calibri"/>
                <w:color w:val="000000"/>
                <w:sz w:val="22"/>
                <w:szCs w:val="22"/>
              </w:rPr>
            </w:pPr>
            <w:r>
              <w:rPr>
                <w:rFonts w:cs="Calibri"/>
                <w:color w:val="000000"/>
                <w:sz w:val="22"/>
                <w:szCs w:val="22"/>
              </w:rPr>
              <w:t>6.4%</w:t>
            </w:r>
          </w:p>
        </w:tc>
      </w:tr>
      <w:tr w:rsidR="00A4290E" w:rsidRPr="006F2FFB" w14:paraId="569881A9" w14:textId="77777777" w:rsidTr="000B04F5">
        <w:trPr>
          <w:jc w:val="center"/>
        </w:trPr>
        <w:tc>
          <w:tcPr>
            <w:tcW w:w="1706" w:type="dxa"/>
            <w:vAlign w:val="bottom"/>
          </w:tcPr>
          <w:p w14:paraId="0BFADED1" w14:textId="55D285C2" w:rsidR="00A4290E" w:rsidRPr="006F2FFB" w:rsidRDefault="00A4290E" w:rsidP="00A4290E">
            <w:pPr>
              <w:rPr>
                <w:sz w:val="22"/>
                <w:szCs w:val="22"/>
              </w:rPr>
            </w:pPr>
            <w:r w:rsidRPr="006F2FFB">
              <w:rPr>
                <w:rFonts w:cs="Calibri"/>
                <w:color w:val="000000"/>
                <w:sz w:val="22"/>
                <w:szCs w:val="22"/>
              </w:rPr>
              <w:t xml:space="preserve">Office of the Data Protection Commissioner </w:t>
            </w:r>
          </w:p>
        </w:tc>
        <w:tc>
          <w:tcPr>
            <w:tcW w:w="1701" w:type="dxa"/>
          </w:tcPr>
          <w:p w14:paraId="3242B166" w14:textId="1952C22A" w:rsidR="00A4290E" w:rsidRPr="006F2FFB" w:rsidRDefault="00A4290E" w:rsidP="00A4290E">
            <w:pPr>
              <w:spacing w:after="0"/>
              <w:jc w:val="right"/>
              <w:rPr>
                <w:sz w:val="22"/>
                <w:szCs w:val="22"/>
              </w:rPr>
            </w:pPr>
            <w:r w:rsidRPr="006F2FFB">
              <w:rPr>
                <w:rFonts w:cs="Calibri"/>
                <w:color w:val="000000"/>
                <w:sz w:val="22"/>
                <w:szCs w:val="22"/>
              </w:rPr>
              <w:t>190</w:t>
            </w:r>
          </w:p>
        </w:tc>
        <w:tc>
          <w:tcPr>
            <w:tcW w:w="1418" w:type="dxa"/>
          </w:tcPr>
          <w:p w14:paraId="439C55BE" w14:textId="7FBD6A83" w:rsidR="00A4290E" w:rsidRPr="006F2FFB" w:rsidRDefault="00A4290E" w:rsidP="00A4290E">
            <w:pPr>
              <w:spacing w:after="0"/>
              <w:jc w:val="right"/>
              <w:rPr>
                <w:sz w:val="22"/>
                <w:szCs w:val="22"/>
              </w:rPr>
            </w:pPr>
            <w:r w:rsidRPr="006F2FFB">
              <w:rPr>
                <w:rFonts w:cs="Calibri"/>
                <w:color w:val="000000"/>
                <w:sz w:val="22"/>
                <w:szCs w:val="22"/>
              </w:rPr>
              <w:t>13</w:t>
            </w:r>
          </w:p>
        </w:tc>
        <w:tc>
          <w:tcPr>
            <w:tcW w:w="1559" w:type="dxa"/>
          </w:tcPr>
          <w:p w14:paraId="5F9242FF" w14:textId="064ABB7B" w:rsidR="00A4290E" w:rsidRPr="006F2FFB" w:rsidRDefault="00A4290E" w:rsidP="00A4290E">
            <w:pPr>
              <w:spacing w:after="0"/>
              <w:jc w:val="right"/>
              <w:rPr>
                <w:sz w:val="22"/>
                <w:szCs w:val="22"/>
              </w:rPr>
            </w:pPr>
            <w:r w:rsidRPr="006F2FFB">
              <w:rPr>
                <w:rFonts w:cs="Calibri"/>
                <w:color w:val="000000"/>
                <w:sz w:val="22"/>
                <w:szCs w:val="22"/>
              </w:rPr>
              <w:t>6.8%</w:t>
            </w:r>
          </w:p>
        </w:tc>
        <w:tc>
          <w:tcPr>
            <w:tcW w:w="1701" w:type="dxa"/>
          </w:tcPr>
          <w:p w14:paraId="09211CD6" w14:textId="14A16A98" w:rsidR="00A4290E" w:rsidRPr="006F2FFB" w:rsidRDefault="00A4290E" w:rsidP="00A4290E">
            <w:pPr>
              <w:spacing w:after="0"/>
              <w:jc w:val="right"/>
              <w:rPr>
                <w:rFonts w:cs="Calibri"/>
                <w:color w:val="000000"/>
                <w:sz w:val="22"/>
                <w:szCs w:val="22"/>
              </w:rPr>
            </w:pPr>
            <w:r>
              <w:rPr>
                <w:rFonts w:cs="Calibri"/>
                <w:color w:val="000000"/>
                <w:sz w:val="22"/>
                <w:szCs w:val="22"/>
              </w:rPr>
              <w:t>195</w:t>
            </w:r>
          </w:p>
        </w:tc>
        <w:tc>
          <w:tcPr>
            <w:tcW w:w="1559" w:type="dxa"/>
          </w:tcPr>
          <w:p w14:paraId="565BFC4E" w14:textId="2C234C0E" w:rsidR="00A4290E" w:rsidRPr="006F2FFB" w:rsidRDefault="00A4290E" w:rsidP="00A4290E">
            <w:pPr>
              <w:spacing w:after="0"/>
              <w:jc w:val="right"/>
              <w:rPr>
                <w:rFonts w:cs="Calibri"/>
                <w:color w:val="000000"/>
                <w:sz w:val="22"/>
                <w:szCs w:val="22"/>
              </w:rPr>
            </w:pPr>
            <w:r>
              <w:rPr>
                <w:rFonts w:cs="Calibri"/>
                <w:color w:val="000000"/>
                <w:sz w:val="22"/>
                <w:szCs w:val="22"/>
              </w:rPr>
              <w:t>25</w:t>
            </w:r>
          </w:p>
        </w:tc>
        <w:tc>
          <w:tcPr>
            <w:tcW w:w="1701" w:type="dxa"/>
          </w:tcPr>
          <w:p w14:paraId="21EB2FE1" w14:textId="313FDEB6" w:rsidR="00A4290E" w:rsidRPr="006F2FFB" w:rsidRDefault="00A4290E" w:rsidP="00A4290E">
            <w:pPr>
              <w:spacing w:after="0"/>
              <w:jc w:val="right"/>
              <w:rPr>
                <w:rFonts w:cs="Calibri"/>
                <w:color w:val="000000"/>
                <w:sz w:val="22"/>
                <w:szCs w:val="22"/>
              </w:rPr>
            </w:pPr>
            <w:r>
              <w:rPr>
                <w:rFonts w:cs="Calibri"/>
                <w:color w:val="000000"/>
                <w:sz w:val="22"/>
                <w:szCs w:val="22"/>
              </w:rPr>
              <w:t>12.8%</w:t>
            </w:r>
          </w:p>
        </w:tc>
      </w:tr>
      <w:tr w:rsidR="00A4290E" w:rsidRPr="006F2FFB" w14:paraId="3FB9DC11" w14:textId="77777777" w:rsidTr="000B04F5">
        <w:trPr>
          <w:jc w:val="center"/>
        </w:trPr>
        <w:tc>
          <w:tcPr>
            <w:tcW w:w="1706" w:type="dxa"/>
            <w:vAlign w:val="bottom"/>
          </w:tcPr>
          <w:p w14:paraId="1A91BFD8" w14:textId="1618F78A" w:rsidR="00A4290E" w:rsidRPr="006F2FFB" w:rsidRDefault="00A4290E" w:rsidP="00A4290E">
            <w:pPr>
              <w:rPr>
                <w:sz w:val="22"/>
                <w:szCs w:val="22"/>
              </w:rPr>
            </w:pPr>
            <w:r w:rsidRPr="006F2FFB">
              <w:rPr>
                <w:rFonts w:cs="Calibri"/>
                <w:color w:val="000000"/>
                <w:sz w:val="22"/>
                <w:szCs w:val="22"/>
              </w:rPr>
              <w:t>Office of the Director of Public Prosecutions</w:t>
            </w:r>
          </w:p>
        </w:tc>
        <w:tc>
          <w:tcPr>
            <w:tcW w:w="1701" w:type="dxa"/>
          </w:tcPr>
          <w:p w14:paraId="647978EA" w14:textId="35FF0582" w:rsidR="00A4290E" w:rsidRPr="006F2FFB" w:rsidRDefault="00A4290E" w:rsidP="00A4290E">
            <w:pPr>
              <w:spacing w:after="0"/>
              <w:jc w:val="right"/>
              <w:rPr>
                <w:sz w:val="22"/>
                <w:szCs w:val="22"/>
              </w:rPr>
            </w:pPr>
            <w:r w:rsidRPr="006F2FFB">
              <w:rPr>
                <w:rFonts w:cs="Calibri"/>
                <w:color w:val="000000"/>
                <w:sz w:val="22"/>
                <w:szCs w:val="22"/>
              </w:rPr>
              <w:t>226</w:t>
            </w:r>
          </w:p>
        </w:tc>
        <w:tc>
          <w:tcPr>
            <w:tcW w:w="1418" w:type="dxa"/>
          </w:tcPr>
          <w:p w14:paraId="232092BC" w14:textId="270DC63B" w:rsidR="00A4290E" w:rsidRPr="006F2FFB" w:rsidRDefault="00A4290E" w:rsidP="00A4290E">
            <w:pPr>
              <w:spacing w:after="0"/>
              <w:jc w:val="right"/>
              <w:rPr>
                <w:sz w:val="22"/>
                <w:szCs w:val="22"/>
              </w:rPr>
            </w:pPr>
            <w:r w:rsidRPr="006F2FFB">
              <w:rPr>
                <w:rFonts w:cs="Calibri"/>
                <w:color w:val="000000"/>
                <w:sz w:val="22"/>
                <w:szCs w:val="22"/>
              </w:rPr>
              <w:t>7</w:t>
            </w:r>
          </w:p>
        </w:tc>
        <w:tc>
          <w:tcPr>
            <w:tcW w:w="1559" w:type="dxa"/>
          </w:tcPr>
          <w:p w14:paraId="33A9F516" w14:textId="38AD5892" w:rsidR="00A4290E" w:rsidRPr="006F2FFB" w:rsidRDefault="00A4290E" w:rsidP="00A4290E">
            <w:pPr>
              <w:spacing w:after="0"/>
              <w:jc w:val="right"/>
              <w:rPr>
                <w:sz w:val="22"/>
                <w:szCs w:val="22"/>
              </w:rPr>
            </w:pPr>
            <w:r w:rsidRPr="006F2FFB">
              <w:rPr>
                <w:rFonts w:cs="Calibri"/>
                <w:color w:val="000000"/>
                <w:sz w:val="22"/>
                <w:szCs w:val="22"/>
              </w:rPr>
              <w:t>3.1%</w:t>
            </w:r>
          </w:p>
        </w:tc>
        <w:tc>
          <w:tcPr>
            <w:tcW w:w="1701" w:type="dxa"/>
          </w:tcPr>
          <w:p w14:paraId="1A2C2F13" w14:textId="0F82FD26" w:rsidR="00A4290E" w:rsidRPr="006F2FFB" w:rsidRDefault="00A4290E" w:rsidP="00A4290E">
            <w:pPr>
              <w:spacing w:after="0"/>
              <w:jc w:val="right"/>
              <w:rPr>
                <w:rFonts w:cs="Calibri"/>
                <w:color w:val="000000"/>
                <w:sz w:val="22"/>
                <w:szCs w:val="22"/>
              </w:rPr>
            </w:pPr>
            <w:r>
              <w:rPr>
                <w:rFonts w:cs="Calibri"/>
                <w:color w:val="000000"/>
                <w:sz w:val="22"/>
                <w:szCs w:val="22"/>
              </w:rPr>
              <w:t>233</w:t>
            </w:r>
          </w:p>
        </w:tc>
        <w:tc>
          <w:tcPr>
            <w:tcW w:w="1559" w:type="dxa"/>
          </w:tcPr>
          <w:p w14:paraId="2C16BCD4" w14:textId="612980FD" w:rsidR="00A4290E" w:rsidRPr="006F2FFB" w:rsidRDefault="00A4290E" w:rsidP="00A4290E">
            <w:pPr>
              <w:spacing w:after="0"/>
              <w:jc w:val="right"/>
              <w:rPr>
                <w:rFonts w:cs="Calibri"/>
                <w:color w:val="000000"/>
                <w:sz w:val="22"/>
                <w:szCs w:val="22"/>
              </w:rPr>
            </w:pPr>
            <w:r>
              <w:rPr>
                <w:rFonts w:cs="Calibri"/>
                <w:color w:val="000000"/>
                <w:sz w:val="22"/>
                <w:szCs w:val="22"/>
              </w:rPr>
              <w:t>8</w:t>
            </w:r>
          </w:p>
        </w:tc>
        <w:tc>
          <w:tcPr>
            <w:tcW w:w="1701" w:type="dxa"/>
          </w:tcPr>
          <w:p w14:paraId="7F56CB15" w14:textId="7A4FC594" w:rsidR="00A4290E" w:rsidRPr="006F2FFB" w:rsidRDefault="00A4290E" w:rsidP="00A4290E">
            <w:pPr>
              <w:spacing w:after="0"/>
              <w:jc w:val="right"/>
              <w:rPr>
                <w:rFonts w:cs="Calibri"/>
                <w:color w:val="000000"/>
                <w:sz w:val="22"/>
                <w:szCs w:val="22"/>
              </w:rPr>
            </w:pPr>
            <w:r>
              <w:rPr>
                <w:rFonts w:cs="Calibri"/>
                <w:color w:val="000000"/>
                <w:sz w:val="22"/>
                <w:szCs w:val="22"/>
              </w:rPr>
              <w:t>3.4%</w:t>
            </w:r>
          </w:p>
        </w:tc>
      </w:tr>
      <w:tr w:rsidR="00A4290E" w:rsidRPr="006F2FFB" w14:paraId="73BFE836" w14:textId="77777777" w:rsidTr="000B04F5">
        <w:trPr>
          <w:jc w:val="center"/>
        </w:trPr>
        <w:tc>
          <w:tcPr>
            <w:tcW w:w="1706" w:type="dxa"/>
            <w:vAlign w:val="bottom"/>
          </w:tcPr>
          <w:p w14:paraId="6901E4EC" w14:textId="56DD2DD7" w:rsidR="00A4290E" w:rsidRPr="006F2FFB" w:rsidRDefault="00A4290E" w:rsidP="00A4290E">
            <w:pPr>
              <w:rPr>
                <w:sz w:val="22"/>
                <w:szCs w:val="22"/>
              </w:rPr>
            </w:pPr>
            <w:r w:rsidRPr="006F2FFB">
              <w:rPr>
                <w:rFonts w:cs="Calibri"/>
                <w:color w:val="000000"/>
                <w:sz w:val="22"/>
                <w:szCs w:val="22"/>
              </w:rPr>
              <w:t>Office of the Ombudsman</w:t>
            </w:r>
          </w:p>
        </w:tc>
        <w:tc>
          <w:tcPr>
            <w:tcW w:w="1701" w:type="dxa"/>
          </w:tcPr>
          <w:p w14:paraId="08B831A4" w14:textId="3CCB5DD4" w:rsidR="00A4290E" w:rsidRPr="006F2FFB" w:rsidRDefault="00A4290E" w:rsidP="00A4290E">
            <w:pPr>
              <w:spacing w:after="0"/>
              <w:jc w:val="right"/>
              <w:rPr>
                <w:sz w:val="22"/>
                <w:szCs w:val="22"/>
              </w:rPr>
            </w:pPr>
            <w:r w:rsidRPr="006F2FFB">
              <w:rPr>
                <w:rFonts w:cs="Calibri"/>
                <w:color w:val="000000"/>
                <w:sz w:val="22"/>
                <w:szCs w:val="22"/>
              </w:rPr>
              <w:t>140</w:t>
            </w:r>
          </w:p>
        </w:tc>
        <w:tc>
          <w:tcPr>
            <w:tcW w:w="1418" w:type="dxa"/>
          </w:tcPr>
          <w:p w14:paraId="1D551661" w14:textId="5D797F3A" w:rsidR="00A4290E" w:rsidRPr="006F2FFB" w:rsidRDefault="00A4290E" w:rsidP="00A4290E">
            <w:pPr>
              <w:spacing w:after="0"/>
              <w:jc w:val="right"/>
              <w:rPr>
                <w:sz w:val="22"/>
                <w:szCs w:val="22"/>
              </w:rPr>
            </w:pPr>
            <w:r w:rsidRPr="006F2FFB">
              <w:rPr>
                <w:rFonts w:cs="Calibri"/>
                <w:color w:val="000000"/>
                <w:sz w:val="22"/>
                <w:szCs w:val="22"/>
              </w:rPr>
              <w:t>15</w:t>
            </w:r>
          </w:p>
        </w:tc>
        <w:tc>
          <w:tcPr>
            <w:tcW w:w="1559" w:type="dxa"/>
          </w:tcPr>
          <w:p w14:paraId="64484ABF" w14:textId="7FAEB265" w:rsidR="00A4290E" w:rsidRPr="006F2FFB" w:rsidRDefault="00A4290E" w:rsidP="00A4290E">
            <w:pPr>
              <w:spacing w:after="0"/>
              <w:jc w:val="right"/>
              <w:rPr>
                <w:sz w:val="22"/>
                <w:szCs w:val="22"/>
              </w:rPr>
            </w:pPr>
            <w:r w:rsidRPr="006F2FFB">
              <w:rPr>
                <w:rFonts w:cs="Calibri"/>
                <w:color w:val="000000"/>
                <w:sz w:val="22"/>
                <w:szCs w:val="22"/>
              </w:rPr>
              <w:t>10.7%</w:t>
            </w:r>
          </w:p>
        </w:tc>
        <w:tc>
          <w:tcPr>
            <w:tcW w:w="1701" w:type="dxa"/>
          </w:tcPr>
          <w:p w14:paraId="4468747A" w14:textId="2F364990" w:rsidR="00A4290E" w:rsidRPr="006F2FFB" w:rsidRDefault="00A4290E" w:rsidP="00A4290E">
            <w:pPr>
              <w:spacing w:after="0"/>
              <w:jc w:val="right"/>
              <w:rPr>
                <w:rFonts w:cs="Calibri"/>
                <w:color w:val="000000"/>
                <w:sz w:val="22"/>
                <w:szCs w:val="22"/>
              </w:rPr>
            </w:pPr>
            <w:r>
              <w:rPr>
                <w:rFonts w:cs="Calibri"/>
                <w:color w:val="000000"/>
                <w:sz w:val="22"/>
                <w:szCs w:val="22"/>
              </w:rPr>
              <w:t>149</w:t>
            </w:r>
          </w:p>
        </w:tc>
        <w:tc>
          <w:tcPr>
            <w:tcW w:w="1559" w:type="dxa"/>
          </w:tcPr>
          <w:p w14:paraId="76494628" w14:textId="104643D4" w:rsidR="00A4290E" w:rsidRPr="006F2FFB" w:rsidRDefault="00A4290E" w:rsidP="00A4290E">
            <w:pPr>
              <w:spacing w:after="0"/>
              <w:jc w:val="right"/>
              <w:rPr>
                <w:rFonts w:cs="Calibri"/>
                <w:color w:val="000000"/>
                <w:sz w:val="22"/>
                <w:szCs w:val="22"/>
              </w:rPr>
            </w:pPr>
            <w:r>
              <w:rPr>
                <w:rFonts w:cs="Calibri"/>
                <w:color w:val="000000"/>
                <w:sz w:val="22"/>
                <w:szCs w:val="22"/>
              </w:rPr>
              <w:t>12</w:t>
            </w:r>
          </w:p>
        </w:tc>
        <w:tc>
          <w:tcPr>
            <w:tcW w:w="1701" w:type="dxa"/>
          </w:tcPr>
          <w:p w14:paraId="74156490" w14:textId="615BBA52" w:rsidR="00A4290E" w:rsidRPr="006F2FFB" w:rsidRDefault="00A4290E" w:rsidP="00A4290E">
            <w:pPr>
              <w:spacing w:after="0"/>
              <w:jc w:val="right"/>
              <w:rPr>
                <w:rFonts w:cs="Calibri"/>
                <w:color w:val="000000"/>
                <w:sz w:val="22"/>
                <w:szCs w:val="22"/>
              </w:rPr>
            </w:pPr>
            <w:r>
              <w:rPr>
                <w:rFonts w:cs="Calibri"/>
                <w:color w:val="000000"/>
                <w:sz w:val="22"/>
                <w:szCs w:val="22"/>
              </w:rPr>
              <w:t>8.1%</w:t>
            </w:r>
          </w:p>
        </w:tc>
      </w:tr>
      <w:tr w:rsidR="00A4290E" w:rsidRPr="006F2FFB" w14:paraId="19AEC64C" w14:textId="77777777" w:rsidTr="000B04F5">
        <w:trPr>
          <w:jc w:val="center"/>
        </w:trPr>
        <w:tc>
          <w:tcPr>
            <w:tcW w:w="1706" w:type="dxa"/>
            <w:vAlign w:val="bottom"/>
          </w:tcPr>
          <w:p w14:paraId="191DC7EE" w14:textId="7E348098" w:rsidR="00A4290E" w:rsidRPr="006F2FFB" w:rsidRDefault="00A4290E" w:rsidP="00A4290E">
            <w:pPr>
              <w:rPr>
                <w:sz w:val="22"/>
                <w:szCs w:val="22"/>
              </w:rPr>
            </w:pPr>
            <w:r w:rsidRPr="006F2FFB">
              <w:rPr>
                <w:rFonts w:cs="Calibri"/>
                <w:color w:val="000000"/>
                <w:sz w:val="22"/>
                <w:szCs w:val="22"/>
              </w:rPr>
              <w:t>Office of the Planning Regulator</w:t>
            </w:r>
          </w:p>
        </w:tc>
        <w:tc>
          <w:tcPr>
            <w:tcW w:w="1701" w:type="dxa"/>
          </w:tcPr>
          <w:p w14:paraId="268BA844" w14:textId="28F03FF9" w:rsidR="00A4290E" w:rsidRPr="006F2FFB" w:rsidRDefault="00A4290E" w:rsidP="00A4290E">
            <w:pPr>
              <w:spacing w:after="0"/>
              <w:jc w:val="right"/>
              <w:rPr>
                <w:sz w:val="22"/>
                <w:szCs w:val="22"/>
              </w:rPr>
            </w:pPr>
            <w:r w:rsidRPr="006F2FFB">
              <w:rPr>
                <w:rFonts w:cs="Calibri"/>
                <w:color w:val="000000"/>
                <w:sz w:val="22"/>
                <w:szCs w:val="22"/>
              </w:rPr>
              <w:t>24</w:t>
            </w:r>
          </w:p>
        </w:tc>
        <w:tc>
          <w:tcPr>
            <w:tcW w:w="1418" w:type="dxa"/>
          </w:tcPr>
          <w:p w14:paraId="56C2F206" w14:textId="72DFEC36" w:rsidR="00A4290E" w:rsidRPr="006F2FFB" w:rsidRDefault="00A4290E" w:rsidP="00A4290E">
            <w:pPr>
              <w:spacing w:after="0"/>
              <w:jc w:val="right"/>
              <w:rPr>
                <w:sz w:val="22"/>
                <w:szCs w:val="22"/>
              </w:rPr>
            </w:pPr>
            <w:r w:rsidRPr="006F2FFB">
              <w:rPr>
                <w:rFonts w:cs="Calibri"/>
                <w:color w:val="000000"/>
                <w:sz w:val="22"/>
                <w:szCs w:val="22"/>
              </w:rPr>
              <w:t>1</w:t>
            </w:r>
          </w:p>
        </w:tc>
        <w:tc>
          <w:tcPr>
            <w:tcW w:w="1559" w:type="dxa"/>
          </w:tcPr>
          <w:p w14:paraId="0FCBA84C" w14:textId="2618E168" w:rsidR="00A4290E" w:rsidRPr="006F2FFB" w:rsidRDefault="00A4290E" w:rsidP="00A4290E">
            <w:pPr>
              <w:spacing w:after="0"/>
              <w:jc w:val="right"/>
              <w:rPr>
                <w:sz w:val="22"/>
                <w:szCs w:val="22"/>
              </w:rPr>
            </w:pPr>
            <w:r w:rsidRPr="006F2FFB">
              <w:rPr>
                <w:rFonts w:cs="Calibri"/>
                <w:color w:val="000000"/>
                <w:sz w:val="22"/>
                <w:szCs w:val="22"/>
              </w:rPr>
              <w:t>4.2%</w:t>
            </w:r>
          </w:p>
        </w:tc>
        <w:tc>
          <w:tcPr>
            <w:tcW w:w="1701" w:type="dxa"/>
          </w:tcPr>
          <w:p w14:paraId="13043677" w14:textId="50B0D9FA" w:rsidR="00A4290E" w:rsidRPr="006F2FFB" w:rsidRDefault="00A4290E" w:rsidP="00A4290E">
            <w:pPr>
              <w:spacing w:after="0"/>
              <w:jc w:val="right"/>
              <w:rPr>
                <w:rFonts w:cs="Calibri"/>
                <w:color w:val="000000"/>
                <w:sz w:val="22"/>
                <w:szCs w:val="22"/>
              </w:rPr>
            </w:pPr>
            <w:r>
              <w:rPr>
                <w:rFonts w:cs="Calibri"/>
                <w:color w:val="000000"/>
                <w:sz w:val="22"/>
                <w:szCs w:val="22"/>
              </w:rPr>
              <w:t>28</w:t>
            </w:r>
          </w:p>
        </w:tc>
        <w:tc>
          <w:tcPr>
            <w:tcW w:w="1559" w:type="dxa"/>
          </w:tcPr>
          <w:p w14:paraId="23AA3851" w14:textId="72A4CE4A" w:rsidR="00A4290E" w:rsidRPr="006F2FFB" w:rsidRDefault="00A4290E" w:rsidP="00A4290E">
            <w:pPr>
              <w:spacing w:after="0"/>
              <w:jc w:val="right"/>
              <w:rPr>
                <w:rFonts w:cs="Calibri"/>
                <w:color w:val="000000"/>
                <w:sz w:val="22"/>
                <w:szCs w:val="22"/>
              </w:rPr>
            </w:pPr>
            <w:r>
              <w:rPr>
                <w:rFonts w:cs="Calibri"/>
                <w:color w:val="000000"/>
                <w:sz w:val="22"/>
                <w:szCs w:val="22"/>
              </w:rPr>
              <w:t>0</w:t>
            </w:r>
          </w:p>
        </w:tc>
        <w:tc>
          <w:tcPr>
            <w:tcW w:w="1701" w:type="dxa"/>
          </w:tcPr>
          <w:p w14:paraId="543F4109" w14:textId="1707C9DD" w:rsidR="00A4290E" w:rsidRPr="006F2FFB" w:rsidRDefault="00A4290E" w:rsidP="00A4290E">
            <w:pPr>
              <w:spacing w:after="0"/>
              <w:jc w:val="right"/>
              <w:rPr>
                <w:rFonts w:cs="Calibri"/>
                <w:color w:val="000000"/>
                <w:sz w:val="22"/>
                <w:szCs w:val="22"/>
              </w:rPr>
            </w:pPr>
            <w:r>
              <w:rPr>
                <w:rFonts w:cs="Calibri"/>
                <w:color w:val="000000"/>
                <w:sz w:val="22"/>
                <w:szCs w:val="22"/>
              </w:rPr>
              <w:t>0.0%</w:t>
            </w:r>
          </w:p>
        </w:tc>
      </w:tr>
      <w:tr w:rsidR="00A4290E" w:rsidRPr="006F2FFB" w14:paraId="4D4993B0" w14:textId="77777777" w:rsidTr="000B04F5">
        <w:trPr>
          <w:jc w:val="center"/>
        </w:trPr>
        <w:tc>
          <w:tcPr>
            <w:tcW w:w="1706" w:type="dxa"/>
            <w:vAlign w:val="bottom"/>
          </w:tcPr>
          <w:p w14:paraId="3DF8CE6E" w14:textId="713D18E2" w:rsidR="00A4290E" w:rsidRPr="006F2FFB" w:rsidRDefault="00A4290E" w:rsidP="00A4290E">
            <w:pPr>
              <w:rPr>
                <w:sz w:val="22"/>
                <w:szCs w:val="22"/>
              </w:rPr>
            </w:pPr>
            <w:r w:rsidRPr="006F2FFB">
              <w:rPr>
                <w:rFonts w:cs="Calibri"/>
                <w:color w:val="000000"/>
                <w:sz w:val="22"/>
                <w:szCs w:val="22"/>
              </w:rPr>
              <w:t>Office of the Revenue Commissio</w:t>
            </w:r>
            <w:r>
              <w:rPr>
                <w:rFonts w:cs="Calibri"/>
                <w:color w:val="000000"/>
                <w:sz w:val="22"/>
                <w:szCs w:val="22"/>
              </w:rPr>
              <w:t>ners</w:t>
            </w:r>
          </w:p>
        </w:tc>
        <w:tc>
          <w:tcPr>
            <w:tcW w:w="1701" w:type="dxa"/>
          </w:tcPr>
          <w:p w14:paraId="0D143A0A" w14:textId="4FD5ACC2" w:rsidR="00A4290E" w:rsidRPr="006F2FFB" w:rsidRDefault="00A4290E" w:rsidP="00A4290E">
            <w:pPr>
              <w:jc w:val="right"/>
              <w:rPr>
                <w:sz w:val="22"/>
                <w:szCs w:val="22"/>
              </w:rPr>
            </w:pPr>
            <w:r w:rsidRPr="006F2FFB">
              <w:rPr>
                <w:rFonts w:cs="Calibri"/>
                <w:color w:val="000000"/>
                <w:sz w:val="22"/>
                <w:szCs w:val="22"/>
              </w:rPr>
              <w:t>6,783</w:t>
            </w:r>
          </w:p>
        </w:tc>
        <w:tc>
          <w:tcPr>
            <w:tcW w:w="1418" w:type="dxa"/>
          </w:tcPr>
          <w:p w14:paraId="5C035092" w14:textId="74F65EC7" w:rsidR="00A4290E" w:rsidRPr="006F2FFB" w:rsidRDefault="00A4290E" w:rsidP="00A4290E">
            <w:pPr>
              <w:spacing w:after="0"/>
              <w:jc w:val="right"/>
              <w:rPr>
                <w:sz w:val="22"/>
                <w:szCs w:val="22"/>
              </w:rPr>
            </w:pPr>
            <w:r w:rsidRPr="006F2FFB">
              <w:rPr>
                <w:rFonts w:cs="Calibri"/>
                <w:color w:val="000000"/>
                <w:sz w:val="22"/>
                <w:szCs w:val="22"/>
              </w:rPr>
              <w:t>280</w:t>
            </w:r>
          </w:p>
        </w:tc>
        <w:tc>
          <w:tcPr>
            <w:tcW w:w="1559" w:type="dxa"/>
          </w:tcPr>
          <w:p w14:paraId="0636E110" w14:textId="2C267A8C" w:rsidR="00A4290E" w:rsidRPr="006F2FFB" w:rsidRDefault="00A4290E" w:rsidP="00A4290E">
            <w:pPr>
              <w:jc w:val="right"/>
              <w:rPr>
                <w:sz w:val="22"/>
                <w:szCs w:val="22"/>
              </w:rPr>
            </w:pPr>
            <w:r w:rsidRPr="006F2FFB">
              <w:rPr>
                <w:rFonts w:cs="Calibri"/>
                <w:color w:val="000000"/>
                <w:sz w:val="22"/>
                <w:szCs w:val="22"/>
              </w:rPr>
              <w:t>4.1%</w:t>
            </w:r>
          </w:p>
        </w:tc>
        <w:tc>
          <w:tcPr>
            <w:tcW w:w="1701" w:type="dxa"/>
          </w:tcPr>
          <w:p w14:paraId="0264C522" w14:textId="2BA71C4B" w:rsidR="00A4290E" w:rsidRPr="006F2FFB" w:rsidRDefault="00A4290E" w:rsidP="00A4290E">
            <w:pPr>
              <w:jc w:val="right"/>
              <w:rPr>
                <w:sz w:val="22"/>
                <w:szCs w:val="22"/>
              </w:rPr>
            </w:pPr>
            <w:r>
              <w:rPr>
                <w:rFonts w:cs="Calibri"/>
                <w:color w:val="000000"/>
                <w:sz w:val="22"/>
                <w:szCs w:val="22"/>
              </w:rPr>
              <w:t>6851</w:t>
            </w:r>
          </w:p>
        </w:tc>
        <w:tc>
          <w:tcPr>
            <w:tcW w:w="1559" w:type="dxa"/>
          </w:tcPr>
          <w:p w14:paraId="6EEB642B" w14:textId="378AE884" w:rsidR="00A4290E" w:rsidRPr="006F2FFB" w:rsidRDefault="00A4290E" w:rsidP="00A4290E">
            <w:pPr>
              <w:jc w:val="right"/>
              <w:rPr>
                <w:sz w:val="22"/>
                <w:szCs w:val="22"/>
              </w:rPr>
            </w:pPr>
            <w:r>
              <w:rPr>
                <w:rFonts w:cs="Calibri"/>
                <w:color w:val="000000"/>
                <w:sz w:val="22"/>
                <w:szCs w:val="22"/>
              </w:rPr>
              <w:t>266</w:t>
            </w:r>
          </w:p>
        </w:tc>
        <w:tc>
          <w:tcPr>
            <w:tcW w:w="1701" w:type="dxa"/>
          </w:tcPr>
          <w:p w14:paraId="576EB604" w14:textId="20D7D03F" w:rsidR="00A4290E" w:rsidRPr="006F2FFB" w:rsidRDefault="00A4290E" w:rsidP="00A4290E">
            <w:pPr>
              <w:jc w:val="right"/>
              <w:rPr>
                <w:sz w:val="22"/>
                <w:szCs w:val="22"/>
              </w:rPr>
            </w:pPr>
            <w:r>
              <w:rPr>
                <w:rFonts w:cs="Calibri"/>
                <w:color w:val="000000"/>
                <w:sz w:val="22"/>
                <w:szCs w:val="22"/>
              </w:rPr>
              <w:t>3.9%</w:t>
            </w:r>
          </w:p>
        </w:tc>
      </w:tr>
      <w:tr w:rsidR="00A4290E" w:rsidRPr="006F2FFB" w14:paraId="27466A63" w14:textId="77777777" w:rsidTr="000B04F5">
        <w:trPr>
          <w:jc w:val="center"/>
        </w:trPr>
        <w:tc>
          <w:tcPr>
            <w:tcW w:w="1706" w:type="dxa"/>
            <w:vAlign w:val="bottom"/>
          </w:tcPr>
          <w:p w14:paraId="2D6BB2ED" w14:textId="21FCB95C" w:rsidR="00A4290E" w:rsidRPr="006F2FFB" w:rsidRDefault="00A4290E" w:rsidP="00A4290E">
            <w:pPr>
              <w:rPr>
                <w:sz w:val="22"/>
                <w:szCs w:val="22"/>
              </w:rPr>
            </w:pPr>
            <w:r w:rsidRPr="006F2FFB">
              <w:rPr>
                <w:rFonts w:cs="Calibri"/>
                <w:color w:val="000000"/>
                <w:sz w:val="22"/>
                <w:szCs w:val="22"/>
              </w:rPr>
              <w:t>Ombudsman for Children's Office</w:t>
            </w:r>
          </w:p>
        </w:tc>
        <w:tc>
          <w:tcPr>
            <w:tcW w:w="1701" w:type="dxa"/>
          </w:tcPr>
          <w:p w14:paraId="17BBF655" w14:textId="13319E36" w:rsidR="00A4290E" w:rsidRPr="006F2FFB" w:rsidRDefault="00A4290E" w:rsidP="00A4290E">
            <w:pPr>
              <w:jc w:val="right"/>
              <w:rPr>
                <w:sz w:val="22"/>
                <w:szCs w:val="22"/>
              </w:rPr>
            </w:pPr>
            <w:r w:rsidRPr="006F2FFB">
              <w:rPr>
                <w:rFonts w:cs="Calibri"/>
                <w:color w:val="000000"/>
                <w:sz w:val="22"/>
                <w:szCs w:val="22"/>
              </w:rPr>
              <w:t>30</w:t>
            </w:r>
          </w:p>
        </w:tc>
        <w:tc>
          <w:tcPr>
            <w:tcW w:w="1418" w:type="dxa"/>
          </w:tcPr>
          <w:p w14:paraId="20E5D241" w14:textId="2082F30D" w:rsidR="00A4290E" w:rsidRPr="006F2FFB" w:rsidRDefault="00A4290E" w:rsidP="00A4290E">
            <w:pPr>
              <w:spacing w:after="0"/>
              <w:jc w:val="right"/>
              <w:rPr>
                <w:sz w:val="22"/>
                <w:szCs w:val="22"/>
              </w:rPr>
            </w:pPr>
            <w:r w:rsidRPr="006F2FFB">
              <w:rPr>
                <w:rFonts w:cs="Calibri"/>
                <w:color w:val="000000"/>
                <w:sz w:val="22"/>
                <w:szCs w:val="22"/>
              </w:rPr>
              <w:t>2</w:t>
            </w:r>
          </w:p>
        </w:tc>
        <w:tc>
          <w:tcPr>
            <w:tcW w:w="1559" w:type="dxa"/>
          </w:tcPr>
          <w:p w14:paraId="2BBFC402" w14:textId="21E2D9EB" w:rsidR="00A4290E" w:rsidRPr="006F2FFB" w:rsidRDefault="00A4290E" w:rsidP="00A4290E">
            <w:pPr>
              <w:jc w:val="right"/>
              <w:rPr>
                <w:sz w:val="22"/>
                <w:szCs w:val="22"/>
              </w:rPr>
            </w:pPr>
            <w:r w:rsidRPr="006F2FFB">
              <w:rPr>
                <w:rFonts w:cs="Calibri"/>
                <w:color w:val="000000"/>
                <w:sz w:val="22"/>
                <w:szCs w:val="22"/>
              </w:rPr>
              <w:t>6.7%</w:t>
            </w:r>
          </w:p>
        </w:tc>
        <w:tc>
          <w:tcPr>
            <w:tcW w:w="1701" w:type="dxa"/>
          </w:tcPr>
          <w:p w14:paraId="76CF43A2" w14:textId="44F5463B" w:rsidR="00A4290E" w:rsidRPr="006F2FFB" w:rsidRDefault="00A4290E" w:rsidP="00A4290E">
            <w:pPr>
              <w:jc w:val="right"/>
              <w:rPr>
                <w:sz w:val="22"/>
                <w:szCs w:val="22"/>
              </w:rPr>
            </w:pPr>
            <w:r>
              <w:rPr>
                <w:rFonts w:cs="Calibri"/>
                <w:color w:val="000000"/>
                <w:sz w:val="22"/>
                <w:szCs w:val="22"/>
              </w:rPr>
              <w:t>39</w:t>
            </w:r>
          </w:p>
        </w:tc>
        <w:tc>
          <w:tcPr>
            <w:tcW w:w="1559" w:type="dxa"/>
          </w:tcPr>
          <w:p w14:paraId="0862A5ED" w14:textId="6706DEB3" w:rsidR="00A4290E" w:rsidRPr="006F2FFB" w:rsidRDefault="00A4290E" w:rsidP="00A4290E">
            <w:pPr>
              <w:jc w:val="right"/>
              <w:rPr>
                <w:sz w:val="22"/>
                <w:szCs w:val="22"/>
              </w:rPr>
            </w:pPr>
            <w:r>
              <w:rPr>
                <w:rFonts w:cs="Calibri"/>
                <w:color w:val="000000"/>
                <w:sz w:val="22"/>
                <w:szCs w:val="22"/>
              </w:rPr>
              <w:t>2</w:t>
            </w:r>
          </w:p>
        </w:tc>
        <w:tc>
          <w:tcPr>
            <w:tcW w:w="1701" w:type="dxa"/>
          </w:tcPr>
          <w:p w14:paraId="4B84232E" w14:textId="125CB3C4" w:rsidR="00A4290E" w:rsidRPr="006F2FFB" w:rsidRDefault="00A4290E" w:rsidP="00A4290E">
            <w:pPr>
              <w:jc w:val="right"/>
              <w:rPr>
                <w:sz w:val="22"/>
                <w:szCs w:val="22"/>
              </w:rPr>
            </w:pPr>
            <w:r>
              <w:rPr>
                <w:rFonts w:cs="Calibri"/>
                <w:color w:val="000000"/>
                <w:sz w:val="22"/>
                <w:szCs w:val="22"/>
              </w:rPr>
              <w:t>5.1%</w:t>
            </w:r>
          </w:p>
        </w:tc>
      </w:tr>
      <w:tr w:rsidR="00A4290E" w:rsidRPr="006F2FFB" w14:paraId="010599AB" w14:textId="77777777" w:rsidTr="000B04F5">
        <w:trPr>
          <w:jc w:val="center"/>
        </w:trPr>
        <w:tc>
          <w:tcPr>
            <w:tcW w:w="1706" w:type="dxa"/>
            <w:vAlign w:val="bottom"/>
          </w:tcPr>
          <w:p w14:paraId="38A2B03C" w14:textId="18A0132A" w:rsidR="00A4290E" w:rsidRPr="006F2FFB" w:rsidRDefault="0056603B" w:rsidP="00A4290E">
            <w:pPr>
              <w:rPr>
                <w:sz w:val="22"/>
                <w:szCs w:val="22"/>
              </w:rPr>
            </w:pPr>
            <w:r w:rsidRPr="0056603B">
              <w:rPr>
                <w:rFonts w:cs="Calibri"/>
                <w:b/>
                <w:bCs/>
                <w:color w:val="000000"/>
                <w:sz w:val="22"/>
                <w:szCs w:val="22"/>
              </w:rPr>
              <w:t>*</w:t>
            </w:r>
            <w:r w:rsidR="00A4290E" w:rsidRPr="006F2FFB">
              <w:rPr>
                <w:rFonts w:cs="Calibri"/>
                <w:color w:val="000000"/>
                <w:sz w:val="22"/>
                <w:szCs w:val="22"/>
              </w:rPr>
              <w:t>Policing Authority</w:t>
            </w:r>
          </w:p>
        </w:tc>
        <w:tc>
          <w:tcPr>
            <w:tcW w:w="1701" w:type="dxa"/>
          </w:tcPr>
          <w:p w14:paraId="544FB953" w14:textId="18D5C924" w:rsidR="00A4290E" w:rsidRPr="006F2FFB" w:rsidRDefault="00A4290E" w:rsidP="00A4290E">
            <w:pPr>
              <w:jc w:val="right"/>
              <w:rPr>
                <w:sz w:val="22"/>
                <w:szCs w:val="22"/>
              </w:rPr>
            </w:pPr>
            <w:r w:rsidRPr="006F2FFB">
              <w:rPr>
                <w:rFonts w:cs="Calibri"/>
                <w:color w:val="000000"/>
                <w:sz w:val="22"/>
                <w:szCs w:val="22"/>
              </w:rPr>
              <w:t>38</w:t>
            </w:r>
          </w:p>
        </w:tc>
        <w:tc>
          <w:tcPr>
            <w:tcW w:w="1418" w:type="dxa"/>
          </w:tcPr>
          <w:p w14:paraId="11858297" w14:textId="6B70AEAC" w:rsidR="00A4290E" w:rsidRPr="006F2FFB" w:rsidRDefault="00A4290E" w:rsidP="00A4290E">
            <w:pPr>
              <w:spacing w:after="0"/>
              <w:jc w:val="right"/>
              <w:rPr>
                <w:sz w:val="22"/>
                <w:szCs w:val="22"/>
              </w:rPr>
            </w:pPr>
            <w:r w:rsidRPr="006F2FFB">
              <w:rPr>
                <w:rFonts w:cs="Calibri"/>
                <w:color w:val="000000"/>
                <w:sz w:val="22"/>
                <w:szCs w:val="22"/>
              </w:rPr>
              <w:t>3</w:t>
            </w:r>
          </w:p>
        </w:tc>
        <w:tc>
          <w:tcPr>
            <w:tcW w:w="1559" w:type="dxa"/>
          </w:tcPr>
          <w:p w14:paraId="49EFA1BD" w14:textId="138AABFC" w:rsidR="00A4290E" w:rsidRPr="006F2FFB" w:rsidRDefault="00A4290E" w:rsidP="00A4290E">
            <w:pPr>
              <w:jc w:val="right"/>
              <w:rPr>
                <w:sz w:val="22"/>
                <w:szCs w:val="22"/>
              </w:rPr>
            </w:pPr>
            <w:r w:rsidRPr="006F2FFB">
              <w:rPr>
                <w:rFonts w:cs="Calibri"/>
                <w:color w:val="000000"/>
                <w:sz w:val="22"/>
                <w:szCs w:val="22"/>
              </w:rPr>
              <w:t>7.9%</w:t>
            </w:r>
          </w:p>
        </w:tc>
        <w:tc>
          <w:tcPr>
            <w:tcW w:w="1701" w:type="dxa"/>
          </w:tcPr>
          <w:p w14:paraId="091CA30F" w14:textId="10942F3C" w:rsidR="00A4290E" w:rsidRPr="006F2FFB" w:rsidRDefault="00A4290E" w:rsidP="00A4290E">
            <w:pPr>
              <w:jc w:val="right"/>
              <w:rPr>
                <w:sz w:val="22"/>
                <w:szCs w:val="22"/>
              </w:rPr>
            </w:pPr>
            <w:r>
              <w:rPr>
                <w:rFonts w:cs="Calibri"/>
                <w:color w:val="000000"/>
                <w:sz w:val="22"/>
                <w:szCs w:val="22"/>
              </w:rPr>
              <w:t>38</w:t>
            </w:r>
          </w:p>
        </w:tc>
        <w:tc>
          <w:tcPr>
            <w:tcW w:w="1559" w:type="dxa"/>
          </w:tcPr>
          <w:p w14:paraId="2AA8304C" w14:textId="0D9A7590" w:rsidR="00A4290E" w:rsidRPr="006F2FFB" w:rsidRDefault="00A4290E" w:rsidP="00A4290E">
            <w:pPr>
              <w:jc w:val="right"/>
              <w:rPr>
                <w:sz w:val="22"/>
                <w:szCs w:val="22"/>
              </w:rPr>
            </w:pPr>
            <w:r>
              <w:rPr>
                <w:rFonts w:cs="Calibri"/>
                <w:color w:val="000000"/>
                <w:sz w:val="22"/>
                <w:szCs w:val="22"/>
              </w:rPr>
              <w:t>4</w:t>
            </w:r>
          </w:p>
        </w:tc>
        <w:tc>
          <w:tcPr>
            <w:tcW w:w="1701" w:type="dxa"/>
          </w:tcPr>
          <w:p w14:paraId="11518FC8" w14:textId="0969267F" w:rsidR="00A4290E" w:rsidRPr="006F2FFB" w:rsidRDefault="00A4290E" w:rsidP="00A4290E">
            <w:pPr>
              <w:jc w:val="right"/>
              <w:rPr>
                <w:sz w:val="22"/>
                <w:szCs w:val="22"/>
              </w:rPr>
            </w:pPr>
            <w:r>
              <w:rPr>
                <w:rFonts w:cs="Calibri"/>
                <w:color w:val="000000"/>
                <w:sz w:val="22"/>
                <w:szCs w:val="22"/>
              </w:rPr>
              <w:t>10.5%</w:t>
            </w:r>
          </w:p>
        </w:tc>
      </w:tr>
      <w:tr w:rsidR="00A4290E" w:rsidRPr="006F2FFB" w14:paraId="1A53B0C7" w14:textId="77777777" w:rsidTr="000B04F5">
        <w:trPr>
          <w:jc w:val="center"/>
        </w:trPr>
        <w:tc>
          <w:tcPr>
            <w:tcW w:w="1706" w:type="dxa"/>
            <w:vAlign w:val="bottom"/>
          </w:tcPr>
          <w:p w14:paraId="0E005FC4" w14:textId="2C74FB3F" w:rsidR="00A4290E" w:rsidRPr="006F2FFB" w:rsidRDefault="00A4290E" w:rsidP="00A4290E">
            <w:pPr>
              <w:spacing w:after="0"/>
              <w:rPr>
                <w:sz w:val="22"/>
                <w:szCs w:val="22"/>
              </w:rPr>
            </w:pPr>
            <w:r w:rsidRPr="006F2FFB">
              <w:rPr>
                <w:rFonts w:cs="Calibri"/>
                <w:color w:val="000000"/>
                <w:sz w:val="22"/>
                <w:szCs w:val="22"/>
              </w:rPr>
              <w:t>President’s Establishment</w:t>
            </w:r>
            <w:r w:rsidRPr="006F2FFB">
              <w:rPr>
                <w:sz w:val="22"/>
                <w:szCs w:val="22"/>
              </w:rPr>
              <w:t xml:space="preserve"> </w:t>
            </w:r>
          </w:p>
          <w:p w14:paraId="14449FE8" w14:textId="4FF086DE" w:rsidR="00A4290E" w:rsidRPr="006F2FFB" w:rsidRDefault="00A4290E" w:rsidP="00A4290E">
            <w:pPr>
              <w:rPr>
                <w:sz w:val="22"/>
                <w:szCs w:val="22"/>
              </w:rPr>
            </w:pPr>
          </w:p>
        </w:tc>
        <w:tc>
          <w:tcPr>
            <w:tcW w:w="1701" w:type="dxa"/>
          </w:tcPr>
          <w:p w14:paraId="27B74061" w14:textId="4AC6EC56" w:rsidR="00A4290E" w:rsidRPr="006F2FFB" w:rsidRDefault="00A4290E" w:rsidP="00A4290E">
            <w:pPr>
              <w:jc w:val="right"/>
              <w:rPr>
                <w:sz w:val="22"/>
                <w:szCs w:val="22"/>
              </w:rPr>
            </w:pPr>
            <w:r w:rsidRPr="006F2FFB">
              <w:rPr>
                <w:rFonts w:cs="Calibri"/>
                <w:color w:val="000000"/>
                <w:sz w:val="22"/>
                <w:szCs w:val="22"/>
              </w:rPr>
              <w:t>23</w:t>
            </w:r>
          </w:p>
        </w:tc>
        <w:tc>
          <w:tcPr>
            <w:tcW w:w="1418" w:type="dxa"/>
          </w:tcPr>
          <w:p w14:paraId="3C2D8C73" w14:textId="6ECB6ACE" w:rsidR="00A4290E" w:rsidRPr="006F2FFB" w:rsidRDefault="00A4290E" w:rsidP="00A4290E">
            <w:pPr>
              <w:spacing w:after="0"/>
              <w:jc w:val="right"/>
              <w:rPr>
                <w:sz w:val="22"/>
                <w:szCs w:val="22"/>
              </w:rPr>
            </w:pPr>
            <w:r w:rsidRPr="006F2FFB">
              <w:rPr>
                <w:rFonts w:cs="Calibri"/>
                <w:color w:val="000000"/>
                <w:sz w:val="22"/>
                <w:szCs w:val="22"/>
              </w:rPr>
              <w:t>0</w:t>
            </w:r>
          </w:p>
        </w:tc>
        <w:tc>
          <w:tcPr>
            <w:tcW w:w="1559" w:type="dxa"/>
          </w:tcPr>
          <w:p w14:paraId="3A71EEFF" w14:textId="39452587" w:rsidR="00A4290E" w:rsidRPr="006F2FFB" w:rsidRDefault="00A4290E" w:rsidP="00A4290E">
            <w:pPr>
              <w:jc w:val="right"/>
              <w:rPr>
                <w:sz w:val="22"/>
                <w:szCs w:val="22"/>
              </w:rPr>
            </w:pPr>
            <w:r w:rsidRPr="006F2FFB">
              <w:rPr>
                <w:rFonts w:cs="Calibri"/>
                <w:color w:val="000000"/>
                <w:sz w:val="22"/>
                <w:szCs w:val="22"/>
              </w:rPr>
              <w:t>0.0%</w:t>
            </w:r>
          </w:p>
        </w:tc>
        <w:tc>
          <w:tcPr>
            <w:tcW w:w="1701" w:type="dxa"/>
          </w:tcPr>
          <w:p w14:paraId="3FEA7099" w14:textId="1FE4D68F" w:rsidR="00A4290E" w:rsidRPr="006F2FFB" w:rsidRDefault="00A4290E" w:rsidP="00A4290E">
            <w:pPr>
              <w:jc w:val="right"/>
              <w:rPr>
                <w:sz w:val="22"/>
                <w:szCs w:val="22"/>
              </w:rPr>
            </w:pPr>
            <w:r>
              <w:rPr>
                <w:rFonts w:cs="Calibri"/>
                <w:color w:val="000000"/>
                <w:sz w:val="22"/>
                <w:szCs w:val="22"/>
              </w:rPr>
              <w:t>27</w:t>
            </w:r>
          </w:p>
        </w:tc>
        <w:tc>
          <w:tcPr>
            <w:tcW w:w="1559" w:type="dxa"/>
          </w:tcPr>
          <w:p w14:paraId="1FEE6DC2" w14:textId="799CC470" w:rsidR="00A4290E" w:rsidRPr="006F2FFB" w:rsidRDefault="00A4290E" w:rsidP="00A4290E">
            <w:pPr>
              <w:jc w:val="right"/>
              <w:rPr>
                <w:sz w:val="22"/>
                <w:szCs w:val="22"/>
              </w:rPr>
            </w:pPr>
            <w:r>
              <w:rPr>
                <w:rFonts w:cs="Calibri"/>
                <w:color w:val="000000"/>
                <w:sz w:val="22"/>
                <w:szCs w:val="22"/>
              </w:rPr>
              <w:t>0</w:t>
            </w:r>
          </w:p>
        </w:tc>
        <w:tc>
          <w:tcPr>
            <w:tcW w:w="1701" w:type="dxa"/>
          </w:tcPr>
          <w:p w14:paraId="18F56C98" w14:textId="21F683C5" w:rsidR="00A4290E" w:rsidRPr="006F2FFB" w:rsidRDefault="00A4290E" w:rsidP="00A4290E">
            <w:pPr>
              <w:jc w:val="right"/>
              <w:rPr>
                <w:sz w:val="22"/>
                <w:szCs w:val="22"/>
              </w:rPr>
            </w:pPr>
            <w:r>
              <w:rPr>
                <w:rFonts w:cs="Calibri"/>
                <w:color w:val="000000"/>
                <w:sz w:val="22"/>
                <w:szCs w:val="22"/>
              </w:rPr>
              <w:t>0.0%</w:t>
            </w:r>
          </w:p>
        </w:tc>
      </w:tr>
      <w:tr w:rsidR="00A4290E" w:rsidRPr="006F2FFB" w14:paraId="51103D26" w14:textId="77777777" w:rsidTr="000B04F5">
        <w:trPr>
          <w:jc w:val="center"/>
        </w:trPr>
        <w:tc>
          <w:tcPr>
            <w:tcW w:w="1706" w:type="dxa"/>
            <w:vAlign w:val="bottom"/>
          </w:tcPr>
          <w:p w14:paraId="0C33A855" w14:textId="13A68749" w:rsidR="00A4290E" w:rsidRPr="006F2FFB" w:rsidRDefault="00A4290E" w:rsidP="00A4290E">
            <w:pPr>
              <w:rPr>
                <w:sz w:val="22"/>
                <w:szCs w:val="22"/>
              </w:rPr>
            </w:pPr>
            <w:r w:rsidRPr="006F2FFB">
              <w:rPr>
                <w:rFonts w:cs="Calibri"/>
                <w:color w:val="000000"/>
                <w:sz w:val="22"/>
                <w:szCs w:val="22"/>
              </w:rPr>
              <w:t>Property Registration Authority</w:t>
            </w:r>
          </w:p>
        </w:tc>
        <w:tc>
          <w:tcPr>
            <w:tcW w:w="1701" w:type="dxa"/>
          </w:tcPr>
          <w:p w14:paraId="34CD7A4E" w14:textId="7CF42A36" w:rsidR="00A4290E" w:rsidRPr="006F2FFB" w:rsidRDefault="00A4290E" w:rsidP="00A4290E">
            <w:pPr>
              <w:jc w:val="right"/>
              <w:rPr>
                <w:sz w:val="22"/>
                <w:szCs w:val="22"/>
              </w:rPr>
            </w:pPr>
            <w:r w:rsidRPr="006F2FFB">
              <w:rPr>
                <w:rFonts w:cs="Calibri"/>
                <w:color w:val="000000"/>
                <w:sz w:val="22"/>
                <w:szCs w:val="22"/>
              </w:rPr>
              <w:t>531</w:t>
            </w:r>
          </w:p>
        </w:tc>
        <w:tc>
          <w:tcPr>
            <w:tcW w:w="1418" w:type="dxa"/>
          </w:tcPr>
          <w:p w14:paraId="49D9C95E" w14:textId="46FC8A36" w:rsidR="00A4290E" w:rsidRPr="006F2FFB" w:rsidRDefault="00A4290E" w:rsidP="00A4290E">
            <w:pPr>
              <w:spacing w:after="0"/>
              <w:jc w:val="right"/>
              <w:rPr>
                <w:sz w:val="22"/>
                <w:szCs w:val="22"/>
              </w:rPr>
            </w:pPr>
            <w:r w:rsidRPr="006F2FFB">
              <w:rPr>
                <w:rFonts w:cs="Calibri"/>
                <w:color w:val="000000"/>
                <w:sz w:val="22"/>
                <w:szCs w:val="22"/>
              </w:rPr>
              <w:t>39</w:t>
            </w:r>
          </w:p>
        </w:tc>
        <w:tc>
          <w:tcPr>
            <w:tcW w:w="1559" w:type="dxa"/>
          </w:tcPr>
          <w:p w14:paraId="430EFC7B" w14:textId="3395CB10" w:rsidR="00A4290E" w:rsidRPr="006F2FFB" w:rsidRDefault="00A4290E" w:rsidP="00A4290E">
            <w:pPr>
              <w:jc w:val="right"/>
              <w:rPr>
                <w:sz w:val="22"/>
                <w:szCs w:val="22"/>
              </w:rPr>
            </w:pPr>
            <w:r w:rsidRPr="006F2FFB">
              <w:rPr>
                <w:rFonts w:cs="Calibri"/>
                <w:color w:val="000000"/>
                <w:sz w:val="22"/>
                <w:szCs w:val="22"/>
              </w:rPr>
              <w:t>7.3%</w:t>
            </w:r>
          </w:p>
        </w:tc>
        <w:tc>
          <w:tcPr>
            <w:tcW w:w="1701" w:type="dxa"/>
          </w:tcPr>
          <w:p w14:paraId="30F8D2A7" w14:textId="2907E38C" w:rsidR="00A4290E" w:rsidRPr="006F2FFB" w:rsidRDefault="00A4290E" w:rsidP="00A4290E">
            <w:pPr>
              <w:jc w:val="right"/>
              <w:rPr>
                <w:sz w:val="22"/>
                <w:szCs w:val="22"/>
              </w:rPr>
            </w:pPr>
            <w:r>
              <w:rPr>
                <w:rFonts w:cs="Calibri"/>
                <w:color w:val="000000"/>
                <w:sz w:val="22"/>
                <w:szCs w:val="22"/>
              </w:rPr>
              <w:t>538</w:t>
            </w:r>
          </w:p>
        </w:tc>
        <w:tc>
          <w:tcPr>
            <w:tcW w:w="1559" w:type="dxa"/>
          </w:tcPr>
          <w:p w14:paraId="54B60D95" w14:textId="0E29068F" w:rsidR="00A4290E" w:rsidRPr="006F2FFB" w:rsidRDefault="00A4290E" w:rsidP="00A4290E">
            <w:pPr>
              <w:jc w:val="right"/>
              <w:rPr>
                <w:sz w:val="22"/>
                <w:szCs w:val="22"/>
              </w:rPr>
            </w:pPr>
            <w:r>
              <w:rPr>
                <w:rFonts w:cs="Calibri"/>
                <w:color w:val="000000"/>
                <w:sz w:val="22"/>
                <w:szCs w:val="22"/>
              </w:rPr>
              <w:t>39</w:t>
            </w:r>
          </w:p>
        </w:tc>
        <w:tc>
          <w:tcPr>
            <w:tcW w:w="1701" w:type="dxa"/>
          </w:tcPr>
          <w:p w14:paraId="673400D1" w14:textId="0929E7CC" w:rsidR="00A4290E" w:rsidRPr="006F2FFB" w:rsidRDefault="00A4290E" w:rsidP="00A4290E">
            <w:pPr>
              <w:jc w:val="right"/>
              <w:rPr>
                <w:sz w:val="22"/>
                <w:szCs w:val="22"/>
              </w:rPr>
            </w:pPr>
            <w:r>
              <w:rPr>
                <w:rFonts w:cs="Calibri"/>
                <w:color w:val="000000"/>
                <w:sz w:val="22"/>
                <w:szCs w:val="22"/>
              </w:rPr>
              <w:t>7.2%</w:t>
            </w:r>
          </w:p>
        </w:tc>
      </w:tr>
      <w:tr w:rsidR="00A4290E" w:rsidRPr="006F2FFB" w14:paraId="06541099" w14:textId="77777777" w:rsidTr="000B04F5">
        <w:trPr>
          <w:jc w:val="center"/>
        </w:trPr>
        <w:tc>
          <w:tcPr>
            <w:tcW w:w="1706" w:type="dxa"/>
            <w:vAlign w:val="bottom"/>
          </w:tcPr>
          <w:p w14:paraId="378D8A02" w14:textId="2CF518B4" w:rsidR="00A4290E" w:rsidRPr="006F2FFB" w:rsidRDefault="008363FF" w:rsidP="00A4290E">
            <w:pPr>
              <w:spacing w:after="0"/>
              <w:rPr>
                <w:sz w:val="22"/>
                <w:szCs w:val="22"/>
              </w:rPr>
            </w:pPr>
            <w:r w:rsidRPr="008363FF">
              <w:rPr>
                <w:rFonts w:cs="Calibri"/>
                <w:b/>
                <w:bCs/>
                <w:color w:val="000000"/>
                <w:sz w:val="22"/>
                <w:szCs w:val="22"/>
              </w:rPr>
              <w:t>*</w:t>
            </w:r>
            <w:r w:rsidR="00A4290E" w:rsidRPr="006F2FFB">
              <w:rPr>
                <w:rFonts w:cs="Calibri"/>
                <w:color w:val="000000"/>
                <w:sz w:val="22"/>
                <w:szCs w:val="22"/>
              </w:rPr>
              <w:t>Property Services Regulatory Authority</w:t>
            </w:r>
          </w:p>
        </w:tc>
        <w:tc>
          <w:tcPr>
            <w:tcW w:w="1701" w:type="dxa"/>
          </w:tcPr>
          <w:p w14:paraId="4BF43A1B" w14:textId="3D54978F" w:rsidR="00A4290E" w:rsidRPr="006F2FFB" w:rsidRDefault="00A4290E" w:rsidP="00A4290E">
            <w:pPr>
              <w:jc w:val="right"/>
              <w:rPr>
                <w:sz w:val="22"/>
                <w:szCs w:val="22"/>
              </w:rPr>
            </w:pPr>
            <w:r w:rsidRPr="006F2FFB">
              <w:rPr>
                <w:rFonts w:cs="Calibri"/>
                <w:color w:val="000000"/>
                <w:sz w:val="22"/>
                <w:szCs w:val="22"/>
              </w:rPr>
              <w:t>38</w:t>
            </w:r>
          </w:p>
        </w:tc>
        <w:tc>
          <w:tcPr>
            <w:tcW w:w="1418" w:type="dxa"/>
          </w:tcPr>
          <w:p w14:paraId="7365ED4E" w14:textId="50AF9552" w:rsidR="00A4290E" w:rsidRPr="006F2FFB" w:rsidRDefault="00A4290E" w:rsidP="00A4290E">
            <w:pPr>
              <w:spacing w:after="0"/>
              <w:jc w:val="right"/>
              <w:rPr>
                <w:sz w:val="22"/>
                <w:szCs w:val="22"/>
              </w:rPr>
            </w:pPr>
            <w:r w:rsidRPr="006F2FFB">
              <w:rPr>
                <w:rFonts w:cs="Calibri"/>
                <w:color w:val="000000"/>
                <w:sz w:val="22"/>
                <w:szCs w:val="22"/>
              </w:rPr>
              <w:t>4</w:t>
            </w:r>
          </w:p>
        </w:tc>
        <w:tc>
          <w:tcPr>
            <w:tcW w:w="1559" w:type="dxa"/>
          </w:tcPr>
          <w:p w14:paraId="284DBED3" w14:textId="576942B9" w:rsidR="00A4290E" w:rsidRPr="006F2FFB" w:rsidRDefault="00A4290E" w:rsidP="00A4290E">
            <w:pPr>
              <w:jc w:val="right"/>
              <w:rPr>
                <w:sz w:val="22"/>
                <w:szCs w:val="22"/>
              </w:rPr>
            </w:pPr>
            <w:r w:rsidRPr="006F2FFB">
              <w:rPr>
                <w:rFonts w:cs="Calibri"/>
                <w:color w:val="000000"/>
                <w:sz w:val="22"/>
                <w:szCs w:val="22"/>
              </w:rPr>
              <w:t>10.5%</w:t>
            </w:r>
          </w:p>
        </w:tc>
        <w:tc>
          <w:tcPr>
            <w:tcW w:w="1701" w:type="dxa"/>
          </w:tcPr>
          <w:p w14:paraId="499E774C" w14:textId="2EB14328" w:rsidR="00A4290E" w:rsidRPr="006F2FFB" w:rsidRDefault="00A4290E" w:rsidP="00A4290E">
            <w:pPr>
              <w:jc w:val="right"/>
              <w:rPr>
                <w:sz w:val="22"/>
                <w:szCs w:val="22"/>
              </w:rPr>
            </w:pPr>
            <w:r>
              <w:rPr>
                <w:rFonts w:cs="Calibri"/>
                <w:color w:val="000000"/>
                <w:sz w:val="22"/>
                <w:szCs w:val="22"/>
              </w:rPr>
              <w:t>41</w:t>
            </w:r>
          </w:p>
        </w:tc>
        <w:tc>
          <w:tcPr>
            <w:tcW w:w="1559" w:type="dxa"/>
          </w:tcPr>
          <w:p w14:paraId="5F5385DC" w14:textId="56ED57D1" w:rsidR="00A4290E" w:rsidRPr="006F2FFB" w:rsidRDefault="00A4290E" w:rsidP="00A4290E">
            <w:pPr>
              <w:jc w:val="right"/>
              <w:rPr>
                <w:sz w:val="22"/>
                <w:szCs w:val="22"/>
              </w:rPr>
            </w:pPr>
            <w:r>
              <w:rPr>
                <w:rFonts w:cs="Calibri"/>
                <w:color w:val="000000"/>
                <w:sz w:val="22"/>
                <w:szCs w:val="22"/>
              </w:rPr>
              <w:t>4</w:t>
            </w:r>
          </w:p>
        </w:tc>
        <w:tc>
          <w:tcPr>
            <w:tcW w:w="1701" w:type="dxa"/>
          </w:tcPr>
          <w:p w14:paraId="22432E4D" w14:textId="27AE3EAC" w:rsidR="00A4290E" w:rsidRPr="006F2FFB" w:rsidRDefault="00A4290E" w:rsidP="00A4290E">
            <w:pPr>
              <w:jc w:val="right"/>
              <w:rPr>
                <w:sz w:val="22"/>
                <w:szCs w:val="22"/>
              </w:rPr>
            </w:pPr>
            <w:r>
              <w:rPr>
                <w:rFonts w:cs="Calibri"/>
                <w:color w:val="000000"/>
                <w:sz w:val="22"/>
                <w:szCs w:val="22"/>
              </w:rPr>
              <w:t>9.8%</w:t>
            </w:r>
          </w:p>
        </w:tc>
      </w:tr>
      <w:tr w:rsidR="00A4290E" w:rsidRPr="006F2FFB" w14:paraId="7A61C7A8" w14:textId="77777777" w:rsidTr="000B04F5">
        <w:trPr>
          <w:jc w:val="center"/>
        </w:trPr>
        <w:tc>
          <w:tcPr>
            <w:tcW w:w="1706" w:type="dxa"/>
            <w:vAlign w:val="bottom"/>
          </w:tcPr>
          <w:p w14:paraId="72BA67FD" w14:textId="0F9C84D6" w:rsidR="00A4290E" w:rsidRPr="006F2FFB" w:rsidRDefault="00A4290E" w:rsidP="00A4290E">
            <w:pPr>
              <w:rPr>
                <w:sz w:val="22"/>
                <w:szCs w:val="22"/>
              </w:rPr>
            </w:pPr>
            <w:r w:rsidRPr="006F2FFB">
              <w:rPr>
                <w:rFonts w:cs="Calibri"/>
                <w:color w:val="000000"/>
                <w:sz w:val="22"/>
                <w:szCs w:val="22"/>
              </w:rPr>
              <w:lastRenderedPageBreak/>
              <w:t>Public Appointments Service</w:t>
            </w:r>
          </w:p>
        </w:tc>
        <w:tc>
          <w:tcPr>
            <w:tcW w:w="1701" w:type="dxa"/>
          </w:tcPr>
          <w:p w14:paraId="743438A3" w14:textId="172D324E" w:rsidR="00A4290E" w:rsidRPr="006F2FFB" w:rsidRDefault="00A4290E" w:rsidP="00A4290E">
            <w:pPr>
              <w:jc w:val="right"/>
              <w:rPr>
                <w:sz w:val="22"/>
                <w:szCs w:val="22"/>
              </w:rPr>
            </w:pPr>
            <w:r w:rsidRPr="006F2FFB">
              <w:rPr>
                <w:rFonts w:cs="Calibri"/>
                <w:color w:val="000000"/>
                <w:sz w:val="22"/>
                <w:szCs w:val="22"/>
              </w:rPr>
              <w:t>225</w:t>
            </w:r>
          </w:p>
        </w:tc>
        <w:tc>
          <w:tcPr>
            <w:tcW w:w="1418" w:type="dxa"/>
          </w:tcPr>
          <w:p w14:paraId="126DBC6E" w14:textId="72E91629" w:rsidR="00A4290E" w:rsidRPr="006F2FFB" w:rsidRDefault="00A4290E" w:rsidP="00A4290E">
            <w:pPr>
              <w:spacing w:after="0"/>
              <w:jc w:val="right"/>
              <w:rPr>
                <w:sz w:val="22"/>
                <w:szCs w:val="22"/>
              </w:rPr>
            </w:pPr>
            <w:r w:rsidRPr="006F2FFB">
              <w:rPr>
                <w:rFonts w:cs="Calibri"/>
                <w:color w:val="000000"/>
                <w:sz w:val="22"/>
                <w:szCs w:val="22"/>
              </w:rPr>
              <w:t>16</w:t>
            </w:r>
          </w:p>
        </w:tc>
        <w:tc>
          <w:tcPr>
            <w:tcW w:w="1559" w:type="dxa"/>
          </w:tcPr>
          <w:p w14:paraId="16E27B24" w14:textId="7D033305" w:rsidR="00A4290E" w:rsidRPr="006F2FFB" w:rsidRDefault="00A4290E" w:rsidP="00A4290E">
            <w:pPr>
              <w:jc w:val="right"/>
              <w:rPr>
                <w:sz w:val="22"/>
                <w:szCs w:val="22"/>
              </w:rPr>
            </w:pPr>
            <w:r w:rsidRPr="006F2FFB">
              <w:rPr>
                <w:rFonts w:cs="Calibri"/>
                <w:color w:val="000000"/>
                <w:sz w:val="22"/>
                <w:szCs w:val="22"/>
              </w:rPr>
              <w:t>7.1%</w:t>
            </w:r>
          </w:p>
        </w:tc>
        <w:tc>
          <w:tcPr>
            <w:tcW w:w="1701" w:type="dxa"/>
          </w:tcPr>
          <w:p w14:paraId="099AC9E1" w14:textId="616A3271" w:rsidR="00A4290E" w:rsidRPr="006F2FFB" w:rsidRDefault="00A4290E" w:rsidP="00A4290E">
            <w:pPr>
              <w:jc w:val="right"/>
              <w:rPr>
                <w:sz w:val="22"/>
                <w:szCs w:val="22"/>
              </w:rPr>
            </w:pPr>
            <w:r>
              <w:rPr>
                <w:rFonts w:cs="Calibri"/>
                <w:color w:val="000000"/>
                <w:sz w:val="22"/>
                <w:szCs w:val="22"/>
              </w:rPr>
              <w:t>283</w:t>
            </w:r>
          </w:p>
        </w:tc>
        <w:tc>
          <w:tcPr>
            <w:tcW w:w="1559" w:type="dxa"/>
          </w:tcPr>
          <w:p w14:paraId="123F8040" w14:textId="6A4ECBC8" w:rsidR="00A4290E" w:rsidRPr="006F2FFB" w:rsidRDefault="00A4290E" w:rsidP="00A4290E">
            <w:pPr>
              <w:jc w:val="right"/>
              <w:rPr>
                <w:sz w:val="22"/>
                <w:szCs w:val="22"/>
              </w:rPr>
            </w:pPr>
            <w:r>
              <w:rPr>
                <w:rFonts w:cs="Calibri"/>
                <w:color w:val="000000"/>
                <w:sz w:val="22"/>
                <w:szCs w:val="22"/>
              </w:rPr>
              <w:t>21</w:t>
            </w:r>
          </w:p>
        </w:tc>
        <w:tc>
          <w:tcPr>
            <w:tcW w:w="1701" w:type="dxa"/>
          </w:tcPr>
          <w:p w14:paraId="2927E3FA" w14:textId="62A723D9" w:rsidR="00A4290E" w:rsidRPr="006F2FFB" w:rsidRDefault="00A4290E" w:rsidP="00A4290E">
            <w:pPr>
              <w:jc w:val="right"/>
              <w:rPr>
                <w:sz w:val="22"/>
                <w:szCs w:val="22"/>
              </w:rPr>
            </w:pPr>
            <w:r>
              <w:rPr>
                <w:rFonts w:cs="Calibri"/>
                <w:color w:val="000000"/>
                <w:sz w:val="22"/>
                <w:szCs w:val="22"/>
              </w:rPr>
              <w:t>7.4%</w:t>
            </w:r>
          </w:p>
        </w:tc>
      </w:tr>
      <w:tr w:rsidR="00A4290E" w:rsidRPr="006F2FFB" w14:paraId="1E819B3C" w14:textId="77777777" w:rsidTr="000B04F5">
        <w:trPr>
          <w:jc w:val="center"/>
        </w:trPr>
        <w:tc>
          <w:tcPr>
            <w:tcW w:w="1706" w:type="dxa"/>
            <w:vAlign w:val="bottom"/>
          </w:tcPr>
          <w:p w14:paraId="697CD81D" w14:textId="02A0B2A1" w:rsidR="00A4290E" w:rsidRPr="006F2FFB" w:rsidRDefault="00A4290E" w:rsidP="00A4290E">
            <w:pPr>
              <w:rPr>
                <w:sz w:val="22"/>
                <w:szCs w:val="22"/>
              </w:rPr>
            </w:pPr>
            <w:r w:rsidRPr="006F2FFB">
              <w:rPr>
                <w:rFonts w:cs="Calibri"/>
                <w:color w:val="000000"/>
                <w:sz w:val="22"/>
                <w:szCs w:val="22"/>
              </w:rPr>
              <w:t>State Examinations Commission</w:t>
            </w:r>
          </w:p>
        </w:tc>
        <w:tc>
          <w:tcPr>
            <w:tcW w:w="1701" w:type="dxa"/>
          </w:tcPr>
          <w:p w14:paraId="757BC9D7" w14:textId="0B011934" w:rsidR="00A4290E" w:rsidRPr="006F2FFB" w:rsidRDefault="00A4290E" w:rsidP="00A4290E">
            <w:pPr>
              <w:jc w:val="right"/>
              <w:rPr>
                <w:sz w:val="22"/>
                <w:szCs w:val="22"/>
              </w:rPr>
            </w:pPr>
            <w:r w:rsidRPr="006F2FFB">
              <w:rPr>
                <w:rFonts w:cs="Calibri"/>
                <w:color w:val="000000"/>
                <w:sz w:val="22"/>
                <w:szCs w:val="22"/>
              </w:rPr>
              <w:t>181</w:t>
            </w:r>
          </w:p>
        </w:tc>
        <w:tc>
          <w:tcPr>
            <w:tcW w:w="1418" w:type="dxa"/>
          </w:tcPr>
          <w:p w14:paraId="28FB403B" w14:textId="18BFF5BC" w:rsidR="00A4290E" w:rsidRPr="006F2FFB" w:rsidRDefault="00A4290E" w:rsidP="00A4290E">
            <w:pPr>
              <w:spacing w:after="0"/>
              <w:jc w:val="right"/>
              <w:rPr>
                <w:sz w:val="22"/>
                <w:szCs w:val="22"/>
              </w:rPr>
            </w:pPr>
            <w:r w:rsidRPr="006F2FFB">
              <w:rPr>
                <w:rFonts w:cs="Calibri"/>
                <w:color w:val="000000"/>
                <w:sz w:val="22"/>
                <w:szCs w:val="22"/>
              </w:rPr>
              <w:t>9</w:t>
            </w:r>
          </w:p>
        </w:tc>
        <w:tc>
          <w:tcPr>
            <w:tcW w:w="1559" w:type="dxa"/>
          </w:tcPr>
          <w:p w14:paraId="49DBEC7A" w14:textId="7C9053C5" w:rsidR="00A4290E" w:rsidRPr="006F2FFB" w:rsidRDefault="00A4290E" w:rsidP="00A4290E">
            <w:pPr>
              <w:jc w:val="right"/>
              <w:rPr>
                <w:sz w:val="22"/>
                <w:szCs w:val="22"/>
              </w:rPr>
            </w:pPr>
            <w:r w:rsidRPr="006F2FFB">
              <w:rPr>
                <w:rFonts w:cs="Calibri"/>
                <w:color w:val="000000"/>
                <w:sz w:val="22"/>
                <w:szCs w:val="22"/>
              </w:rPr>
              <w:t>5.0%</w:t>
            </w:r>
          </w:p>
        </w:tc>
        <w:tc>
          <w:tcPr>
            <w:tcW w:w="1701" w:type="dxa"/>
          </w:tcPr>
          <w:p w14:paraId="150BE462" w14:textId="421DFBE2" w:rsidR="00A4290E" w:rsidRPr="006F2FFB" w:rsidRDefault="00A4290E" w:rsidP="00A4290E">
            <w:pPr>
              <w:jc w:val="right"/>
              <w:rPr>
                <w:sz w:val="22"/>
                <w:szCs w:val="22"/>
              </w:rPr>
            </w:pPr>
            <w:r>
              <w:rPr>
                <w:rFonts w:cs="Calibri"/>
                <w:color w:val="000000"/>
                <w:sz w:val="22"/>
                <w:szCs w:val="22"/>
              </w:rPr>
              <w:t>185</w:t>
            </w:r>
          </w:p>
        </w:tc>
        <w:tc>
          <w:tcPr>
            <w:tcW w:w="1559" w:type="dxa"/>
          </w:tcPr>
          <w:p w14:paraId="044531D6" w14:textId="6BECB635" w:rsidR="00A4290E" w:rsidRPr="006F2FFB" w:rsidRDefault="00A4290E" w:rsidP="00A4290E">
            <w:pPr>
              <w:jc w:val="right"/>
              <w:rPr>
                <w:sz w:val="22"/>
                <w:szCs w:val="22"/>
              </w:rPr>
            </w:pPr>
            <w:r>
              <w:rPr>
                <w:rFonts w:cs="Calibri"/>
                <w:color w:val="000000"/>
                <w:sz w:val="22"/>
                <w:szCs w:val="22"/>
              </w:rPr>
              <w:t>8</w:t>
            </w:r>
          </w:p>
        </w:tc>
        <w:tc>
          <w:tcPr>
            <w:tcW w:w="1701" w:type="dxa"/>
          </w:tcPr>
          <w:p w14:paraId="6D9594FD" w14:textId="41173418" w:rsidR="00A4290E" w:rsidRPr="006F2FFB" w:rsidRDefault="00A4290E" w:rsidP="00A4290E">
            <w:pPr>
              <w:jc w:val="right"/>
              <w:rPr>
                <w:sz w:val="22"/>
                <w:szCs w:val="22"/>
              </w:rPr>
            </w:pPr>
            <w:r>
              <w:rPr>
                <w:rFonts w:cs="Calibri"/>
                <w:color w:val="000000"/>
                <w:sz w:val="22"/>
                <w:szCs w:val="22"/>
              </w:rPr>
              <w:t>4.3%</w:t>
            </w:r>
          </w:p>
        </w:tc>
      </w:tr>
      <w:tr w:rsidR="00A4290E" w:rsidRPr="006F2FFB" w14:paraId="5343307C" w14:textId="77777777" w:rsidTr="000B04F5">
        <w:trPr>
          <w:jc w:val="center"/>
        </w:trPr>
        <w:tc>
          <w:tcPr>
            <w:tcW w:w="1706" w:type="dxa"/>
            <w:vAlign w:val="bottom"/>
          </w:tcPr>
          <w:p w14:paraId="3BEA2E84" w14:textId="69F17665" w:rsidR="00A4290E" w:rsidRPr="006F2FFB" w:rsidRDefault="00A4290E" w:rsidP="00A4290E">
            <w:pPr>
              <w:rPr>
                <w:sz w:val="22"/>
                <w:szCs w:val="22"/>
              </w:rPr>
            </w:pPr>
            <w:r w:rsidRPr="006F2FFB">
              <w:rPr>
                <w:rFonts w:cs="Calibri"/>
                <w:color w:val="000000"/>
                <w:sz w:val="22"/>
                <w:szCs w:val="22"/>
              </w:rPr>
              <w:t>Tax Appeals Commission</w:t>
            </w:r>
          </w:p>
        </w:tc>
        <w:tc>
          <w:tcPr>
            <w:tcW w:w="1701" w:type="dxa"/>
          </w:tcPr>
          <w:p w14:paraId="2207559F" w14:textId="0FF01EF5" w:rsidR="00A4290E" w:rsidRPr="006F2FFB" w:rsidRDefault="00A4290E" w:rsidP="00A4290E">
            <w:pPr>
              <w:jc w:val="right"/>
              <w:rPr>
                <w:sz w:val="22"/>
                <w:szCs w:val="22"/>
              </w:rPr>
            </w:pPr>
            <w:r w:rsidRPr="006F2FFB">
              <w:rPr>
                <w:rFonts w:cs="Calibri"/>
                <w:color w:val="000000"/>
                <w:sz w:val="22"/>
                <w:szCs w:val="22"/>
              </w:rPr>
              <w:t>29</w:t>
            </w:r>
          </w:p>
        </w:tc>
        <w:tc>
          <w:tcPr>
            <w:tcW w:w="1418" w:type="dxa"/>
          </w:tcPr>
          <w:p w14:paraId="0E6C7C2C" w14:textId="7C8DBB16" w:rsidR="00A4290E" w:rsidRPr="006F2FFB" w:rsidRDefault="00A4290E" w:rsidP="00A4290E">
            <w:pPr>
              <w:spacing w:after="0"/>
              <w:jc w:val="right"/>
              <w:rPr>
                <w:sz w:val="22"/>
                <w:szCs w:val="22"/>
              </w:rPr>
            </w:pPr>
            <w:r w:rsidRPr="006F2FFB">
              <w:rPr>
                <w:rFonts w:cs="Calibri"/>
                <w:color w:val="000000"/>
                <w:sz w:val="22"/>
                <w:szCs w:val="22"/>
              </w:rPr>
              <w:t>2</w:t>
            </w:r>
          </w:p>
        </w:tc>
        <w:tc>
          <w:tcPr>
            <w:tcW w:w="1559" w:type="dxa"/>
          </w:tcPr>
          <w:p w14:paraId="72E45B6E" w14:textId="4E11E552" w:rsidR="00A4290E" w:rsidRPr="006F2FFB" w:rsidRDefault="00A4290E" w:rsidP="00A4290E">
            <w:pPr>
              <w:jc w:val="right"/>
              <w:rPr>
                <w:sz w:val="22"/>
                <w:szCs w:val="22"/>
              </w:rPr>
            </w:pPr>
            <w:r w:rsidRPr="006F2FFB">
              <w:rPr>
                <w:rFonts w:cs="Calibri"/>
                <w:color w:val="000000"/>
                <w:sz w:val="22"/>
                <w:szCs w:val="22"/>
              </w:rPr>
              <w:t>6.9%</w:t>
            </w:r>
          </w:p>
        </w:tc>
        <w:tc>
          <w:tcPr>
            <w:tcW w:w="1701" w:type="dxa"/>
          </w:tcPr>
          <w:p w14:paraId="3D9474AF" w14:textId="1354D6FC" w:rsidR="00A4290E" w:rsidRPr="006F2FFB" w:rsidRDefault="00A4290E" w:rsidP="00A4290E">
            <w:pPr>
              <w:jc w:val="right"/>
              <w:rPr>
                <w:sz w:val="22"/>
                <w:szCs w:val="22"/>
              </w:rPr>
            </w:pPr>
            <w:r>
              <w:rPr>
                <w:rFonts w:cs="Calibri"/>
                <w:color w:val="000000"/>
                <w:sz w:val="22"/>
                <w:szCs w:val="22"/>
              </w:rPr>
              <w:t>34</w:t>
            </w:r>
          </w:p>
        </w:tc>
        <w:tc>
          <w:tcPr>
            <w:tcW w:w="1559" w:type="dxa"/>
          </w:tcPr>
          <w:p w14:paraId="034D42CE" w14:textId="73170770" w:rsidR="00A4290E" w:rsidRPr="006F2FFB" w:rsidRDefault="00A4290E" w:rsidP="00A4290E">
            <w:pPr>
              <w:jc w:val="right"/>
              <w:rPr>
                <w:sz w:val="22"/>
                <w:szCs w:val="22"/>
              </w:rPr>
            </w:pPr>
            <w:r>
              <w:rPr>
                <w:rFonts w:cs="Calibri"/>
                <w:color w:val="000000"/>
                <w:sz w:val="22"/>
                <w:szCs w:val="22"/>
              </w:rPr>
              <w:t>2</w:t>
            </w:r>
          </w:p>
        </w:tc>
        <w:tc>
          <w:tcPr>
            <w:tcW w:w="1701" w:type="dxa"/>
          </w:tcPr>
          <w:p w14:paraId="46089B86" w14:textId="323644A7" w:rsidR="00A4290E" w:rsidRPr="006F2FFB" w:rsidRDefault="00A4290E" w:rsidP="00A4290E">
            <w:pPr>
              <w:jc w:val="right"/>
              <w:rPr>
                <w:sz w:val="22"/>
                <w:szCs w:val="22"/>
              </w:rPr>
            </w:pPr>
            <w:r>
              <w:rPr>
                <w:rFonts w:cs="Calibri"/>
                <w:color w:val="000000"/>
                <w:sz w:val="22"/>
                <w:szCs w:val="22"/>
              </w:rPr>
              <w:t>5.9%</w:t>
            </w:r>
          </w:p>
        </w:tc>
      </w:tr>
      <w:tr w:rsidR="00A4290E" w:rsidRPr="006F2FFB" w14:paraId="53E9FDA5" w14:textId="77777777" w:rsidTr="000B04F5">
        <w:trPr>
          <w:jc w:val="center"/>
        </w:trPr>
        <w:tc>
          <w:tcPr>
            <w:tcW w:w="1706" w:type="dxa"/>
            <w:vAlign w:val="bottom"/>
          </w:tcPr>
          <w:p w14:paraId="354A72CE" w14:textId="7C7466FE" w:rsidR="00A4290E" w:rsidRPr="006F2FFB" w:rsidRDefault="0056603B" w:rsidP="00A4290E">
            <w:pPr>
              <w:rPr>
                <w:sz w:val="22"/>
                <w:szCs w:val="22"/>
              </w:rPr>
            </w:pPr>
            <w:r w:rsidRPr="0056603B">
              <w:rPr>
                <w:rFonts w:cs="Calibri"/>
                <w:b/>
                <w:bCs/>
                <w:color w:val="000000"/>
                <w:sz w:val="22"/>
                <w:szCs w:val="22"/>
              </w:rPr>
              <w:t>*</w:t>
            </w:r>
            <w:r w:rsidR="00A4290E" w:rsidRPr="006F2FFB">
              <w:rPr>
                <w:rFonts w:cs="Calibri"/>
                <w:color w:val="000000"/>
                <w:sz w:val="22"/>
                <w:szCs w:val="22"/>
              </w:rPr>
              <w:t>The Private Security Authority</w:t>
            </w:r>
          </w:p>
        </w:tc>
        <w:tc>
          <w:tcPr>
            <w:tcW w:w="1701" w:type="dxa"/>
          </w:tcPr>
          <w:p w14:paraId="04230F92" w14:textId="0F1FED6D" w:rsidR="00A4290E" w:rsidRPr="006F2FFB" w:rsidRDefault="00A4290E" w:rsidP="00A4290E">
            <w:pPr>
              <w:jc w:val="right"/>
              <w:rPr>
                <w:sz w:val="22"/>
                <w:szCs w:val="22"/>
              </w:rPr>
            </w:pPr>
            <w:r w:rsidRPr="006F2FFB">
              <w:rPr>
                <w:rFonts w:cs="Calibri"/>
                <w:color w:val="000000"/>
                <w:sz w:val="22"/>
                <w:szCs w:val="22"/>
              </w:rPr>
              <w:t>51</w:t>
            </w:r>
          </w:p>
        </w:tc>
        <w:tc>
          <w:tcPr>
            <w:tcW w:w="1418" w:type="dxa"/>
          </w:tcPr>
          <w:p w14:paraId="5019197F" w14:textId="09D95A9F" w:rsidR="00A4290E" w:rsidRPr="006F2FFB" w:rsidRDefault="00A4290E" w:rsidP="00A4290E">
            <w:pPr>
              <w:spacing w:after="0"/>
              <w:jc w:val="right"/>
              <w:rPr>
                <w:sz w:val="22"/>
                <w:szCs w:val="22"/>
              </w:rPr>
            </w:pPr>
            <w:r w:rsidRPr="006F2FFB">
              <w:rPr>
                <w:rFonts w:cs="Calibri"/>
                <w:color w:val="000000"/>
                <w:sz w:val="22"/>
                <w:szCs w:val="22"/>
              </w:rPr>
              <w:t>2</w:t>
            </w:r>
          </w:p>
        </w:tc>
        <w:tc>
          <w:tcPr>
            <w:tcW w:w="1559" w:type="dxa"/>
          </w:tcPr>
          <w:p w14:paraId="6DF40596" w14:textId="3ADDDD96" w:rsidR="00A4290E" w:rsidRPr="006F2FFB" w:rsidRDefault="00A4290E" w:rsidP="00A4290E">
            <w:pPr>
              <w:jc w:val="right"/>
              <w:rPr>
                <w:sz w:val="22"/>
                <w:szCs w:val="22"/>
              </w:rPr>
            </w:pPr>
            <w:r w:rsidRPr="006F2FFB">
              <w:rPr>
                <w:rFonts w:cs="Calibri"/>
                <w:color w:val="000000"/>
                <w:sz w:val="22"/>
                <w:szCs w:val="22"/>
              </w:rPr>
              <w:t>3.9%</w:t>
            </w:r>
          </w:p>
        </w:tc>
        <w:tc>
          <w:tcPr>
            <w:tcW w:w="1701" w:type="dxa"/>
          </w:tcPr>
          <w:p w14:paraId="45872D46" w14:textId="38C838C5" w:rsidR="00A4290E" w:rsidRPr="006F2FFB" w:rsidRDefault="00A4290E" w:rsidP="00A4290E">
            <w:pPr>
              <w:jc w:val="right"/>
              <w:rPr>
                <w:sz w:val="22"/>
                <w:szCs w:val="22"/>
              </w:rPr>
            </w:pPr>
            <w:r>
              <w:rPr>
                <w:rFonts w:cs="Calibri"/>
                <w:color w:val="000000"/>
                <w:sz w:val="22"/>
                <w:szCs w:val="22"/>
              </w:rPr>
              <w:t>51</w:t>
            </w:r>
          </w:p>
        </w:tc>
        <w:tc>
          <w:tcPr>
            <w:tcW w:w="1559" w:type="dxa"/>
          </w:tcPr>
          <w:p w14:paraId="6DE0B1EA" w14:textId="55853B03" w:rsidR="00A4290E" w:rsidRPr="006F2FFB" w:rsidRDefault="00A4290E" w:rsidP="00A4290E">
            <w:pPr>
              <w:jc w:val="right"/>
              <w:rPr>
                <w:sz w:val="22"/>
                <w:szCs w:val="22"/>
              </w:rPr>
            </w:pPr>
            <w:r>
              <w:rPr>
                <w:rFonts w:cs="Calibri"/>
                <w:color w:val="000000"/>
                <w:sz w:val="22"/>
                <w:szCs w:val="22"/>
              </w:rPr>
              <w:t>0</w:t>
            </w:r>
          </w:p>
        </w:tc>
        <w:tc>
          <w:tcPr>
            <w:tcW w:w="1701" w:type="dxa"/>
          </w:tcPr>
          <w:p w14:paraId="601655E4" w14:textId="66F47C87" w:rsidR="00A4290E" w:rsidRPr="006F2FFB" w:rsidRDefault="00A4290E" w:rsidP="00A4290E">
            <w:pPr>
              <w:jc w:val="right"/>
              <w:rPr>
                <w:sz w:val="22"/>
                <w:szCs w:val="22"/>
              </w:rPr>
            </w:pPr>
            <w:r>
              <w:rPr>
                <w:rFonts w:cs="Calibri"/>
                <w:color w:val="000000"/>
                <w:sz w:val="22"/>
                <w:szCs w:val="22"/>
              </w:rPr>
              <w:t>0.0%</w:t>
            </w:r>
          </w:p>
        </w:tc>
      </w:tr>
      <w:tr w:rsidR="00A4290E" w:rsidRPr="006F2FFB" w14:paraId="153848EE" w14:textId="77777777" w:rsidTr="000B04F5">
        <w:trPr>
          <w:jc w:val="center"/>
        </w:trPr>
        <w:tc>
          <w:tcPr>
            <w:tcW w:w="1706" w:type="dxa"/>
            <w:vAlign w:val="bottom"/>
          </w:tcPr>
          <w:p w14:paraId="0591F5C0" w14:textId="1AF11EDB" w:rsidR="00A4290E" w:rsidRPr="006F2FFB" w:rsidRDefault="00A4290E" w:rsidP="00A4290E">
            <w:pPr>
              <w:rPr>
                <w:sz w:val="22"/>
                <w:szCs w:val="22"/>
              </w:rPr>
            </w:pPr>
            <w:r w:rsidRPr="006F2FFB">
              <w:rPr>
                <w:rFonts w:cs="Calibri"/>
                <w:color w:val="000000"/>
                <w:sz w:val="22"/>
                <w:szCs w:val="22"/>
              </w:rPr>
              <w:t>The State Laboratory</w:t>
            </w:r>
          </w:p>
        </w:tc>
        <w:tc>
          <w:tcPr>
            <w:tcW w:w="1701" w:type="dxa"/>
          </w:tcPr>
          <w:p w14:paraId="4B8D72F5" w14:textId="1A447444" w:rsidR="00A4290E" w:rsidRPr="006F2FFB" w:rsidRDefault="00A4290E" w:rsidP="00A4290E">
            <w:pPr>
              <w:jc w:val="right"/>
              <w:rPr>
                <w:sz w:val="22"/>
                <w:szCs w:val="22"/>
              </w:rPr>
            </w:pPr>
            <w:r w:rsidRPr="006F2FFB">
              <w:rPr>
                <w:rFonts w:cs="Calibri"/>
                <w:color w:val="000000"/>
                <w:sz w:val="22"/>
                <w:szCs w:val="22"/>
              </w:rPr>
              <w:t>104</w:t>
            </w:r>
          </w:p>
        </w:tc>
        <w:tc>
          <w:tcPr>
            <w:tcW w:w="1418" w:type="dxa"/>
          </w:tcPr>
          <w:p w14:paraId="0C80014A" w14:textId="0CAE2940" w:rsidR="00A4290E" w:rsidRPr="006F2FFB" w:rsidRDefault="00A4290E" w:rsidP="00A4290E">
            <w:pPr>
              <w:spacing w:after="0"/>
              <w:jc w:val="right"/>
              <w:rPr>
                <w:sz w:val="22"/>
                <w:szCs w:val="22"/>
              </w:rPr>
            </w:pPr>
            <w:r w:rsidRPr="006F2FFB">
              <w:rPr>
                <w:rFonts w:cs="Calibri"/>
                <w:color w:val="000000"/>
                <w:sz w:val="22"/>
                <w:szCs w:val="22"/>
              </w:rPr>
              <w:t>4</w:t>
            </w:r>
          </w:p>
        </w:tc>
        <w:tc>
          <w:tcPr>
            <w:tcW w:w="1559" w:type="dxa"/>
          </w:tcPr>
          <w:p w14:paraId="25BE3705" w14:textId="61520377" w:rsidR="00A4290E" w:rsidRPr="006F2FFB" w:rsidRDefault="00A4290E" w:rsidP="00A4290E">
            <w:pPr>
              <w:jc w:val="right"/>
              <w:rPr>
                <w:sz w:val="22"/>
                <w:szCs w:val="22"/>
              </w:rPr>
            </w:pPr>
            <w:r w:rsidRPr="006F2FFB">
              <w:rPr>
                <w:rFonts w:cs="Calibri"/>
                <w:color w:val="000000"/>
                <w:sz w:val="22"/>
                <w:szCs w:val="22"/>
              </w:rPr>
              <w:t>3.8%</w:t>
            </w:r>
          </w:p>
        </w:tc>
        <w:tc>
          <w:tcPr>
            <w:tcW w:w="1701" w:type="dxa"/>
          </w:tcPr>
          <w:p w14:paraId="0D518B11" w14:textId="7436B262" w:rsidR="00A4290E" w:rsidRPr="006F2FFB" w:rsidRDefault="00A4290E" w:rsidP="00A4290E">
            <w:pPr>
              <w:jc w:val="right"/>
              <w:rPr>
                <w:sz w:val="22"/>
                <w:szCs w:val="22"/>
              </w:rPr>
            </w:pPr>
            <w:r>
              <w:rPr>
                <w:rFonts w:cs="Calibri"/>
                <w:color w:val="000000"/>
                <w:sz w:val="22"/>
                <w:szCs w:val="22"/>
              </w:rPr>
              <w:t>100</w:t>
            </w:r>
          </w:p>
        </w:tc>
        <w:tc>
          <w:tcPr>
            <w:tcW w:w="1559" w:type="dxa"/>
          </w:tcPr>
          <w:p w14:paraId="0C50D343" w14:textId="7335CE82" w:rsidR="00A4290E" w:rsidRPr="006F2FFB" w:rsidRDefault="00A4290E" w:rsidP="00A4290E">
            <w:pPr>
              <w:jc w:val="right"/>
              <w:rPr>
                <w:sz w:val="22"/>
                <w:szCs w:val="22"/>
              </w:rPr>
            </w:pPr>
            <w:r>
              <w:rPr>
                <w:rFonts w:cs="Calibri"/>
                <w:color w:val="000000"/>
                <w:sz w:val="22"/>
                <w:szCs w:val="22"/>
              </w:rPr>
              <w:t>4</w:t>
            </w:r>
          </w:p>
        </w:tc>
        <w:tc>
          <w:tcPr>
            <w:tcW w:w="1701" w:type="dxa"/>
          </w:tcPr>
          <w:p w14:paraId="13C55AC7" w14:textId="4C5A3A48" w:rsidR="00A4290E" w:rsidRPr="006F2FFB" w:rsidRDefault="00A4290E" w:rsidP="00A4290E">
            <w:pPr>
              <w:jc w:val="right"/>
              <w:rPr>
                <w:sz w:val="22"/>
                <w:szCs w:val="22"/>
              </w:rPr>
            </w:pPr>
            <w:r>
              <w:rPr>
                <w:rFonts w:cs="Calibri"/>
                <w:color w:val="000000"/>
                <w:sz w:val="22"/>
                <w:szCs w:val="22"/>
              </w:rPr>
              <w:t>4.0%</w:t>
            </w:r>
          </w:p>
        </w:tc>
      </w:tr>
      <w:tr w:rsidR="00A4290E" w:rsidRPr="006F2FFB" w14:paraId="54FCAD58" w14:textId="77777777" w:rsidTr="000B04F5">
        <w:trPr>
          <w:jc w:val="center"/>
        </w:trPr>
        <w:tc>
          <w:tcPr>
            <w:tcW w:w="1706" w:type="dxa"/>
            <w:vAlign w:val="bottom"/>
          </w:tcPr>
          <w:p w14:paraId="605B0DEF" w14:textId="2F397D51" w:rsidR="00A4290E" w:rsidRPr="006F2FFB" w:rsidRDefault="00A4290E" w:rsidP="00A4290E">
            <w:pPr>
              <w:rPr>
                <w:sz w:val="22"/>
                <w:szCs w:val="22"/>
              </w:rPr>
            </w:pPr>
            <w:r w:rsidRPr="006F2FFB">
              <w:rPr>
                <w:rFonts w:cs="Calibri"/>
                <w:color w:val="000000"/>
                <w:sz w:val="22"/>
                <w:szCs w:val="22"/>
              </w:rPr>
              <w:t>Valuation Office</w:t>
            </w:r>
          </w:p>
        </w:tc>
        <w:tc>
          <w:tcPr>
            <w:tcW w:w="1701" w:type="dxa"/>
          </w:tcPr>
          <w:p w14:paraId="2032683C" w14:textId="37C45B73" w:rsidR="00A4290E" w:rsidRPr="006F2FFB" w:rsidRDefault="00A4290E" w:rsidP="00A4290E">
            <w:pPr>
              <w:jc w:val="right"/>
              <w:rPr>
                <w:sz w:val="22"/>
                <w:szCs w:val="22"/>
              </w:rPr>
            </w:pPr>
            <w:r w:rsidRPr="006F2FFB">
              <w:rPr>
                <w:rFonts w:cs="Calibri"/>
                <w:color w:val="000000"/>
                <w:sz w:val="22"/>
                <w:szCs w:val="22"/>
              </w:rPr>
              <w:t>139</w:t>
            </w:r>
          </w:p>
        </w:tc>
        <w:tc>
          <w:tcPr>
            <w:tcW w:w="1418" w:type="dxa"/>
          </w:tcPr>
          <w:p w14:paraId="48D59A8A" w14:textId="12034DA4" w:rsidR="00A4290E" w:rsidRPr="006F2FFB" w:rsidRDefault="00A4290E" w:rsidP="00A4290E">
            <w:pPr>
              <w:spacing w:after="0"/>
              <w:jc w:val="right"/>
              <w:rPr>
                <w:sz w:val="22"/>
                <w:szCs w:val="22"/>
              </w:rPr>
            </w:pPr>
            <w:r w:rsidRPr="006F2FFB">
              <w:rPr>
                <w:rFonts w:cs="Calibri"/>
                <w:color w:val="000000"/>
                <w:sz w:val="22"/>
                <w:szCs w:val="22"/>
              </w:rPr>
              <w:t>11</w:t>
            </w:r>
          </w:p>
        </w:tc>
        <w:tc>
          <w:tcPr>
            <w:tcW w:w="1559" w:type="dxa"/>
          </w:tcPr>
          <w:p w14:paraId="45968AAE" w14:textId="0A51A235" w:rsidR="00A4290E" w:rsidRPr="006F2FFB" w:rsidRDefault="00A4290E" w:rsidP="00A4290E">
            <w:pPr>
              <w:jc w:val="right"/>
              <w:rPr>
                <w:sz w:val="22"/>
                <w:szCs w:val="22"/>
              </w:rPr>
            </w:pPr>
            <w:r w:rsidRPr="006F2FFB">
              <w:rPr>
                <w:rFonts w:cs="Calibri"/>
                <w:color w:val="000000"/>
                <w:sz w:val="22"/>
                <w:szCs w:val="22"/>
              </w:rPr>
              <w:t>7.9%</w:t>
            </w:r>
          </w:p>
        </w:tc>
        <w:tc>
          <w:tcPr>
            <w:tcW w:w="1701" w:type="dxa"/>
          </w:tcPr>
          <w:p w14:paraId="3B531A4A" w14:textId="71664B1E" w:rsidR="00A4290E" w:rsidRPr="006F2FFB" w:rsidRDefault="00A4290E" w:rsidP="00A4290E">
            <w:pPr>
              <w:jc w:val="right"/>
              <w:rPr>
                <w:sz w:val="22"/>
                <w:szCs w:val="22"/>
              </w:rPr>
            </w:pPr>
            <w:r>
              <w:rPr>
                <w:rFonts w:cs="Calibri"/>
                <w:color w:val="000000"/>
                <w:sz w:val="22"/>
                <w:szCs w:val="22"/>
              </w:rPr>
              <w:t>128</w:t>
            </w:r>
          </w:p>
        </w:tc>
        <w:tc>
          <w:tcPr>
            <w:tcW w:w="1559" w:type="dxa"/>
          </w:tcPr>
          <w:p w14:paraId="7E2463FE" w14:textId="72404B0F" w:rsidR="00A4290E" w:rsidRPr="006F2FFB" w:rsidRDefault="00A4290E" w:rsidP="00A4290E">
            <w:pPr>
              <w:jc w:val="right"/>
              <w:rPr>
                <w:sz w:val="22"/>
                <w:szCs w:val="22"/>
              </w:rPr>
            </w:pPr>
            <w:r>
              <w:rPr>
                <w:rFonts w:cs="Calibri"/>
                <w:color w:val="000000"/>
                <w:sz w:val="22"/>
                <w:szCs w:val="22"/>
              </w:rPr>
              <w:t>7</w:t>
            </w:r>
          </w:p>
        </w:tc>
        <w:tc>
          <w:tcPr>
            <w:tcW w:w="1701" w:type="dxa"/>
          </w:tcPr>
          <w:p w14:paraId="551D02AE" w14:textId="3C7AC3EF" w:rsidR="00A4290E" w:rsidRPr="006F2FFB" w:rsidRDefault="00A4290E" w:rsidP="00A4290E">
            <w:pPr>
              <w:jc w:val="right"/>
              <w:rPr>
                <w:sz w:val="22"/>
                <w:szCs w:val="22"/>
              </w:rPr>
            </w:pPr>
            <w:r>
              <w:rPr>
                <w:rFonts w:cs="Calibri"/>
                <w:color w:val="000000"/>
                <w:sz w:val="22"/>
                <w:szCs w:val="22"/>
              </w:rPr>
              <w:t>5.5%</w:t>
            </w:r>
          </w:p>
        </w:tc>
      </w:tr>
      <w:tr w:rsidR="00A4290E" w:rsidRPr="006F2FFB" w14:paraId="50CA84D0" w14:textId="77777777" w:rsidTr="000B04F5">
        <w:trPr>
          <w:jc w:val="center"/>
        </w:trPr>
        <w:tc>
          <w:tcPr>
            <w:tcW w:w="1706" w:type="dxa"/>
          </w:tcPr>
          <w:p w14:paraId="081116C3" w14:textId="77110E74" w:rsidR="00A4290E" w:rsidRPr="006F2FFB" w:rsidRDefault="00A4290E" w:rsidP="00A4290E">
            <w:pPr>
              <w:spacing w:after="0"/>
              <w:rPr>
                <w:b/>
                <w:sz w:val="22"/>
                <w:szCs w:val="22"/>
              </w:rPr>
            </w:pPr>
            <w:r w:rsidRPr="006F2FFB">
              <w:rPr>
                <w:b/>
                <w:sz w:val="22"/>
                <w:szCs w:val="22"/>
              </w:rPr>
              <w:t>Grand Total</w:t>
            </w:r>
          </w:p>
        </w:tc>
        <w:tc>
          <w:tcPr>
            <w:tcW w:w="1701" w:type="dxa"/>
          </w:tcPr>
          <w:p w14:paraId="12A2EF7D" w14:textId="78C8937B" w:rsidR="00A4290E" w:rsidRPr="006F2FFB" w:rsidRDefault="00A4290E" w:rsidP="00A4290E">
            <w:pPr>
              <w:spacing w:after="0"/>
              <w:jc w:val="right"/>
              <w:rPr>
                <w:rFonts w:cs="Calibri"/>
                <w:b/>
                <w:color w:val="000000"/>
                <w:sz w:val="22"/>
                <w:szCs w:val="22"/>
              </w:rPr>
            </w:pPr>
            <w:r w:rsidRPr="006F2FFB">
              <w:rPr>
                <w:rFonts w:cs="Calibri"/>
                <w:b/>
                <w:bCs/>
                <w:color w:val="000000"/>
                <w:sz w:val="22"/>
                <w:szCs w:val="22"/>
              </w:rPr>
              <w:t>16,479</w:t>
            </w:r>
          </w:p>
        </w:tc>
        <w:tc>
          <w:tcPr>
            <w:tcW w:w="1418" w:type="dxa"/>
          </w:tcPr>
          <w:p w14:paraId="41CED9C8" w14:textId="77777777" w:rsidR="00A4290E" w:rsidRPr="006F2FFB" w:rsidRDefault="00A4290E" w:rsidP="00A4290E">
            <w:pPr>
              <w:spacing w:after="0"/>
              <w:jc w:val="right"/>
              <w:rPr>
                <w:rFonts w:cs="Calibri"/>
                <w:b/>
                <w:bCs/>
                <w:color w:val="000000"/>
                <w:sz w:val="22"/>
                <w:szCs w:val="22"/>
                <w:lang w:eastAsia="en-IE"/>
              </w:rPr>
            </w:pPr>
            <w:r w:rsidRPr="006F2FFB">
              <w:rPr>
                <w:rFonts w:cs="Calibri"/>
                <w:b/>
                <w:bCs/>
                <w:color w:val="000000"/>
                <w:sz w:val="22"/>
                <w:szCs w:val="22"/>
              </w:rPr>
              <w:t>755</w:t>
            </w:r>
          </w:p>
          <w:p w14:paraId="0FCA4E2D" w14:textId="34C4519C" w:rsidR="00A4290E" w:rsidRPr="006F2FFB" w:rsidRDefault="00A4290E" w:rsidP="00A4290E">
            <w:pPr>
              <w:spacing w:after="0"/>
              <w:jc w:val="right"/>
              <w:rPr>
                <w:b/>
                <w:sz w:val="22"/>
                <w:szCs w:val="22"/>
              </w:rPr>
            </w:pPr>
          </w:p>
        </w:tc>
        <w:tc>
          <w:tcPr>
            <w:tcW w:w="1559" w:type="dxa"/>
          </w:tcPr>
          <w:p w14:paraId="5F25DDED" w14:textId="1ED0754B" w:rsidR="00A4290E" w:rsidRPr="006F2FFB" w:rsidRDefault="00A4290E" w:rsidP="00A4290E">
            <w:pPr>
              <w:jc w:val="right"/>
              <w:rPr>
                <w:b/>
                <w:sz w:val="22"/>
                <w:szCs w:val="22"/>
              </w:rPr>
            </w:pPr>
            <w:r w:rsidRPr="006F2FFB">
              <w:rPr>
                <w:b/>
                <w:sz w:val="22"/>
                <w:szCs w:val="22"/>
              </w:rPr>
              <w:t>4.6%</w:t>
            </w:r>
          </w:p>
        </w:tc>
        <w:tc>
          <w:tcPr>
            <w:tcW w:w="1701" w:type="dxa"/>
          </w:tcPr>
          <w:p w14:paraId="626922D1" w14:textId="1ED76892" w:rsidR="00A4290E" w:rsidRPr="005E399F" w:rsidRDefault="00A4290E" w:rsidP="00A4290E">
            <w:pPr>
              <w:spacing w:after="0"/>
              <w:jc w:val="right"/>
              <w:rPr>
                <w:rFonts w:cs="Calibri"/>
                <w:b/>
                <w:bCs/>
                <w:color w:val="000000"/>
                <w:sz w:val="22"/>
                <w:szCs w:val="22"/>
                <w:lang w:eastAsia="en-IE"/>
              </w:rPr>
            </w:pPr>
            <w:r w:rsidRPr="005E399F">
              <w:rPr>
                <w:rFonts w:cs="Calibri"/>
                <w:b/>
                <w:bCs/>
                <w:color w:val="000000"/>
                <w:sz w:val="22"/>
                <w:szCs w:val="22"/>
              </w:rPr>
              <w:t>17,107</w:t>
            </w:r>
          </w:p>
          <w:p w14:paraId="4ABFB52C" w14:textId="36079C30" w:rsidR="00A4290E" w:rsidRPr="005E399F" w:rsidRDefault="00A4290E" w:rsidP="00A4290E">
            <w:pPr>
              <w:spacing w:after="0"/>
              <w:jc w:val="right"/>
              <w:rPr>
                <w:b/>
                <w:bCs/>
                <w:sz w:val="22"/>
                <w:szCs w:val="22"/>
              </w:rPr>
            </w:pPr>
          </w:p>
        </w:tc>
        <w:tc>
          <w:tcPr>
            <w:tcW w:w="1559" w:type="dxa"/>
          </w:tcPr>
          <w:p w14:paraId="67742F61" w14:textId="77777777" w:rsidR="00A4290E" w:rsidRPr="005E399F" w:rsidRDefault="00A4290E" w:rsidP="00A4290E">
            <w:pPr>
              <w:spacing w:after="0"/>
              <w:jc w:val="right"/>
              <w:rPr>
                <w:rFonts w:cs="Calibri"/>
                <w:b/>
                <w:bCs/>
                <w:color w:val="000000"/>
                <w:sz w:val="22"/>
                <w:szCs w:val="22"/>
                <w:lang w:eastAsia="en-IE"/>
              </w:rPr>
            </w:pPr>
            <w:r w:rsidRPr="005E399F">
              <w:rPr>
                <w:rFonts w:cs="Calibri"/>
                <w:b/>
                <w:bCs/>
                <w:color w:val="000000"/>
                <w:sz w:val="22"/>
                <w:szCs w:val="22"/>
              </w:rPr>
              <w:t>910</w:t>
            </w:r>
          </w:p>
          <w:p w14:paraId="37963E4A" w14:textId="6883FD74" w:rsidR="00A4290E" w:rsidRPr="005E399F" w:rsidRDefault="00A4290E" w:rsidP="00A4290E">
            <w:pPr>
              <w:jc w:val="right"/>
              <w:rPr>
                <w:b/>
                <w:bCs/>
                <w:sz w:val="22"/>
                <w:szCs w:val="22"/>
              </w:rPr>
            </w:pPr>
          </w:p>
        </w:tc>
        <w:tc>
          <w:tcPr>
            <w:tcW w:w="1701" w:type="dxa"/>
          </w:tcPr>
          <w:p w14:paraId="19E0668A" w14:textId="37E5416D" w:rsidR="00A4290E" w:rsidRPr="005E399F" w:rsidRDefault="00A4290E" w:rsidP="00A4290E">
            <w:pPr>
              <w:jc w:val="right"/>
              <w:rPr>
                <w:b/>
                <w:bCs/>
                <w:sz w:val="22"/>
                <w:szCs w:val="22"/>
              </w:rPr>
            </w:pPr>
            <w:r w:rsidRPr="005E399F">
              <w:rPr>
                <w:b/>
                <w:bCs/>
                <w:sz w:val="22"/>
                <w:szCs w:val="22"/>
              </w:rPr>
              <w:t>5.3%</w:t>
            </w:r>
          </w:p>
        </w:tc>
      </w:tr>
    </w:tbl>
    <w:p w14:paraId="2D821D2D" w14:textId="77777777" w:rsidR="000D5C5D" w:rsidRPr="006F2FFB" w:rsidRDefault="000D5C5D" w:rsidP="00DA2B08"/>
    <w:p w14:paraId="34E73CDB" w14:textId="2619C632" w:rsidR="00E46650" w:rsidRDefault="00E46650">
      <w:pPr>
        <w:spacing w:after="0"/>
        <w:rPr>
          <w:highlight w:val="green"/>
        </w:rPr>
      </w:pPr>
      <w:r>
        <w:rPr>
          <w:highlight w:val="green"/>
        </w:rPr>
        <w:br w:type="page"/>
      </w:r>
    </w:p>
    <w:p w14:paraId="0D8348EB" w14:textId="77777777" w:rsidR="00C70456" w:rsidRPr="00C70456" w:rsidRDefault="00C70456" w:rsidP="00C70456">
      <w:pPr>
        <w:rPr>
          <w:highlight w:val="green"/>
        </w:rPr>
      </w:pPr>
    </w:p>
    <w:p w14:paraId="3F221EEB" w14:textId="10DB3A53" w:rsidR="000D5C5D" w:rsidRPr="006F2FFB" w:rsidRDefault="00C55ED5" w:rsidP="000D5C5D">
      <w:pPr>
        <w:pStyle w:val="Heading2"/>
        <w:jc w:val="center"/>
        <w:rPr>
          <w:color w:val="000000" w:themeColor="text1"/>
        </w:rPr>
      </w:pPr>
      <w:bookmarkStart w:id="79" w:name="_Toc146113883"/>
      <w:r w:rsidRPr="006F2FFB">
        <w:rPr>
          <w:color w:val="000000" w:themeColor="text1"/>
        </w:rPr>
        <w:t>Department of Rural &amp; Community Development</w:t>
      </w:r>
      <w:bookmarkEnd w:id="79"/>
    </w:p>
    <w:tbl>
      <w:tblPr>
        <w:tblStyle w:val="TableGrid"/>
        <w:tblpPr w:leftFromText="180" w:rightFromText="180" w:vertAnchor="text" w:horzAnchor="margin" w:tblpXSpec="center" w:tblpY="256"/>
        <w:tblW w:w="11340" w:type="dxa"/>
        <w:tblLayout w:type="fixed"/>
        <w:tblLook w:val="04A0" w:firstRow="1" w:lastRow="0" w:firstColumn="1" w:lastColumn="0" w:noHBand="0" w:noVBand="1"/>
        <w:tblCaption w:val="Department of Rural Community &amp; Development "/>
      </w:tblPr>
      <w:tblGrid>
        <w:gridCol w:w="1701"/>
        <w:gridCol w:w="1701"/>
        <w:gridCol w:w="1418"/>
        <w:gridCol w:w="1559"/>
        <w:gridCol w:w="1701"/>
        <w:gridCol w:w="1559"/>
        <w:gridCol w:w="1701"/>
      </w:tblGrid>
      <w:tr w:rsidR="00031890" w:rsidRPr="006F2FFB" w14:paraId="2638F808" w14:textId="77777777" w:rsidTr="00031890">
        <w:trPr>
          <w:tblHeader/>
        </w:trPr>
        <w:tc>
          <w:tcPr>
            <w:tcW w:w="1701" w:type="dxa"/>
          </w:tcPr>
          <w:p w14:paraId="3516FA5E" w14:textId="77777777" w:rsidR="00031890" w:rsidRPr="006F2FFB" w:rsidRDefault="00031890" w:rsidP="00031890">
            <w:pPr>
              <w:pStyle w:val="TableHead"/>
              <w:rPr>
                <w:sz w:val="22"/>
                <w:szCs w:val="22"/>
              </w:rPr>
            </w:pPr>
            <w:r w:rsidRPr="006F2FFB">
              <w:rPr>
                <w:sz w:val="22"/>
                <w:szCs w:val="22"/>
              </w:rPr>
              <w:t>Public Body</w:t>
            </w:r>
          </w:p>
        </w:tc>
        <w:tc>
          <w:tcPr>
            <w:tcW w:w="1701" w:type="dxa"/>
          </w:tcPr>
          <w:p w14:paraId="30EB75E5" w14:textId="77777777" w:rsidR="008321E1" w:rsidRPr="006F2FFB" w:rsidRDefault="00031890" w:rsidP="00031890">
            <w:pPr>
              <w:pStyle w:val="TableHead"/>
              <w:rPr>
                <w:sz w:val="22"/>
                <w:szCs w:val="22"/>
              </w:rPr>
            </w:pPr>
            <w:r w:rsidRPr="006F2FFB">
              <w:rPr>
                <w:sz w:val="22"/>
                <w:szCs w:val="22"/>
              </w:rPr>
              <w:t xml:space="preserve">Total </w:t>
            </w:r>
          </w:p>
          <w:p w14:paraId="2C486298" w14:textId="77777777" w:rsidR="008321E1" w:rsidRPr="006F2FFB" w:rsidRDefault="00031890" w:rsidP="00031890">
            <w:pPr>
              <w:pStyle w:val="TableHead"/>
              <w:rPr>
                <w:sz w:val="22"/>
                <w:szCs w:val="22"/>
              </w:rPr>
            </w:pPr>
            <w:r w:rsidRPr="006F2FFB">
              <w:rPr>
                <w:sz w:val="22"/>
                <w:szCs w:val="22"/>
              </w:rPr>
              <w:t xml:space="preserve">number </w:t>
            </w:r>
          </w:p>
          <w:p w14:paraId="6B52F368" w14:textId="77777777" w:rsidR="008321E1" w:rsidRPr="006F2FFB" w:rsidRDefault="00031890" w:rsidP="00031890">
            <w:pPr>
              <w:pStyle w:val="TableHead"/>
              <w:rPr>
                <w:sz w:val="22"/>
                <w:szCs w:val="22"/>
              </w:rPr>
            </w:pPr>
            <w:r w:rsidRPr="006F2FFB">
              <w:rPr>
                <w:sz w:val="22"/>
                <w:szCs w:val="22"/>
              </w:rPr>
              <w:t xml:space="preserve">of </w:t>
            </w:r>
          </w:p>
          <w:p w14:paraId="4D8FC7AE" w14:textId="0E150D9F" w:rsidR="00031890" w:rsidRPr="006F2FFB" w:rsidRDefault="00031890" w:rsidP="00031890">
            <w:pPr>
              <w:pStyle w:val="TableHead"/>
              <w:rPr>
                <w:sz w:val="22"/>
                <w:szCs w:val="22"/>
              </w:rPr>
            </w:pPr>
            <w:r w:rsidRPr="006F2FFB">
              <w:rPr>
                <w:sz w:val="22"/>
                <w:szCs w:val="22"/>
              </w:rPr>
              <w:t>employees  202</w:t>
            </w:r>
            <w:r w:rsidR="005125D5">
              <w:rPr>
                <w:sz w:val="22"/>
                <w:szCs w:val="22"/>
              </w:rPr>
              <w:t>1</w:t>
            </w:r>
          </w:p>
        </w:tc>
        <w:tc>
          <w:tcPr>
            <w:tcW w:w="1418" w:type="dxa"/>
          </w:tcPr>
          <w:p w14:paraId="1FEC4EC1" w14:textId="77777777" w:rsidR="00031890" w:rsidRPr="006F2FFB" w:rsidRDefault="00031890" w:rsidP="00031890">
            <w:pPr>
              <w:pStyle w:val="TableHead"/>
              <w:rPr>
                <w:sz w:val="22"/>
                <w:szCs w:val="22"/>
              </w:rPr>
            </w:pPr>
            <w:r w:rsidRPr="006F2FFB">
              <w:rPr>
                <w:sz w:val="22"/>
                <w:szCs w:val="22"/>
              </w:rPr>
              <w:t xml:space="preserve">Number of employees reporting a disability </w:t>
            </w:r>
          </w:p>
          <w:p w14:paraId="47961535" w14:textId="2E8E00F5" w:rsidR="00031890" w:rsidRPr="006F2FFB" w:rsidRDefault="00031890" w:rsidP="00031890">
            <w:pPr>
              <w:pStyle w:val="TableHead"/>
              <w:rPr>
                <w:sz w:val="22"/>
                <w:szCs w:val="22"/>
              </w:rPr>
            </w:pPr>
            <w:r w:rsidRPr="006F2FFB">
              <w:rPr>
                <w:sz w:val="22"/>
                <w:szCs w:val="22"/>
              </w:rPr>
              <w:t>202</w:t>
            </w:r>
            <w:r w:rsidR="005125D5">
              <w:rPr>
                <w:sz w:val="22"/>
                <w:szCs w:val="22"/>
              </w:rPr>
              <w:t>1</w:t>
            </w:r>
          </w:p>
        </w:tc>
        <w:tc>
          <w:tcPr>
            <w:tcW w:w="1559" w:type="dxa"/>
          </w:tcPr>
          <w:p w14:paraId="63B87CF3" w14:textId="77777777" w:rsidR="00031890" w:rsidRPr="006F2FFB" w:rsidRDefault="00031890" w:rsidP="00031890">
            <w:pPr>
              <w:pStyle w:val="TableHead"/>
              <w:rPr>
                <w:sz w:val="22"/>
                <w:szCs w:val="22"/>
              </w:rPr>
            </w:pPr>
            <w:r w:rsidRPr="006F2FFB">
              <w:rPr>
                <w:sz w:val="22"/>
                <w:szCs w:val="22"/>
              </w:rPr>
              <w:t>% of employees reporting a</w:t>
            </w:r>
          </w:p>
          <w:p w14:paraId="379E694B" w14:textId="369A335B" w:rsidR="00031890" w:rsidRPr="006F2FFB" w:rsidRDefault="00031890" w:rsidP="00031890">
            <w:pPr>
              <w:pStyle w:val="TableHead"/>
              <w:rPr>
                <w:sz w:val="22"/>
                <w:szCs w:val="22"/>
              </w:rPr>
            </w:pPr>
            <w:r w:rsidRPr="006F2FFB">
              <w:rPr>
                <w:sz w:val="22"/>
                <w:szCs w:val="22"/>
              </w:rPr>
              <w:t>disability 202</w:t>
            </w:r>
            <w:r w:rsidR="005125D5">
              <w:rPr>
                <w:sz w:val="22"/>
                <w:szCs w:val="22"/>
              </w:rPr>
              <w:t>1</w:t>
            </w:r>
          </w:p>
        </w:tc>
        <w:tc>
          <w:tcPr>
            <w:tcW w:w="1701" w:type="dxa"/>
          </w:tcPr>
          <w:p w14:paraId="2DBD7B56" w14:textId="77777777" w:rsidR="008321E1" w:rsidRPr="006F2FFB" w:rsidRDefault="00031890" w:rsidP="00031890">
            <w:pPr>
              <w:pStyle w:val="TableHead"/>
              <w:rPr>
                <w:sz w:val="22"/>
                <w:szCs w:val="22"/>
              </w:rPr>
            </w:pPr>
            <w:r w:rsidRPr="006F2FFB">
              <w:rPr>
                <w:sz w:val="22"/>
                <w:szCs w:val="22"/>
              </w:rPr>
              <w:t xml:space="preserve">Total </w:t>
            </w:r>
          </w:p>
          <w:p w14:paraId="601B453A" w14:textId="77777777" w:rsidR="008321E1" w:rsidRPr="006F2FFB" w:rsidRDefault="00031890" w:rsidP="00031890">
            <w:pPr>
              <w:pStyle w:val="TableHead"/>
              <w:rPr>
                <w:sz w:val="22"/>
                <w:szCs w:val="22"/>
              </w:rPr>
            </w:pPr>
            <w:r w:rsidRPr="006F2FFB">
              <w:rPr>
                <w:sz w:val="22"/>
                <w:szCs w:val="22"/>
              </w:rPr>
              <w:t xml:space="preserve">number </w:t>
            </w:r>
          </w:p>
          <w:p w14:paraId="39B53D1D" w14:textId="77777777" w:rsidR="008321E1" w:rsidRPr="006F2FFB" w:rsidRDefault="00031890" w:rsidP="00031890">
            <w:pPr>
              <w:pStyle w:val="TableHead"/>
              <w:rPr>
                <w:sz w:val="22"/>
                <w:szCs w:val="22"/>
              </w:rPr>
            </w:pPr>
            <w:r w:rsidRPr="006F2FFB">
              <w:rPr>
                <w:sz w:val="22"/>
                <w:szCs w:val="22"/>
              </w:rPr>
              <w:t xml:space="preserve">of </w:t>
            </w:r>
          </w:p>
          <w:p w14:paraId="533A351E" w14:textId="2337BF87" w:rsidR="00031890" w:rsidRPr="006F2FFB" w:rsidRDefault="00031890" w:rsidP="00031890">
            <w:pPr>
              <w:pStyle w:val="TableHead"/>
              <w:rPr>
                <w:sz w:val="22"/>
                <w:szCs w:val="22"/>
              </w:rPr>
            </w:pPr>
            <w:r w:rsidRPr="006F2FFB">
              <w:rPr>
                <w:sz w:val="22"/>
                <w:szCs w:val="22"/>
              </w:rPr>
              <w:t>employees  202</w:t>
            </w:r>
            <w:r w:rsidR="005125D5">
              <w:rPr>
                <w:sz w:val="22"/>
                <w:szCs w:val="22"/>
              </w:rPr>
              <w:t>2</w:t>
            </w:r>
          </w:p>
        </w:tc>
        <w:tc>
          <w:tcPr>
            <w:tcW w:w="1559" w:type="dxa"/>
          </w:tcPr>
          <w:p w14:paraId="7B1495B0" w14:textId="77777777" w:rsidR="00031890" w:rsidRPr="006F2FFB" w:rsidRDefault="00031890" w:rsidP="00031890">
            <w:pPr>
              <w:pStyle w:val="TableHead"/>
              <w:rPr>
                <w:sz w:val="22"/>
                <w:szCs w:val="22"/>
              </w:rPr>
            </w:pPr>
            <w:r w:rsidRPr="006F2FFB">
              <w:rPr>
                <w:sz w:val="22"/>
                <w:szCs w:val="22"/>
              </w:rPr>
              <w:t xml:space="preserve">Number of employees reporting a disability </w:t>
            </w:r>
          </w:p>
          <w:p w14:paraId="5FBF8050" w14:textId="291C2E06" w:rsidR="00031890" w:rsidRPr="006F2FFB" w:rsidRDefault="00031890" w:rsidP="00031890">
            <w:pPr>
              <w:pStyle w:val="TableHead"/>
              <w:rPr>
                <w:sz w:val="22"/>
                <w:szCs w:val="22"/>
              </w:rPr>
            </w:pPr>
            <w:r w:rsidRPr="006F2FFB">
              <w:rPr>
                <w:sz w:val="22"/>
                <w:szCs w:val="22"/>
              </w:rPr>
              <w:t>202</w:t>
            </w:r>
            <w:r w:rsidR="005125D5">
              <w:rPr>
                <w:sz w:val="22"/>
                <w:szCs w:val="22"/>
              </w:rPr>
              <w:t>2</w:t>
            </w:r>
          </w:p>
        </w:tc>
        <w:tc>
          <w:tcPr>
            <w:tcW w:w="1701" w:type="dxa"/>
          </w:tcPr>
          <w:p w14:paraId="50AA752C" w14:textId="77777777" w:rsidR="00031890" w:rsidRPr="006F2FFB" w:rsidRDefault="00031890" w:rsidP="00031890">
            <w:pPr>
              <w:pStyle w:val="TableHead"/>
              <w:rPr>
                <w:sz w:val="22"/>
                <w:szCs w:val="22"/>
              </w:rPr>
            </w:pPr>
            <w:r w:rsidRPr="006F2FFB">
              <w:rPr>
                <w:sz w:val="22"/>
                <w:szCs w:val="22"/>
              </w:rPr>
              <w:t>% of employees reporting a</w:t>
            </w:r>
          </w:p>
          <w:p w14:paraId="365DF958" w14:textId="77777777" w:rsidR="00031890" w:rsidRPr="006F2FFB" w:rsidRDefault="00031890" w:rsidP="00031890">
            <w:pPr>
              <w:pStyle w:val="TableHead"/>
              <w:rPr>
                <w:sz w:val="22"/>
                <w:szCs w:val="22"/>
              </w:rPr>
            </w:pPr>
            <w:r w:rsidRPr="006F2FFB">
              <w:rPr>
                <w:sz w:val="22"/>
                <w:szCs w:val="22"/>
              </w:rPr>
              <w:t>disability</w:t>
            </w:r>
          </w:p>
          <w:p w14:paraId="4E336F13" w14:textId="5FC23993" w:rsidR="00031890" w:rsidRPr="006F2FFB" w:rsidRDefault="00031890" w:rsidP="00031890">
            <w:pPr>
              <w:pStyle w:val="TableHead"/>
              <w:rPr>
                <w:sz w:val="24"/>
              </w:rPr>
            </w:pPr>
            <w:r w:rsidRPr="006F2FFB">
              <w:rPr>
                <w:sz w:val="22"/>
                <w:szCs w:val="22"/>
              </w:rPr>
              <w:t xml:space="preserve"> 202</w:t>
            </w:r>
            <w:r w:rsidR="005125D5">
              <w:rPr>
                <w:sz w:val="22"/>
                <w:szCs w:val="22"/>
              </w:rPr>
              <w:t>2</w:t>
            </w:r>
          </w:p>
        </w:tc>
      </w:tr>
      <w:tr w:rsidR="006B24AA" w:rsidRPr="006F2FFB" w14:paraId="2A785B9E" w14:textId="77777777" w:rsidTr="00031890">
        <w:tc>
          <w:tcPr>
            <w:tcW w:w="1701" w:type="dxa"/>
            <w:vAlign w:val="bottom"/>
          </w:tcPr>
          <w:p w14:paraId="7290135C" w14:textId="11FFFF1B" w:rsidR="006B24AA" w:rsidRPr="00C2512E" w:rsidRDefault="006B24AA" w:rsidP="00C2512E">
            <w:pPr>
              <w:spacing w:after="0"/>
              <w:rPr>
                <w:b/>
                <w:bCs/>
                <w:sz w:val="22"/>
                <w:szCs w:val="22"/>
              </w:rPr>
            </w:pPr>
            <w:r w:rsidRPr="00C2512E">
              <w:rPr>
                <w:rFonts w:cs="Calibri"/>
                <w:color w:val="000000"/>
                <w:sz w:val="22"/>
                <w:szCs w:val="22"/>
              </w:rPr>
              <w:t>Charities Regulatory Authority</w:t>
            </w:r>
            <w:r w:rsidRPr="00C2512E">
              <w:rPr>
                <w:rFonts w:cs="Calibri"/>
                <w:b/>
                <w:bCs/>
                <w:color w:val="000000"/>
                <w:sz w:val="22"/>
                <w:szCs w:val="22"/>
              </w:rPr>
              <w:t xml:space="preserve"> ( In 2022 this public body moved </w:t>
            </w:r>
            <w:r w:rsidR="0003232A">
              <w:rPr>
                <w:rFonts w:cs="Calibri"/>
                <w:b/>
                <w:bCs/>
                <w:color w:val="000000"/>
                <w:sz w:val="22"/>
                <w:szCs w:val="22"/>
              </w:rPr>
              <w:t>D</w:t>
            </w:r>
            <w:r w:rsidRPr="00C2512E">
              <w:rPr>
                <w:rFonts w:cs="Calibri"/>
                <w:b/>
                <w:bCs/>
                <w:color w:val="000000"/>
                <w:sz w:val="22"/>
                <w:szCs w:val="22"/>
              </w:rPr>
              <w:t>epartments from Public Expenditure &amp; Reform to Department of Rural  &amp; Community Development</w:t>
            </w:r>
            <w:r w:rsidR="00C2512E">
              <w:rPr>
                <w:rFonts w:cs="Calibri"/>
                <w:b/>
                <w:bCs/>
                <w:color w:val="000000"/>
                <w:sz w:val="22"/>
                <w:szCs w:val="22"/>
              </w:rPr>
              <w:t>)</w:t>
            </w:r>
          </w:p>
        </w:tc>
        <w:tc>
          <w:tcPr>
            <w:tcW w:w="1701" w:type="dxa"/>
          </w:tcPr>
          <w:p w14:paraId="1C43A311" w14:textId="43BC0EEE" w:rsidR="006B24AA" w:rsidRPr="006F2FFB" w:rsidRDefault="006B24AA" w:rsidP="006B24AA">
            <w:pPr>
              <w:jc w:val="right"/>
              <w:rPr>
                <w:sz w:val="22"/>
                <w:szCs w:val="22"/>
              </w:rPr>
            </w:pPr>
            <w:r>
              <w:rPr>
                <w:rFonts w:cs="Calibri"/>
                <w:color w:val="000000"/>
                <w:sz w:val="22"/>
                <w:szCs w:val="22"/>
              </w:rPr>
              <w:t>-</w:t>
            </w:r>
          </w:p>
        </w:tc>
        <w:tc>
          <w:tcPr>
            <w:tcW w:w="1418" w:type="dxa"/>
          </w:tcPr>
          <w:p w14:paraId="69D3735A" w14:textId="5E2ED8A6" w:rsidR="006B24AA" w:rsidRPr="006F2FFB" w:rsidRDefault="006B24AA" w:rsidP="006B24AA">
            <w:pPr>
              <w:jc w:val="right"/>
              <w:rPr>
                <w:sz w:val="22"/>
                <w:szCs w:val="22"/>
              </w:rPr>
            </w:pPr>
            <w:r>
              <w:rPr>
                <w:rFonts w:cs="Calibri"/>
                <w:color w:val="000000"/>
                <w:sz w:val="22"/>
                <w:szCs w:val="22"/>
              </w:rPr>
              <w:t>-</w:t>
            </w:r>
          </w:p>
        </w:tc>
        <w:tc>
          <w:tcPr>
            <w:tcW w:w="1559" w:type="dxa"/>
          </w:tcPr>
          <w:p w14:paraId="6FFD3C07" w14:textId="61A3548A" w:rsidR="006B24AA" w:rsidRPr="006F2FFB" w:rsidRDefault="006B24AA" w:rsidP="006B24AA">
            <w:pPr>
              <w:jc w:val="right"/>
              <w:rPr>
                <w:sz w:val="22"/>
                <w:szCs w:val="22"/>
              </w:rPr>
            </w:pPr>
            <w:r>
              <w:rPr>
                <w:rFonts w:cs="Calibri"/>
                <w:color w:val="000000"/>
                <w:sz w:val="22"/>
                <w:szCs w:val="22"/>
              </w:rPr>
              <w:t>-</w:t>
            </w:r>
          </w:p>
        </w:tc>
        <w:tc>
          <w:tcPr>
            <w:tcW w:w="1701" w:type="dxa"/>
          </w:tcPr>
          <w:p w14:paraId="60F4CDCE" w14:textId="7B7A5F1F" w:rsidR="006B24AA" w:rsidRPr="006F2FFB" w:rsidRDefault="006B24AA" w:rsidP="006B24AA">
            <w:pPr>
              <w:jc w:val="right"/>
              <w:rPr>
                <w:sz w:val="22"/>
                <w:szCs w:val="22"/>
              </w:rPr>
            </w:pPr>
            <w:r>
              <w:rPr>
                <w:rFonts w:cs="Calibri"/>
                <w:color w:val="000000"/>
                <w:sz w:val="22"/>
                <w:szCs w:val="22"/>
              </w:rPr>
              <w:t>45</w:t>
            </w:r>
          </w:p>
        </w:tc>
        <w:tc>
          <w:tcPr>
            <w:tcW w:w="1559" w:type="dxa"/>
          </w:tcPr>
          <w:p w14:paraId="2A883C04" w14:textId="0AF4ECAF" w:rsidR="006B24AA" w:rsidRPr="006F2FFB" w:rsidRDefault="006B24AA" w:rsidP="006B24AA">
            <w:pPr>
              <w:jc w:val="right"/>
              <w:rPr>
                <w:sz w:val="22"/>
                <w:szCs w:val="22"/>
              </w:rPr>
            </w:pPr>
            <w:r>
              <w:rPr>
                <w:rFonts w:cs="Calibri"/>
                <w:color w:val="000000"/>
                <w:sz w:val="22"/>
                <w:szCs w:val="22"/>
              </w:rPr>
              <w:t>7</w:t>
            </w:r>
          </w:p>
        </w:tc>
        <w:tc>
          <w:tcPr>
            <w:tcW w:w="1701" w:type="dxa"/>
          </w:tcPr>
          <w:p w14:paraId="477339AC" w14:textId="55E4244B" w:rsidR="006B24AA" w:rsidRPr="006F2FFB" w:rsidRDefault="006B24AA" w:rsidP="006B24AA">
            <w:pPr>
              <w:jc w:val="right"/>
              <w:rPr>
                <w:sz w:val="22"/>
                <w:szCs w:val="22"/>
              </w:rPr>
            </w:pPr>
            <w:r>
              <w:rPr>
                <w:rFonts w:cs="Calibri"/>
                <w:color w:val="000000"/>
                <w:sz w:val="22"/>
                <w:szCs w:val="22"/>
              </w:rPr>
              <w:t>15.6%</w:t>
            </w:r>
          </w:p>
        </w:tc>
      </w:tr>
      <w:tr w:rsidR="006B24AA" w:rsidRPr="006F2FFB" w14:paraId="529F96E2" w14:textId="77777777" w:rsidTr="00031890">
        <w:tc>
          <w:tcPr>
            <w:tcW w:w="1701" w:type="dxa"/>
            <w:vAlign w:val="bottom"/>
          </w:tcPr>
          <w:p w14:paraId="665F97F5" w14:textId="4B2243C4" w:rsidR="006B24AA" w:rsidRPr="006F2FFB" w:rsidRDefault="006B24AA" w:rsidP="006B24AA">
            <w:pPr>
              <w:rPr>
                <w:sz w:val="22"/>
                <w:szCs w:val="22"/>
              </w:rPr>
            </w:pPr>
            <w:r w:rsidRPr="006F2FFB">
              <w:rPr>
                <w:rFonts w:cs="Calibri"/>
                <w:color w:val="000000"/>
                <w:sz w:val="22"/>
                <w:szCs w:val="22"/>
              </w:rPr>
              <w:t xml:space="preserve">Water Safety Ireland </w:t>
            </w:r>
          </w:p>
        </w:tc>
        <w:tc>
          <w:tcPr>
            <w:tcW w:w="1701" w:type="dxa"/>
          </w:tcPr>
          <w:p w14:paraId="7C5590DB" w14:textId="045E25FE" w:rsidR="006B24AA" w:rsidRPr="006F2FFB" w:rsidRDefault="006B24AA" w:rsidP="006B24AA">
            <w:pPr>
              <w:jc w:val="right"/>
              <w:rPr>
                <w:sz w:val="22"/>
                <w:szCs w:val="22"/>
              </w:rPr>
            </w:pPr>
            <w:r w:rsidRPr="006F2FFB">
              <w:rPr>
                <w:rFonts w:cs="Calibri"/>
                <w:color w:val="000000"/>
                <w:sz w:val="22"/>
                <w:szCs w:val="22"/>
              </w:rPr>
              <w:t>9</w:t>
            </w:r>
          </w:p>
        </w:tc>
        <w:tc>
          <w:tcPr>
            <w:tcW w:w="1418" w:type="dxa"/>
          </w:tcPr>
          <w:p w14:paraId="79A30F40" w14:textId="0D729653" w:rsidR="006B24AA" w:rsidRPr="006F2FFB" w:rsidRDefault="006B24AA" w:rsidP="006B24AA">
            <w:pPr>
              <w:jc w:val="right"/>
              <w:rPr>
                <w:sz w:val="22"/>
                <w:szCs w:val="22"/>
              </w:rPr>
            </w:pPr>
            <w:r w:rsidRPr="006F2FFB">
              <w:rPr>
                <w:rFonts w:cs="Calibri"/>
                <w:color w:val="000000"/>
                <w:sz w:val="22"/>
                <w:szCs w:val="22"/>
              </w:rPr>
              <w:t>0</w:t>
            </w:r>
          </w:p>
        </w:tc>
        <w:tc>
          <w:tcPr>
            <w:tcW w:w="1559" w:type="dxa"/>
          </w:tcPr>
          <w:p w14:paraId="7F8D0774" w14:textId="4217192D" w:rsidR="006B24AA" w:rsidRPr="006F2FFB" w:rsidRDefault="006B24AA" w:rsidP="006B24AA">
            <w:pPr>
              <w:jc w:val="right"/>
              <w:rPr>
                <w:sz w:val="22"/>
                <w:szCs w:val="22"/>
              </w:rPr>
            </w:pPr>
            <w:r w:rsidRPr="006F2FFB">
              <w:rPr>
                <w:rFonts w:cs="Calibri"/>
                <w:color w:val="000000"/>
                <w:sz w:val="22"/>
                <w:szCs w:val="22"/>
              </w:rPr>
              <w:t>0.0%</w:t>
            </w:r>
          </w:p>
        </w:tc>
        <w:tc>
          <w:tcPr>
            <w:tcW w:w="1701" w:type="dxa"/>
          </w:tcPr>
          <w:p w14:paraId="6063DB0F" w14:textId="20A01343" w:rsidR="006B24AA" w:rsidRPr="006F2FFB" w:rsidRDefault="006B24AA" w:rsidP="006B24AA">
            <w:pPr>
              <w:jc w:val="right"/>
              <w:rPr>
                <w:sz w:val="22"/>
                <w:szCs w:val="22"/>
              </w:rPr>
            </w:pPr>
            <w:r>
              <w:rPr>
                <w:rFonts w:cs="Calibri"/>
                <w:color w:val="000000"/>
                <w:sz w:val="22"/>
                <w:szCs w:val="22"/>
              </w:rPr>
              <w:t>10</w:t>
            </w:r>
          </w:p>
        </w:tc>
        <w:tc>
          <w:tcPr>
            <w:tcW w:w="1559" w:type="dxa"/>
          </w:tcPr>
          <w:p w14:paraId="71D7BA45" w14:textId="7128AAD8" w:rsidR="006B24AA" w:rsidRPr="006F2FFB" w:rsidRDefault="006B24AA" w:rsidP="006B24AA">
            <w:pPr>
              <w:jc w:val="right"/>
              <w:rPr>
                <w:sz w:val="22"/>
                <w:szCs w:val="22"/>
              </w:rPr>
            </w:pPr>
            <w:r>
              <w:rPr>
                <w:rFonts w:cs="Calibri"/>
                <w:color w:val="000000"/>
                <w:sz w:val="22"/>
                <w:szCs w:val="22"/>
              </w:rPr>
              <w:t>2</w:t>
            </w:r>
          </w:p>
        </w:tc>
        <w:tc>
          <w:tcPr>
            <w:tcW w:w="1701" w:type="dxa"/>
          </w:tcPr>
          <w:p w14:paraId="7C11D183" w14:textId="2C513880" w:rsidR="006B24AA" w:rsidRPr="006F2FFB" w:rsidRDefault="006B24AA" w:rsidP="006B24AA">
            <w:pPr>
              <w:jc w:val="right"/>
              <w:rPr>
                <w:sz w:val="22"/>
                <w:szCs w:val="22"/>
              </w:rPr>
            </w:pPr>
            <w:r>
              <w:rPr>
                <w:rFonts w:cs="Calibri"/>
                <w:color w:val="000000"/>
                <w:sz w:val="22"/>
                <w:szCs w:val="22"/>
              </w:rPr>
              <w:t>20.0%</w:t>
            </w:r>
          </w:p>
        </w:tc>
      </w:tr>
      <w:tr w:rsidR="006B24AA" w:rsidRPr="006F2FFB" w14:paraId="5EE98A7E" w14:textId="77777777" w:rsidTr="007411BA">
        <w:tc>
          <w:tcPr>
            <w:tcW w:w="1701" w:type="dxa"/>
            <w:vAlign w:val="bottom"/>
          </w:tcPr>
          <w:p w14:paraId="4FC2ADA3" w14:textId="0B2DA2B3" w:rsidR="006B24AA" w:rsidRPr="006B24AA" w:rsidRDefault="006B24AA" w:rsidP="006B24AA">
            <w:pPr>
              <w:pStyle w:val="TableHead"/>
              <w:rPr>
                <w:b w:val="0"/>
                <w:bCs/>
                <w:sz w:val="22"/>
                <w:szCs w:val="22"/>
              </w:rPr>
            </w:pPr>
            <w:r w:rsidRPr="006B24AA">
              <w:rPr>
                <w:rFonts w:cs="Calibri"/>
                <w:b w:val="0"/>
                <w:bCs/>
                <w:color w:val="000000"/>
                <w:sz w:val="22"/>
                <w:szCs w:val="22"/>
              </w:rPr>
              <w:t>Western Development Commission</w:t>
            </w:r>
          </w:p>
        </w:tc>
        <w:tc>
          <w:tcPr>
            <w:tcW w:w="1701" w:type="dxa"/>
          </w:tcPr>
          <w:p w14:paraId="7A8C370E" w14:textId="70C76E36" w:rsidR="006B24AA" w:rsidRPr="006B24AA" w:rsidRDefault="006B24AA" w:rsidP="006B24AA">
            <w:pPr>
              <w:spacing w:after="0"/>
              <w:jc w:val="right"/>
              <w:rPr>
                <w:rFonts w:cs="Calibri"/>
                <w:bCs/>
                <w:color w:val="000000"/>
                <w:sz w:val="22"/>
                <w:szCs w:val="22"/>
              </w:rPr>
            </w:pPr>
            <w:r w:rsidRPr="006B24AA">
              <w:rPr>
                <w:rFonts w:cs="Calibri"/>
                <w:bCs/>
                <w:color w:val="000000"/>
                <w:sz w:val="22"/>
                <w:szCs w:val="22"/>
              </w:rPr>
              <w:t>28</w:t>
            </w:r>
          </w:p>
        </w:tc>
        <w:tc>
          <w:tcPr>
            <w:tcW w:w="1418" w:type="dxa"/>
          </w:tcPr>
          <w:p w14:paraId="7029030D" w14:textId="2DDC0EDF" w:rsidR="006B24AA" w:rsidRPr="006B24AA" w:rsidRDefault="006B24AA" w:rsidP="006B24AA">
            <w:pPr>
              <w:spacing w:after="0"/>
              <w:jc w:val="right"/>
              <w:rPr>
                <w:rFonts w:cs="Calibri"/>
                <w:bCs/>
                <w:color w:val="000000"/>
                <w:sz w:val="22"/>
                <w:szCs w:val="22"/>
              </w:rPr>
            </w:pPr>
            <w:r w:rsidRPr="006B24AA">
              <w:rPr>
                <w:rFonts w:cs="Calibri"/>
                <w:bCs/>
                <w:color w:val="000000"/>
                <w:sz w:val="22"/>
                <w:szCs w:val="22"/>
              </w:rPr>
              <w:t>3</w:t>
            </w:r>
          </w:p>
        </w:tc>
        <w:tc>
          <w:tcPr>
            <w:tcW w:w="1559" w:type="dxa"/>
          </w:tcPr>
          <w:p w14:paraId="70670A5F" w14:textId="6E334139" w:rsidR="006B24AA" w:rsidRPr="006B24AA" w:rsidRDefault="006B24AA" w:rsidP="006B24AA">
            <w:pPr>
              <w:jc w:val="right"/>
              <w:rPr>
                <w:bCs/>
                <w:sz w:val="22"/>
                <w:szCs w:val="22"/>
              </w:rPr>
            </w:pPr>
            <w:r w:rsidRPr="006B24AA">
              <w:rPr>
                <w:rFonts w:cs="Calibri"/>
                <w:bCs/>
                <w:color w:val="000000"/>
                <w:sz w:val="22"/>
                <w:szCs w:val="22"/>
              </w:rPr>
              <w:t>10.7%</w:t>
            </w:r>
          </w:p>
        </w:tc>
        <w:tc>
          <w:tcPr>
            <w:tcW w:w="1701" w:type="dxa"/>
          </w:tcPr>
          <w:p w14:paraId="3C05DA12" w14:textId="380FB381" w:rsidR="006B24AA" w:rsidRPr="006F2FFB" w:rsidRDefault="006B24AA" w:rsidP="006B24AA">
            <w:pPr>
              <w:jc w:val="right"/>
              <w:rPr>
                <w:b/>
                <w:sz w:val="22"/>
                <w:szCs w:val="22"/>
              </w:rPr>
            </w:pPr>
            <w:r>
              <w:rPr>
                <w:rFonts w:cs="Calibri"/>
                <w:color w:val="000000"/>
                <w:sz w:val="22"/>
                <w:szCs w:val="22"/>
              </w:rPr>
              <w:t>28</w:t>
            </w:r>
          </w:p>
        </w:tc>
        <w:tc>
          <w:tcPr>
            <w:tcW w:w="1559" w:type="dxa"/>
          </w:tcPr>
          <w:p w14:paraId="478BAC3F" w14:textId="402F264A" w:rsidR="006B24AA" w:rsidRPr="006F2FFB" w:rsidRDefault="006B24AA" w:rsidP="006B24AA">
            <w:pPr>
              <w:jc w:val="right"/>
              <w:rPr>
                <w:b/>
                <w:sz w:val="22"/>
                <w:szCs w:val="22"/>
              </w:rPr>
            </w:pPr>
            <w:r>
              <w:rPr>
                <w:rFonts w:cs="Calibri"/>
                <w:color w:val="000000"/>
                <w:sz w:val="22"/>
                <w:szCs w:val="22"/>
              </w:rPr>
              <w:t>1</w:t>
            </w:r>
          </w:p>
        </w:tc>
        <w:tc>
          <w:tcPr>
            <w:tcW w:w="1701" w:type="dxa"/>
          </w:tcPr>
          <w:p w14:paraId="545BC035" w14:textId="42F14584" w:rsidR="006B24AA" w:rsidRPr="006F2FFB" w:rsidRDefault="006B24AA" w:rsidP="006B24AA">
            <w:pPr>
              <w:jc w:val="right"/>
              <w:rPr>
                <w:b/>
                <w:sz w:val="22"/>
                <w:szCs w:val="22"/>
              </w:rPr>
            </w:pPr>
            <w:r>
              <w:rPr>
                <w:rFonts w:cs="Calibri"/>
                <w:color w:val="000000"/>
                <w:sz w:val="22"/>
                <w:szCs w:val="22"/>
              </w:rPr>
              <w:t>3.6%</w:t>
            </w:r>
          </w:p>
        </w:tc>
      </w:tr>
      <w:tr w:rsidR="006B24AA" w:rsidRPr="006F2FFB" w14:paraId="3A58842D" w14:textId="77777777" w:rsidTr="00031890">
        <w:tc>
          <w:tcPr>
            <w:tcW w:w="1701" w:type="dxa"/>
          </w:tcPr>
          <w:p w14:paraId="4F6C4586" w14:textId="77777777" w:rsidR="006B24AA" w:rsidRPr="006F2FFB" w:rsidRDefault="006B24AA" w:rsidP="006B24AA">
            <w:pPr>
              <w:pStyle w:val="TableHead"/>
              <w:rPr>
                <w:sz w:val="22"/>
                <w:szCs w:val="22"/>
              </w:rPr>
            </w:pPr>
            <w:r w:rsidRPr="006F2FFB">
              <w:rPr>
                <w:sz w:val="22"/>
                <w:szCs w:val="22"/>
              </w:rPr>
              <w:t xml:space="preserve">Grand Total </w:t>
            </w:r>
          </w:p>
        </w:tc>
        <w:tc>
          <w:tcPr>
            <w:tcW w:w="1701" w:type="dxa"/>
          </w:tcPr>
          <w:p w14:paraId="7A501B7F" w14:textId="77777777" w:rsidR="006B24AA" w:rsidRPr="006F2FFB" w:rsidRDefault="006B24AA" w:rsidP="006B24AA">
            <w:pPr>
              <w:spacing w:after="0"/>
              <w:jc w:val="right"/>
              <w:rPr>
                <w:rFonts w:cs="Calibri"/>
                <w:b/>
                <w:bCs/>
                <w:color w:val="000000"/>
                <w:sz w:val="22"/>
                <w:szCs w:val="22"/>
                <w:lang w:eastAsia="en-IE"/>
              </w:rPr>
            </w:pPr>
            <w:r w:rsidRPr="006F2FFB">
              <w:rPr>
                <w:rFonts w:cs="Calibri"/>
                <w:b/>
                <w:bCs/>
                <w:color w:val="000000"/>
                <w:sz w:val="22"/>
                <w:szCs w:val="22"/>
              </w:rPr>
              <w:t>37</w:t>
            </w:r>
          </w:p>
          <w:p w14:paraId="22A2DD5B" w14:textId="77777777" w:rsidR="006B24AA" w:rsidRPr="006F2FFB" w:rsidRDefault="006B24AA" w:rsidP="006B24AA">
            <w:pPr>
              <w:jc w:val="right"/>
              <w:rPr>
                <w:b/>
                <w:sz w:val="22"/>
                <w:szCs w:val="22"/>
              </w:rPr>
            </w:pPr>
          </w:p>
        </w:tc>
        <w:tc>
          <w:tcPr>
            <w:tcW w:w="1418" w:type="dxa"/>
          </w:tcPr>
          <w:p w14:paraId="6E3BC97A" w14:textId="77777777" w:rsidR="006B24AA" w:rsidRPr="006F2FFB" w:rsidRDefault="006B24AA" w:rsidP="006B24AA">
            <w:pPr>
              <w:spacing w:after="0"/>
              <w:jc w:val="right"/>
              <w:rPr>
                <w:rFonts w:cs="Calibri"/>
                <w:b/>
                <w:bCs/>
                <w:color w:val="000000"/>
                <w:sz w:val="22"/>
                <w:szCs w:val="22"/>
                <w:lang w:eastAsia="en-IE"/>
              </w:rPr>
            </w:pPr>
            <w:r w:rsidRPr="006F2FFB">
              <w:rPr>
                <w:rFonts w:cs="Calibri"/>
                <w:b/>
                <w:bCs/>
                <w:color w:val="000000"/>
                <w:sz w:val="22"/>
                <w:szCs w:val="22"/>
              </w:rPr>
              <w:t>3</w:t>
            </w:r>
          </w:p>
          <w:p w14:paraId="32AF4C34" w14:textId="77777777" w:rsidR="006B24AA" w:rsidRPr="006F2FFB" w:rsidRDefault="006B24AA" w:rsidP="006B24AA">
            <w:pPr>
              <w:jc w:val="right"/>
              <w:rPr>
                <w:b/>
                <w:sz w:val="22"/>
                <w:szCs w:val="22"/>
              </w:rPr>
            </w:pPr>
          </w:p>
        </w:tc>
        <w:tc>
          <w:tcPr>
            <w:tcW w:w="1559" w:type="dxa"/>
          </w:tcPr>
          <w:p w14:paraId="0A0B3DA9" w14:textId="3CD8153A" w:rsidR="006B24AA" w:rsidRPr="006F2FFB" w:rsidRDefault="006B24AA" w:rsidP="006B24AA">
            <w:pPr>
              <w:jc w:val="right"/>
              <w:rPr>
                <w:b/>
                <w:sz w:val="22"/>
                <w:szCs w:val="22"/>
              </w:rPr>
            </w:pPr>
            <w:r w:rsidRPr="006F2FFB">
              <w:rPr>
                <w:b/>
                <w:sz w:val="22"/>
                <w:szCs w:val="22"/>
              </w:rPr>
              <w:t>8.1%</w:t>
            </w:r>
          </w:p>
        </w:tc>
        <w:tc>
          <w:tcPr>
            <w:tcW w:w="1701" w:type="dxa"/>
          </w:tcPr>
          <w:p w14:paraId="5139499C" w14:textId="77777777" w:rsidR="006B24AA" w:rsidRDefault="006B24AA" w:rsidP="006B24AA">
            <w:pPr>
              <w:spacing w:after="0"/>
              <w:jc w:val="right"/>
              <w:rPr>
                <w:rFonts w:cs="Calibri"/>
                <w:b/>
                <w:bCs/>
                <w:color w:val="000000"/>
                <w:sz w:val="22"/>
                <w:szCs w:val="22"/>
                <w:lang w:eastAsia="en-IE"/>
              </w:rPr>
            </w:pPr>
            <w:r>
              <w:rPr>
                <w:rFonts w:cs="Calibri"/>
                <w:b/>
                <w:bCs/>
                <w:color w:val="000000"/>
                <w:sz w:val="22"/>
                <w:szCs w:val="22"/>
              </w:rPr>
              <w:t>83</w:t>
            </w:r>
          </w:p>
          <w:p w14:paraId="50B2792E" w14:textId="77777777" w:rsidR="006B24AA" w:rsidRPr="006F2FFB" w:rsidRDefault="006B24AA" w:rsidP="006B24AA">
            <w:pPr>
              <w:jc w:val="right"/>
              <w:rPr>
                <w:b/>
                <w:sz w:val="22"/>
                <w:szCs w:val="22"/>
              </w:rPr>
            </w:pPr>
          </w:p>
        </w:tc>
        <w:tc>
          <w:tcPr>
            <w:tcW w:w="1559" w:type="dxa"/>
          </w:tcPr>
          <w:p w14:paraId="7601FBA8" w14:textId="77777777" w:rsidR="006B24AA" w:rsidRDefault="006B24AA" w:rsidP="006B24AA">
            <w:pPr>
              <w:spacing w:after="0"/>
              <w:jc w:val="right"/>
              <w:rPr>
                <w:rFonts w:cs="Calibri"/>
                <w:b/>
                <w:bCs/>
                <w:color w:val="000000"/>
                <w:sz w:val="22"/>
                <w:szCs w:val="22"/>
                <w:lang w:eastAsia="en-IE"/>
              </w:rPr>
            </w:pPr>
            <w:r>
              <w:rPr>
                <w:rFonts w:cs="Calibri"/>
                <w:b/>
                <w:bCs/>
                <w:color w:val="000000"/>
                <w:sz w:val="22"/>
                <w:szCs w:val="22"/>
              </w:rPr>
              <w:t>10</w:t>
            </w:r>
          </w:p>
          <w:p w14:paraId="47ACE63D" w14:textId="77777777" w:rsidR="006B24AA" w:rsidRPr="006F2FFB" w:rsidRDefault="006B24AA" w:rsidP="006B24AA">
            <w:pPr>
              <w:jc w:val="right"/>
              <w:rPr>
                <w:b/>
                <w:sz w:val="22"/>
                <w:szCs w:val="22"/>
              </w:rPr>
            </w:pPr>
          </w:p>
        </w:tc>
        <w:tc>
          <w:tcPr>
            <w:tcW w:w="1701" w:type="dxa"/>
          </w:tcPr>
          <w:p w14:paraId="54D963B6" w14:textId="77777777" w:rsidR="006B24AA" w:rsidRDefault="006B24AA" w:rsidP="006B24AA">
            <w:pPr>
              <w:spacing w:after="0"/>
              <w:jc w:val="right"/>
              <w:rPr>
                <w:rFonts w:cs="Calibri"/>
                <w:b/>
                <w:bCs/>
                <w:color w:val="000000"/>
                <w:sz w:val="22"/>
                <w:szCs w:val="22"/>
                <w:lang w:eastAsia="en-IE"/>
              </w:rPr>
            </w:pPr>
            <w:r>
              <w:rPr>
                <w:rFonts w:cs="Calibri"/>
                <w:b/>
                <w:bCs/>
                <w:color w:val="000000"/>
                <w:sz w:val="22"/>
                <w:szCs w:val="22"/>
              </w:rPr>
              <w:t>12.0%</w:t>
            </w:r>
          </w:p>
          <w:p w14:paraId="4F097EF6" w14:textId="3C21D6CD" w:rsidR="006B24AA" w:rsidRPr="006F2FFB" w:rsidRDefault="006B24AA" w:rsidP="006B24AA">
            <w:pPr>
              <w:jc w:val="right"/>
              <w:rPr>
                <w:b/>
                <w:sz w:val="22"/>
                <w:szCs w:val="22"/>
              </w:rPr>
            </w:pPr>
          </w:p>
        </w:tc>
      </w:tr>
    </w:tbl>
    <w:p w14:paraId="6F391ABE" w14:textId="0D1B3651" w:rsidR="00E46650" w:rsidRDefault="00E46650" w:rsidP="00E46650"/>
    <w:p w14:paraId="67FF8934" w14:textId="77777777" w:rsidR="00E46650" w:rsidRDefault="00E46650">
      <w:pPr>
        <w:spacing w:after="0"/>
      </w:pPr>
      <w:r>
        <w:br w:type="page"/>
      </w:r>
    </w:p>
    <w:p w14:paraId="15BB695F" w14:textId="704BE61C" w:rsidR="00C55ED5" w:rsidRPr="006F2FFB" w:rsidRDefault="00C55ED5" w:rsidP="001624B2">
      <w:pPr>
        <w:pStyle w:val="Heading2"/>
        <w:jc w:val="center"/>
        <w:rPr>
          <w:color w:val="000000" w:themeColor="text1"/>
        </w:rPr>
      </w:pPr>
      <w:bookmarkStart w:id="80" w:name="_Toc146113884"/>
      <w:r w:rsidRPr="006F2FFB">
        <w:rPr>
          <w:color w:val="000000" w:themeColor="text1"/>
        </w:rPr>
        <w:lastRenderedPageBreak/>
        <w:t>Department of Social Protection</w:t>
      </w:r>
      <w:bookmarkEnd w:id="80"/>
    </w:p>
    <w:tbl>
      <w:tblPr>
        <w:tblStyle w:val="TableGrid"/>
        <w:tblpPr w:leftFromText="180" w:rightFromText="180" w:vertAnchor="text" w:horzAnchor="margin" w:tblpXSpec="center" w:tblpY="185"/>
        <w:tblW w:w="11340" w:type="dxa"/>
        <w:tblLayout w:type="fixed"/>
        <w:tblLook w:val="04A0" w:firstRow="1" w:lastRow="0" w:firstColumn="1" w:lastColumn="0" w:noHBand="0" w:noVBand="1"/>
        <w:tblCaption w:val="Department of Social Protection "/>
      </w:tblPr>
      <w:tblGrid>
        <w:gridCol w:w="1843"/>
        <w:gridCol w:w="1559"/>
        <w:gridCol w:w="1418"/>
        <w:gridCol w:w="1559"/>
        <w:gridCol w:w="1559"/>
        <w:gridCol w:w="1701"/>
        <w:gridCol w:w="1701"/>
      </w:tblGrid>
      <w:tr w:rsidR="00031890" w:rsidRPr="006F2FFB" w14:paraId="77ACFC3B" w14:textId="77777777" w:rsidTr="00031890">
        <w:trPr>
          <w:tblHeader/>
        </w:trPr>
        <w:tc>
          <w:tcPr>
            <w:tcW w:w="1843" w:type="dxa"/>
          </w:tcPr>
          <w:p w14:paraId="1EAAB95D" w14:textId="77777777" w:rsidR="00031890" w:rsidRPr="006F2FFB" w:rsidRDefault="00031890" w:rsidP="00031890">
            <w:pPr>
              <w:pStyle w:val="TableHead"/>
              <w:rPr>
                <w:sz w:val="22"/>
                <w:szCs w:val="22"/>
              </w:rPr>
            </w:pPr>
            <w:r w:rsidRPr="006F2FFB">
              <w:rPr>
                <w:sz w:val="22"/>
                <w:szCs w:val="22"/>
              </w:rPr>
              <w:t>Public Body</w:t>
            </w:r>
          </w:p>
        </w:tc>
        <w:tc>
          <w:tcPr>
            <w:tcW w:w="1559" w:type="dxa"/>
          </w:tcPr>
          <w:p w14:paraId="57805635" w14:textId="77777777" w:rsidR="008321E1" w:rsidRPr="006F2FFB" w:rsidRDefault="00031890" w:rsidP="00031890">
            <w:pPr>
              <w:pStyle w:val="TableHead"/>
              <w:rPr>
                <w:sz w:val="22"/>
                <w:szCs w:val="22"/>
              </w:rPr>
            </w:pPr>
            <w:r w:rsidRPr="006F2FFB">
              <w:rPr>
                <w:sz w:val="22"/>
                <w:szCs w:val="22"/>
              </w:rPr>
              <w:t xml:space="preserve">Total number </w:t>
            </w:r>
          </w:p>
          <w:p w14:paraId="1695EF1E" w14:textId="7FDDACC4" w:rsidR="00031890" w:rsidRPr="006F2FFB" w:rsidRDefault="00031890" w:rsidP="00031890">
            <w:pPr>
              <w:pStyle w:val="TableHead"/>
              <w:rPr>
                <w:sz w:val="22"/>
                <w:szCs w:val="22"/>
              </w:rPr>
            </w:pPr>
            <w:r w:rsidRPr="006F2FFB">
              <w:rPr>
                <w:sz w:val="22"/>
                <w:szCs w:val="22"/>
              </w:rPr>
              <w:t>of employees  202</w:t>
            </w:r>
            <w:r w:rsidR="00F003C5">
              <w:rPr>
                <w:sz w:val="22"/>
                <w:szCs w:val="22"/>
              </w:rPr>
              <w:t>1</w:t>
            </w:r>
          </w:p>
        </w:tc>
        <w:tc>
          <w:tcPr>
            <w:tcW w:w="1418" w:type="dxa"/>
          </w:tcPr>
          <w:p w14:paraId="11030C92" w14:textId="77777777" w:rsidR="00031890" w:rsidRPr="006F2FFB" w:rsidRDefault="00031890" w:rsidP="00031890">
            <w:pPr>
              <w:pStyle w:val="TableHead"/>
              <w:rPr>
                <w:sz w:val="22"/>
                <w:szCs w:val="22"/>
              </w:rPr>
            </w:pPr>
            <w:r w:rsidRPr="006F2FFB">
              <w:rPr>
                <w:sz w:val="22"/>
                <w:szCs w:val="22"/>
              </w:rPr>
              <w:t xml:space="preserve">Number of employees reporting a disability </w:t>
            </w:r>
          </w:p>
          <w:p w14:paraId="3D05F922" w14:textId="244F9A5B" w:rsidR="00031890" w:rsidRPr="006F2FFB" w:rsidRDefault="00031890" w:rsidP="00031890">
            <w:pPr>
              <w:pStyle w:val="TableHead"/>
              <w:rPr>
                <w:sz w:val="22"/>
                <w:szCs w:val="22"/>
              </w:rPr>
            </w:pPr>
            <w:r w:rsidRPr="006F2FFB">
              <w:rPr>
                <w:sz w:val="22"/>
                <w:szCs w:val="22"/>
              </w:rPr>
              <w:t>202</w:t>
            </w:r>
            <w:r w:rsidR="00F003C5">
              <w:rPr>
                <w:sz w:val="22"/>
                <w:szCs w:val="22"/>
              </w:rPr>
              <w:t>1</w:t>
            </w:r>
          </w:p>
        </w:tc>
        <w:tc>
          <w:tcPr>
            <w:tcW w:w="1559" w:type="dxa"/>
          </w:tcPr>
          <w:p w14:paraId="29335AC1" w14:textId="77777777" w:rsidR="00031890" w:rsidRPr="006F2FFB" w:rsidRDefault="00031890" w:rsidP="00031890">
            <w:pPr>
              <w:pStyle w:val="TableHead"/>
              <w:rPr>
                <w:sz w:val="22"/>
                <w:szCs w:val="22"/>
              </w:rPr>
            </w:pPr>
            <w:r w:rsidRPr="006F2FFB">
              <w:rPr>
                <w:sz w:val="22"/>
                <w:szCs w:val="22"/>
              </w:rPr>
              <w:t>% of employees reporting a</w:t>
            </w:r>
          </w:p>
          <w:p w14:paraId="322D69F1" w14:textId="0C5A6268" w:rsidR="00031890" w:rsidRPr="006F2FFB" w:rsidRDefault="00031890" w:rsidP="00031890">
            <w:pPr>
              <w:pStyle w:val="TableHead"/>
              <w:rPr>
                <w:sz w:val="22"/>
                <w:szCs w:val="22"/>
              </w:rPr>
            </w:pPr>
            <w:r w:rsidRPr="006F2FFB">
              <w:rPr>
                <w:sz w:val="22"/>
                <w:szCs w:val="22"/>
              </w:rPr>
              <w:t>disability 202</w:t>
            </w:r>
            <w:r w:rsidR="00F003C5">
              <w:rPr>
                <w:sz w:val="22"/>
                <w:szCs w:val="22"/>
              </w:rPr>
              <w:t>1</w:t>
            </w:r>
          </w:p>
        </w:tc>
        <w:tc>
          <w:tcPr>
            <w:tcW w:w="1559" w:type="dxa"/>
          </w:tcPr>
          <w:p w14:paraId="73D4EECC" w14:textId="77777777" w:rsidR="008321E1" w:rsidRPr="006F2FFB" w:rsidRDefault="00031890" w:rsidP="00031890">
            <w:pPr>
              <w:pStyle w:val="TableHead"/>
              <w:rPr>
                <w:sz w:val="22"/>
                <w:szCs w:val="22"/>
              </w:rPr>
            </w:pPr>
            <w:r w:rsidRPr="006F2FFB">
              <w:rPr>
                <w:sz w:val="22"/>
                <w:szCs w:val="22"/>
              </w:rPr>
              <w:t xml:space="preserve">Total number </w:t>
            </w:r>
          </w:p>
          <w:p w14:paraId="13461580" w14:textId="33B4DEF1" w:rsidR="00031890" w:rsidRPr="006F2FFB" w:rsidRDefault="00031890" w:rsidP="00031890">
            <w:pPr>
              <w:pStyle w:val="TableHead"/>
              <w:rPr>
                <w:sz w:val="22"/>
                <w:szCs w:val="22"/>
              </w:rPr>
            </w:pPr>
            <w:r w:rsidRPr="006F2FFB">
              <w:rPr>
                <w:sz w:val="22"/>
                <w:szCs w:val="22"/>
              </w:rPr>
              <w:t>of employees  202</w:t>
            </w:r>
            <w:r w:rsidR="00F003C5">
              <w:rPr>
                <w:sz w:val="22"/>
                <w:szCs w:val="22"/>
              </w:rPr>
              <w:t>2</w:t>
            </w:r>
          </w:p>
        </w:tc>
        <w:tc>
          <w:tcPr>
            <w:tcW w:w="1701" w:type="dxa"/>
          </w:tcPr>
          <w:p w14:paraId="02B385E7" w14:textId="77777777" w:rsidR="00031890" w:rsidRPr="006F2FFB" w:rsidRDefault="00031890" w:rsidP="00031890">
            <w:pPr>
              <w:pStyle w:val="TableHead"/>
              <w:rPr>
                <w:sz w:val="22"/>
                <w:szCs w:val="22"/>
              </w:rPr>
            </w:pPr>
            <w:r w:rsidRPr="006F2FFB">
              <w:rPr>
                <w:sz w:val="22"/>
                <w:szCs w:val="22"/>
              </w:rPr>
              <w:t xml:space="preserve">Number of employees reporting a disability </w:t>
            </w:r>
          </w:p>
          <w:p w14:paraId="3C249D73" w14:textId="012D8864" w:rsidR="00031890" w:rsidRPr="006F2FFB" w:rsidRDefault="00031890" w:rsidP="00031890">
            <w:pPr>
              <w:pStyle w:val="TableHead"/>
              <w:rPr>
                <w:sz w:val="22"/>
                <w:szCs w:val="22"/>
              </w:rPr>
            </w:pPr>
            <w:r w:rsidRPr="006F2FFB">
              <w:rPr>
                <w:sz w:val="22"/>
                <w:szCs w:val="22"/>
              </w:rPr>
              <w:t>202</w:t>
            </w:r>
            <w:r w:rsidR="00F003C5">
              <w:rPr>
                <w:sz w:val="22"/>
                <w:szCs w:val="22"/>
              </w:rPr>
              <w:t>2</w:t>
            </w:r>
          </w:p>
        </w:tc>
        <w:tc>
          <w:tcPr>
            <w:tcW w:w="1701" w:type="dxa"/>
          </w:tcPr>
          <w:p w14:paraId="63B916E6" w14:textId="77777777" w:rsidR="00031890" w:rsidRPr="006F2FFB" w:rsidRDefault="00031890" w:rsidP="00031890">
            <w:pPr>
              <w:pStyle w:val="TableHead"/>
              <w:rPr>
                <w:sz w:val="22"/>
                <w:szCs w:val="22"/>
              </w:rPr>
            </w:pPr>
            <w:r w:rsidRPr="006F2FFB">
              <w:rPr>
                <w:sz w:val="22"/>
                <w:szCs w:val="22"/>
              </w:rPr>
              <w:t>% of employees reporting a</w:t>
            </w:r>
          </w:p>
          <w:p w14:paraId="4EB06965" w14:textId="77777777" w:rsidR="00031890" w:rsidRPr="006F2FFB" w:rsidRDefault="00031890" w:rsidP="00031890">
            <w:pPr>
              <w:pStyle w:val="TableHead"/>
              <w:rPr>
                <w:sz w:val="22"/>
                <w:szCs w:val="22"/>
              </w:rPr>
            </w:pPr>
            <w:r w:rsidRPr="006F2FFB">
              <w:rPr>
                <w:sz w:val="22"/>
                <w:szCs w:val="22"/>
              </w:rPr>
              <w:t xml:space="preserve">disability </w:t>
            </w:r>
          </w:p>
          <w:p w14:paraId="60C81A7C" w14:textId="107081A0" w:rsidR="00031890" w:rsidRPr="006F2FFB" w:rsidRDefault="00031890" w:rsidP="00031890">
            <w:pPr>
              <w:pStyle w:val="TableHead"/>
              <w:rPr>
                <w:sz w:val="22"/>
                <w:szCs w:val="22"/>
              </w:rPr>
            </w:pPr>
            <w:r w:rsidRPr="006F2FFB">
              <w:rPr>
                <w:sz w:val="22"/>
                <w:szCs w:val="22"/>
              </w:rPr>
              <w:t>202</w:t>
            </w:r>
            <w:r w:rsidR="00F003C5">
              <w:rPr>
                <w:sz w:val="22"/>
                <w:szCs w:val="22"/>
              </w:rPr>
              <w:t>2</w:t>
            </w:r>
          </w:p>
        </w:tc>
      </w:tr>
      <w:tr w:rsidR="00F003C5" w:rsidRPr="006F2FFB" w14:paraId="76436FBF" w14:textId="77777777" w:rsidTr="00031890">
        <w:tc>
          <w:tcPr>
            <w:tcW w:w="1843" w:type="dxa"/>
            <w:vAlign w:val="bottom"/>
          </w:tcPr>
          <w:p w14:paraId="425566EF" w14:textId="77777777" w:rsidR="00F003C5" w:rsidRPr="006F2FFB" w:rsidRDefault="00F003C5" w:rsidP="00F003C5">
            <w:pPr>
              <w:rPr>
                <w:sz w:val="22"/>
                <w:szCs w:val="22"/>
              </w:rPr>
            </w:pPr>
            <w:r w:rsidRPr="006F2FFB">
              <w:rPr>
                <w:rFonts w:cs="Calibri"/>
                <w:color w:val="000000"/>
                <w:sz w:val="22"/>
                <w:szCs w:val="22"/>
              </w:rPr>
              <w:t>Citizens Information Board</w:t>
            </w:r>
          </w:p>
        </w:tc>
        <w:tc>
          <w:tcPr>
            <w:tcW w:w="1559" w:type="dxa"/>
          </w:tcPr>
          <w:p w14:paraId="615AB045" w14:textId="41B13AF0" w:rsidR="00F003C5" w:rsidRPr="006F2FFB" w:rsidRDefault="00F003C5" w:rsidP="00F003C5">
            <w:pPr>
              <w:jc w:val="right"/>
              <w:rPr>
                <w:sz w:val="22"/>
                <w:szCs w:val="22"/>
              </w:rPr>
            </w:pPr>
            <w:r w:rsidRPr="006F2FFB">
              <w:rPr>
                <w:rFonts w:cs="Calibri"/>
                <w:color w:val="000000"/>
                <w:sz w:val="22"/>
                <w:szCs w:val="22"/>
              </w:rPr>
              <w:t>88</w:t>
            </w:r>
          </w:p>
        </w:tc>
        <w:tc>
          <w:tcPr>
            <w:tcW w:w="1418" w:type="dxa"/>
          </w:tcPr>
          <w:p w14:paraId="6F2931E9" w14:textId="6D01D2A0" w:rsidR="00F003C5" w:rsidRPr="006F2FFB" w:rsidRDefault="00F003C5" w:rsidP="00F003C5">
            <w:pPr>
              <w:jc w:val="right"/>
              <w:rPr>
                <w:sz w:val="22"/>
                <w:szCs w:val="22"/>
              </w:rPr>
            </w:pPr>
            <w:r w:rsidRPr="006F2FFB">
              <w:rPr>
                <w:rFonts w:cs="Calibri"/>
                <w:color w:val="000000"/>
                <w:sz w:val="22"/>
                <w:szCs w:val="22"/>
              </w:rPr>
              <w:t>9</w:t>
            </w:r>
          </w:p>
        </w:tc>
        <w:tc>
          <w:tcPr>
            <w:tcW w:w="1559" w:type="dxa"/>
          </w:tcPr>
          <w:p w14:paraId="1A6CB899" w14:textId="103066DF" w:rsidR="00F003C5" w:rsidRPr="006F2FFB" w:rsidRDefault="00F003C5" w:rsidP="00F003C5">
            <w:pPr>
              <w:jc w:val="right"/>
              <w:rPr>
                <w:sz w:val="22"/>
                <w:szCs w:val="22"/>
              </w:rPr>
            </w:pPr>
            <w:r w:rsidRPr="006F2FFB">
              <w:rPr>
                <w:rFonts w:cs="Calibri"/>
                <w:color w:val="000000"/>
                <w:sz w:val="22"/>
                <w:szCs w:val="22"/>
              </w:rPr>
              <w:t>10.2%</w:t>
            </w:r>
          </w:p>
        </w:tc>
        <w:tc>
          <w:tcPr>
            <w:tcW w:w="1559" w:type="dxa"/>
          </w:tcPr>
          <w:p w14:paraId="57F29049" w14:textId="57797B4B" w:rsidR="00F003C5" w:rsidRPr="006F2FFB" w:rsidRDefault="00F003C5" w:rsidP="00F003C5">
            <w:pPr>
              <w:jc w:val="right"/>
              <w:rPr>
                <w:sz w:val="22"/>
                <w:szCs w:val="22"/>
              </w:rPr>
            </w:pPr>
            <w:r>
              <w:rPr>
                <w:rFonts w:cs="Calibri"/>
                <w:color w:val="000000"/>
                <w:sz w:val="22"/>
                <w:szCs w:val="22"/>
              </w:rPr>
              <w:t>85</w:t>
            </w:r>
          </w:p>
        </w:tc>
        <w:tc>
          <w:tcPr>
            <w:tcW w:w="1701" w:type="dxa"/>
          </w:tcPr>
          <w:p w14:paraId="0F961E09" w14:textId="4FBB88B1" w:rsidR="00F003C5" w:rsidRPr="006F2FFB" w:rsidRDefault="00F003C5" w:rsidP="00F003C5">
            <w:pPr>
              <w:jc w:val="right"/>
              <w:rPr>
                <w:sz w:val="22"/>
                <w:szCs w:val="22"/>
              </w:rPr>
            </w:pPr>
            <w:r>
              <w:rPr>
                <w:rFonts w:cs="Calibri"/>
                <w:color w:val="000000"/>
                <w:sz w:val="22"/>
                <w:szCs w:val="22"/>
              </w:rPr>
              <w:t>8</w:t>
            </w:r>
          </w:p>
        </w:tc>
        <w:tc>
          <w:tcPr>
            <w:tcW w:w="1701" w:type="dxa"/>
          </w:tcPr>
          <w:p w14:paraId="0D0AE6C3" w14:textId="3ED91F4D" w:rsidR="00F003C5" w:rsidRPr="006F2FFB" w:rsidRDefault="00F003C5" w:rsidP="00F003C5">
            <w:pPr>
              <w:jc w:val="right"/>
              <w:rPr>
                <w:sz w:val="22"/>
                <w:szCs w:val="22"/>
              </w:rPr>
            </w:pPr>
            <w:r>
              <w:rPr>
                <w:rFonts w:cs="Calibri"/>
                <w:color w:val="000000"/>
                <w:sz w:val="22"/>
                <w:szCs w:val="22"/>
              </w:rPr>
              <w:t>9.4%</w:t>
            </w:r>
          </w:p>
        </w:tc>
      </w:tr>
      <w:tr w:rsidR="00F003C5" w:rsidRPr="006F2FFB" w14:paraId="22C23807" w14:textId="77777777" w:rsidTr="00031890">
        <w:tc>
          <w:tcPr>
            <w:tcW w:w="1843" w:type="dxa"/>
            <w:vAlign w:val="bottom"/>
          </w:tcPr>
          <w:p w14:paraId="1422F956" w14:textId="77777777" w:rsidR="00F003C5" w:rsidRPr="006F2FFB" w:rsidRDefault="00F003C5" w:rsidP="00F003C5">
            <w:pPr>
              <w:rPr>
                <w:sz w:val="22"/>
                <w:szCs w:val="22"/>
              </w:rPr>
            </w:pPr>
            <w:r w:rsidRPr="006F2FFB">
              <w:rPr>
                <w:rFonts w:cs="Calibri"/>
                <w:color w:val="000000"/>
                <w:sz w:val="22"/>
                <w:szCs w:val="22"/>
              </w:rPr>
              <w:t>The Pensions Authority</w:t>
            </w:r>
          </w:p>
        </w:tc>
        <w:tc>
          <w:tcPr>
            <w:tcW w:w="1559" w:type="dxa"/>
          </w:tcPr>
          <w:p w14:paraId="1CC410F7" w14:textId="5E85CA60" w:rsidR="00F003C5" w:rsidRPr="006F2FFB" w:rsidRDefault="00F003C5" w:rsidP="00F003C5">
            <w:pPr>
              <w:jc w:val="right"/>
              <w:rPr>
                <w:sz w:val="22"/>
                <w:szCs w:val="22"/>
              </w:rPr>
            </w:pPr>
            <w:r w:rsidRPr="006F2FFB">
              <w:rPr>
                <w:rFonts w:cs="Calibri"/>
                <w:color w:val="000000"/>
                <w:sz w:val="22"/>
                <w:szCs w:val="22"/>
              </w:rPr>
              <w:t>96</w:t>
            </w:r>
          </w:p>
        </w:tc>
        <w:tc>
          <w:tcPr>
            <w:tcW w:w="1418" w:type="dxa"/>
          </w:tcPr>
          <w:p w14:paraId="28CB9A77" w14:textId="327EA004" w:rsidR="00F003C5" w:rsidRPr="006F2FFB" w:rsidRDefault="00F003C5" w:rsidP="00F003C5">
            <w:pPr>
              <w:jc w:val="right"/>
              <w:rPr>
                <w:sz w:val="22"/>
                <w:szCs w:val="22"/>
              </w:rPr>
            </w:pPr>
            <w:r w:rsidRPr="006F2FFB">
              <w:rPr>
                <w:rFonts w:cs="Calibri"/>
                <w:color w:val="000000"/>
                <w:sz w:val="22"/>
                <w:szCs w:val="22"/>
              </w:rPr>
              <w:t>8</w:t>
            </w:r>
          </w:p>
        </w:tc>
        <w:tc>
          <w:tcPr>
            <w:tcW w:w="1559" w:type="dxa"/>
          </w:tcPr>
          <w:p w14:paraId="25F18CB1" w14:textId="6D0353A9" w:rsidR="00F003C5" w:rsidRPr="006F2FFB" w:rsidRDefault="00F003C5" w:rsidP="00F003C5">
            <w:pPr>
              <w:jc w:val="right"/>
              <w:rPr>
                <w:sz w:val="22"/>
                <w:szCs w:val="22"/>
              </w:rPr>
            </w:pPr>
            <w:r w:rsidRPr="006F2FFB">
              <w:rPr>
                <w:rFonts w:cs="Calibri"/>
                <w:color w:val="000000"/>
                <w:sz w:val="22"/>
                <w:szCs w:val="22"/>
              </w:rPr>
              <w:t>8.3%</w:t>
            </w:r>
          </w:p>
        </w:tc>
        <w:tc>
          <w:tcPr>
            <w:tcW w:w="1559" w:type="dxa"/>
          </w:tcPr>
          <w:p w14:paraId="3EAF2463" w14:textId="10BD55AA" w:rsidR="00F003C5" w:rsidRPr="006F2FFB" w:rsidRDefault="00F003C5" w:rsidP="00F003C5">
            <w:pPr>
              <w:jc w:val="right"/>
              <w:rPr>
                <w:sz w:val="22"/>
                <w:szCs w:val="22"/>
              </w:rPr>
            </w:pPr>
            <w:r>
              <w:rPr>
                <w:rFonts w:cs="Calibri"/>
                <w:color w:val="000000"/>
                <w:sz w:val="22"/>
                <w:szCs w:val="22"/>
              </w:rPr>
              <w:t>94</w:t>
            </w:r>
          </w:p>
        </w:tc>
        <w:tc>
          <w:tcPr>
            <w:tcW w:w="1701" w:type="dxa"/>
          </w:tcPr>
          <w:p w14:paraId="6013CBBF" w14:textId="57B00E74" w:rsidR="00F003C5" w:rsidRPr="006F2FFB" w:rsidRDefault="00F003C5" w:rsidP="00F003C5">
            <w:pPr>
              <w:jc w:val="right"/>
              <w:rPr>
                <w:sz w:val="22"/>
                <w:szCs w:val="22"/>
              </w:rPr>
            </w:pPr>
            <w:r>
              <w:rPr>
                <w:rFonts w:cs="Calibri"/>
                <w:color w:val="000000"/>
                <w:sz w:val="22"/>
                <w:szCs w:val="22"/>
              </w:rPr>
              <w:t>8</w:t>
            </w:r>
          </w:p>
        </w:tc>
        <w:tc>
          <w:tcPr>
            <w:tcW w:w="1701" w:type="dxa"/>
          </w:tcPr>
          <w:p w14:paraId="727C39CC" w14:textId="57EB01AA" w:rsidR="00F003C5" w:rsidRPr="006F2FFB" w:rsidRDefault="00F003C5" w:rsidP="00F003C5">
            <w:pPr>
              <w:jc w:val="right"/>
              <w:rPr>
                <w:sz w:val="22"/>
                <w:szCs w:val="22"/>
              </w:rPr>
            </w:pPr>
            <w:r>
              <w:rPr>
                <w:rFonts w:cs="Calibri"/>
                <w:color w:val="000000"/>
                <w:sz w:val="22"/>
                <w:szCs w:val="22"/>
              </w:rPr>
              <w:t>8.5%</w:t>
            </w:r>
          </w:p>
        </w:tc>
      </w:tr>
      <w:tr w:rsidR="005125D5" w:rsidRPr="00611BF3" w14:paraId="18DE8346" w14:textId="77777777" w:rsidTr="00031890">
        <w:tc>
          <w:tcPr>
            <w:tcW w:w="1843" w:type="dxa"/>
          </w:tcPr>
          <w:p w14:paraId="0FEC3432" w14:textId="77777777" w:rsidR="005125D5" w:rsidRPr="006F2FFB" w:rsidRDefault="005125D5" w:rsidP="005125D5">
            <w:pPr>
              <w:pStyle w:val="TableHead"/>
              <w:spacing w:after="240"/>
              <w:rPr>
                <w:sz w:val="22"/>
                <w:szCs w:val="22"/>
              </w:rPr>
            </w:pPr>
            <w:r w:rsidRPr="006F2FFB">
              <w:rPr>
                <w:sz w:val="22"/>
                <w:szCs w:val="22"/>
              </w:rPr>
              <w:t xml:space="preserve">Grand Total </w:t>
            </w:r>
          </w:p>
        </w:tc>
        <w:tc>
          <w:tcPr>
            <w:tcW w:w="1559" w:type="dxa"/>
          </w:tcPr>
          <w:p w14:paraId="739B18DC" w14:textId="1F84A582" w:rsidR="005125D5" w:rsidRPr="006F2FFB" w:rsidRDefault="005125D5" w:rsidP="005125D5">
            <w:pPr>
              <w:pStyle w:val="TableHead"/>
              <w:spacing w:after="240"/>
              <w:jc w:val="right"/>
              <w:rPr>
                <w:sz w:val="22"/>
                <w:szCs w:val="22"/>
              </w:rPr>
            </w:pPr>
            <w:r w:rsidRPr="006F2FFB">
              <w:rPr>
                <w:sz w:val="22"/>
                <w:szCs w:val="22"/>
              </w:rPr>
              <w:t>184</w:t>
            </w:r>
          </w:p>
        </w:tc>
        <w:tc>
          <w:tcPr>
            <w:tcW w:w="1418" w:type="dxa"/>
          </w:tcPr>
          <w:p w14:paraId="2015A0B1" w14:textId="0438B2DA" w:rsidR="005125D5" w:rsidRPr="006F2FFB" w:rsidRDefault="005125D5" w:rsidP="005125D5">
            <w:pPr>
              <w:pStyle w:val="TableHead"/>
              <w:spacing w:after="240"/>
              <w:jc w:val="right"/>
              <w:rPr>
                <w:sz w:val="22"/>
                <w:szCs w:val="22"/>
              </w:rPr>
            </w:pPr>
            <w:r w:rsidRPr="006F2FFB">
              <w:rPr>
                <w:sz w:val="22"/>
                <w:szCs w:val="22"/>
              </w:rPr>
              <w:t>17</w:t>
            </w:r>
          </w:p>
        </w:tc>
        <w:tc>
          <w:tcPr>
            <w:tcW w:w="1559" w:type="dxa"/>
          </w:tcPr>
          <w:p w14:paraId="78C26802" w14:textId="304CE29D" w:rsidR="005125D5" w:rsidRPr="006F2FFB" w:rsidRDefault="005125D5" w:rsidP="005125D5">
            <w:pPr>
              <w:pStyle w:val="TableHead"/>
              <w:spacing w:after="240"/>
              <w:jc w:val="right"/>
              <w:rPr>
                <w:sz w:val="22"/>
                <w:szCs w:val="22"/>
              </w:rPr>
            </w:pPr>
            <w:r w:rsidRPr="006F2FFB">
              <w:rPr>
                <w:sz w:val="22"/>
                <w:szCs w:val="22"/>
              </w:rPr>
              <w:t>9.2%</w:t>
            </w:r>
          </w:p>
        </w:tc>
        <w:tc>
          <w:tcPr>
            <w:tcW w:w="1559" w:type="dxa"/>
          </w:tcPr>
          <w:p w14:paraId="356DAD14" w14:textId="77777777" w:rsidR="00F003C5" w:rsidRDefault="00F003C5" w:rsidP="00F003C5">
            <w:pPr>
              <w:spacing w:after="0"/>
              <w:jc w:val="right"/>
              <w:rPr>
                <w:rFonts w:cs="Calibri"/>
                <w:b/>
                <w:bCs/>
                <w:color w:val="000000"/>
                <w:sz w:val="22"/>
                <w:szCs w:val="22"/>
                <w:lang w:eastAsia="en-IE"/>
              </w:rPr>
            </w:pPr>
            <w:r>
              <w:rPr>
                <w:rFonts w:cs="Calibri"/>
                <w:b/>
                <w:bCs/>
                <w:color w:val="000000"/>
                <w:sz w:val="22"/>
                <w:szCs w:val="22"/>
              </w:rPr>
              <w:t>179</w:t>
            </w:r>
          </w:p>
          <w:p w14:paraId="551D2064" w14:textId="654D22AC" w:rsidR="005125D5" w:rsidRPr="006F2FFB" w:rsidRDefault="005125D5" w:rsidP="005125D5">
            <w:pPr>
              <w:pStyle w:val="TableHead"/>
              <w:spacing w:after="240"/>
              <w:jc w:val="right"/>
              <w:rPr>
                <w:sz w:val="22"/>
                <w:szCs w:val="22"/>
              </w:rPr>
            </w:pPr>
          </w:p>
        </w:tc>
        <w:tc>
          <w:tcPr>
            <w:tcW w:w="1701" w:type="dxa"/>
          </w:tcPr>
          <w:p w14:paraId="3FDBC905" w14:textId="77777777" w:rsidR="00F003C5" w:rsidRDefault="00F003C5" w:rsidP="00F003C5">
            <w:pPr>
              <w:spacing w:after="0"/>
              <w:jc w:val="right"/>
              <w:rPr>
                <w:rFonts w:cs="Calibri"/>
                <w:b/>
                <w:bCs/>
                <w:color w:val="000000"/>
                <w:sz w:val="22"/>
                <w:szCs w:val="22"/>
                <w:lang w:eastAsia="en-IE"/>
              </w:rPr>
            </w:pPr>
            <w:r>
              <w:rPr>
                <w:rFonts w:cs="Calibri"/>
                <w:b/>
                <w:bCs/>
                <w:color w:val="000000"/>
                <w:sz w:val="22"/>
                <w:szCs w:val="22"/>
              </w:rPr>
              <w:t>16</w:t>
            </w:r>
          </w:p>
          <w:p w14:paraId="59708C58" w14:textId="31535769" w:rsidR="005125D5" w:rsidRPr="006F2FFB" w:rsidRDefault="005125D5" w:rsidP="005125D5">
            <w:pPr>
              <w:pStyle w:val="TableHead"/>
              <w:spacing w:after="240"/>
              <w:jc w:val="right"/>
              <w:rPr>
                <w:sz w:val="22"/>
                <w:szCs w:val="22"/>
              </w:rPr>
            </w:pPr>
          </w:p>
        </w:tc>
        <w:tc>
          <w:tcPr>
            <w:tcW w:w="1701" w:type="dxa"/>
          </w:tcPr>
          <w:p w14:paraId="2D8C2EF8" w14:textId="77777777" w:rsidR="00F003C5" w:rsidRDefault="00F003C5" w:rsidP="00F003C5">
            <w:pPr>
              <w:spacing w:after="0"/>
              <w:jc w:val="right"/>
              <w:rPr>
                <w:rFonts w:cs="Calibri"/>
                <w:b/>
                <w:bCs/>
                <w:color w:val="000000"/>
                <w:sz w:val="22"/>
                <w:szCs w:val="22"/>
                <w:lang w:eastAsia="en-IE"/>
              </w:rPr>
            </w:pPr>
            <w:r>
              <w:rPr>
                <w:rFonts w:cs="Calibri"/>
                <w:b/>
                <w:bCs/>
                <w:color w:val="000000"/>
                <w:sz w:val="22"/>
                <w:szCs w:val="22"/>
              </w:rPr>
              <w:t>8.9%</w:t>
            </w:r>
          </w:p>
          <w:p w14:paraId="4DC4FB03" w14:textId="1BC00A2E" w:rsidR="005125D5" w:rsidRPr="006F2FFB" w:rsidRDefault="005125D5" w:rsidP="005125D5">
            <w:pPr>
              <w:pStyle w:val="TableHead"/>
              <w:spacing w:after="240"/>
              <w:jc w:val="right"/>
              <w:rPr>
                <w:sz w:val="22"/>
                <w:szCs w:val="22"/>
              </w:rPr>
            </w:pPr>
          </w:p>
        </w:tc>
      </w:tr>
    </w:tbl>
    <w:p w14:paraId="727FF1FA" w14:textId="7FA7FD4D" w:rsidR="00E46650" w:rsidRDefault="00E46650" w:rsidP="00E46650"/>
    <w:p w14:paraId="6AAD7FB0" w14:textId="77777777" w:rsidR="00E46650" w:rsidRDefault="00E46650">
      <w:pPr>
        <w:spacing w:after="0"/>
      </w:pPr>
      <w:r>
        <w:br w:type="page"/>
      </w:r>
    </w:p>
    <w:p w14:paraId="5859C064" w14:textId="722BFEE9" w:rsidR="00C95275" w:rsidRPr="0016775B" w:rsidRDefault="00C95275" w:rsidP="001624B2">
      <w:pPr>
        <w:pStyle w:val="Heading2"/>
        <w:jc w:val="center"/>
        <w:rPr>
          <w:color w:val="000000" w:themeColor="text1"/>
        </w:rPr>
      </w:pPr>
      <w:bookmarkStart w:id="81" w:name="_Toc146113885"/>
      <w:r w:rsidRPr="0016775B">
        <w:rPr>
          <w:color w:val="000000" w:themeColor="text1"/>
        </w:rPr>
        <w:lastRenderedPageBreak/>
        <w:t xml:space="preserve">Department of the Environment, Climate </w:t>
      </w:r>
      <w:r w:rsidR="0012026A">
        <w:rPr>
          <w:color w:val="000000" w:themeColor="text1"/>
        </w:rPr>
        <w:t>&amp;</w:t>
      </w:r>
      <w:r w:rsidRPr="0016775B">
        <w:rPr>
          <w:color w:val="000000" w:themeColor="text1"/>
        </w:rPr>
        <w:t xml:space="preserve"> Communications</w:t>
      </w:r>
      <w:bookmarkEnd w:id="81"/>
    </w:p>
    <w:tbl>
      <w:tblPr>
        <w:tblStyle w:val="TableGrid"/>
        <w:tblpPr w:leftFromText="180" w:rightFromText="180" w:vertAnchor="text" w:horzAnchor="margin" w:tblpXSpec="center" w:tblpY="165"/>
        <w:tblW w:w="11346" w:type="dxa"/>
        <w:tblLayout w:type="fixed"/>
        <w:tblLook w:val="04A0" w:firstRow="1" w:lastRow="0" w:firstColumn="1" w:lastColumn="0" w:noHBand="0" w:noVBand="1"/>
        <w:tblCaption w:val="Department of the Environment, Climate and Communications "/>
      </w:tblPr>
      <w:tblGrid>
        <w:gridCol w:w="1990"/>
        <w:gridCol w:w="1559"/>
        <w:gridCol w:w="1418"/>
        <w:gridCol w:w="1559"/>
        <w:gridCol w:w="1559"/>
        <w:gridCol w:w="1701"/>
        <w:gridCol w:w="1560"/>
      </w:tblGrid>
      <w:tr w:rsidR="001D6F34" w:rsidRPr="0016775B" w14:paraId="54C35469" w14:textId="77777777" w:rsidTr="005B3D04">
        <w:trPr>
          <w:tblHeader/>
        </w:trPr>
        <w:tc>
          <w:tcPr>
            <w:tcW w:w="1990" w:type="dxa"/>
          </w:tcPr>
          <w:p w14:paraId="1EE7E205" w14:textId="77777777" w:rsidR="001D6F34" w:rsidRPr="0016775B" w:rsidRDefault="001D6F34" w:rsidP="001D6F34">
            <w:pPr>
              <w:pStyle w:val="TableHead"/>
              <w:rPr>
                <w:sz w:val="22"/>
                <w:szCs w:val="22"/>
              </w:rPr>
            </w:pPr>
            <w:r w:rsidRPr="0016775B">
              <w:rPr>
                <w:sz w:val="22"/>
                <w:szCs w:val="22"/>
              </w:rPr>
              <w:t>Public Body</w:t>
            </w:r>
          </w:p>
        </w:tc>
        <w:tc>
          <w:tcPr>
            <w:tcW w:w="1559" w:type="dxa"/>
          </w:tcPr>
          <w:p w14:paraId="5E8449CC" w14:textId="77777777" w:rsidR="008321E1" w:rsidRPr="0016775B" w:rsidRDefault="001D6F34" w:rsidP="001D6F34">
            <w:pPr>
              <w:pStyle w:val="TableHead"/>
              <w:rPr>
                <w:sz w:val="22"/>
                <w:szCs w:val="22"/>
              </w:rPr>
            </w:pPr>
            <w:r w:rsidRPr="0016775B">
              <w:rPr>
                <w:sz w:val="22"/>
                <w:szCs w:val="22"/>
              </w:rPr>
              <w:t xml:space="preserve">Total number </w:t>
            </w:r>
          </w:p>
          <w:p w14:paraId="40D6972F" w14:textId="52776360" w:rsidR="001D6F34" w:rsidRPr="0016775B" w:rsidRDefault="001D6F34" w:rsidP="001D6F34">
            <w:pPr>
              <w:pStyle w:val="TableHead"/>
              <w:rPr>
                <w:sz w:val="22"/>
                <w:szCs w:val="22"/>
              </w:rPr>
            </w:pPr>
            <w:r w:rsidRPr="0016775B">
              <w:rPr>
                <w:sz w:val="22"/>
                <w:szCs w:val="22"/>
              </w:rPr>
              <w:t>of employees  202</w:t>
            </w:r>
            <w:r w:rsidR="0016775B">
              <w:rPr>
                <w:sz w:val="22"/>
                <w:szCs w:val="22"/>
              </w:rPr>
              <w:t>1</w:t>
            </w:r>
          </w:p>
        </w:tc>
        <w:tc>
          <w:tcPr>
            <w:tcW w:w="1418" w:type="dxa"/>
          </w:tcPr>
          <w:p w14:paraId="0372B6DA" w14:textId="77777777" w:rsidR="001D6F34" w:rsidRPr="0016775B" w:rsidRDefault="001D6F34" w:rsidP="001D6F34">
            <w:pPr>
              <w:pStyle w:val="TableHead"/>
              <w:rPr>
                <w:sz w:val="22"/>
                <w:szCs w:val="22"/>
              </w:rPr>
            </w:pPr>
            <w:r w:rsidRPr="0016775B">
              <w:rPr>
                <w:sz w:val="22"/>
                <w:szCs w:val="22"/>
              </w:rPr>
              <w:t xml:space="preserve">Number of employees reporting a disability </w:t>
            </w:r>
          </w:p>
          <w:p w14:paraId="62DD7554" w14:textId="4104F6ED" w:rsidR="001D6F34" w:rsidRPr="0016775B" w:rsidRDefault="001D6F34" w:rsidP="001D6F34">
            <w:pPr>
              <w:pStyle w:val="TableHead"/>
              <w:rPr>
                <w:sz w:val="22"/>
                <w:szCs w:val="22"/>
              </w:rPr>
            </w:pPr>
            <w:r w:rsidRPr="0016775B">
              <w:rPr>
                <w:sz w:val="22"/>
                <w:szCs w:val="22"/>
              </w:rPr>
              <w:t>202</w:t>
            </w:r>
            <w:r w:rsidR="0016775B">
              <w:rPr>
                <w:sz w:val="22"/>
                <w:szCs w:val="22"/>
              </w:rPr>
              <w:t>1</w:t>
            </w:r>
          </w:p>
        </w:tc>
        <w:tc>
          <w:tcPr>
            <w:tcW w:w="1559" w:type="dxa"/>
          </w:tcPr>
          <w:p w14:paraId="64EAF0D4" w14:textId="77777777" w:rsidR="001D6F34" w:rsidRPr="0016775B" w:rsidRDefault="001D6F34" w:rsidP="001D6F34">
            <w:pPr>
              <w:pStyle w:val="TableHead"/>
              <w:rPr>
                <w:sz w:val="22"/>
                <w:szCs w:val="22"/>
              </w:rPr>
            </w:pPr>
            <w:r w:rsidRPr="0016775B">
              <w:rPr>
                <w:sz w:val="22"/>
                <w:szCs w:val="22"/>
              </w:rPr>
              <w:t>% of employees reporting a</w:t>
            </w:r>
          </w:p>
          <w:p w14:paraId="2425E2A3" w14:textId="6B10AC7A" w:rsidR="001D6F34" w:rsidRPr="0016775B" w:rsidRDefault="001D6F34" w:rsidP="001D6F34">
            <w:pPr>
              <w:pStyle w:val="TableHead"/>
              <w:rPr>
                <w:sz w:val="22"/>
                <w:szCs w:val="22"/>
              </w:rPr>
            </w:pPr>
            <w:r w:rsidRPr="0016775B">
              <w:rPr>
                <w:sz w:val="22"/>
                <w:szCs w:val="22"/>
              </w:rPr>
              <w:t>disability 202</w:t>
            </w:r>
            <w:r w:rsidR="0016775B">
              <w:rPr>
                <w:sz w:val="22"/>
                <w:szCs w:val="22"/>
              </w:rPr>
              <w:t>1</w:t>
            </w:r>
          </w:p>
        </w:tc>
        <w:tc>
          <w:tcPr>
            <w:tcW w:w="1559" w:type="dxa"/>
          </w:tcPr>
          <w:p w14:paraId="74E39590" w14:textId="77777777" w:rsidR="008321E1" w:rsidRPr="0016775B" w:rsidRDefault="001D6F34" w:rsidP="001D6F34">
            <w:pPr>
              <w:pStyle w:val="TableHead"/>
              <w:rPr>
                <w:sz w:val="22"/>
                <w:szCs w:val="22"/>
              </w:rPr>
            </w:pPr>
            <w:r w:rsidRPr="0016775B">
              <w:rPr>
                <w:sz w:val="22"/>
                <w:szCs w:val="22"/>
              </w:rPr>
              <w:t xml:space="preserve">Total number </w:t>
            </w:r>
          </w:p>
          <w:p w14:paraId="5C745716" w14:textId="4A9AB8F2" w:rsidR="001D6F34" w:rsidRPr="0016775B" w:rsidRDefault="001D6F34" w:rsidP="001D6F34">
            <w:pPr>
              <w:pStyle w:val="TableHead"/>
              <w:rPr>
                <w:sz w:val="22"/>
                <w:szCs w:val="22"/>
              </w:rPr>
            </w:pPr>
            <w:r w:rsidRPr="0016775B">
              <w:rPr>
                <w:sz w:val="22"/>
                <w:szCs w:val="22"/>
              </w:rPr>
              <w:t>of employees  202</w:t>
            </w:r>
            <w:r w:rsidR="0016775B">
              <w:rPr>
                <w:sz w:val="22"/>
                <w:szCs w:val="22"/>
              </w:rPr>
              <w:t>2</w:t>
            </w:r>
          </w:p>
        </w:tc>
        <w:tc>
          <w:tcPr>
            <w:tcW w:w="1701" w:type="dxa"/>
          </w:tcPr>
          <w:p w14:paraId="763DD8F5" w14:textId="464C78FF" w:rsidR="001D6F34" w:rsidRPr="0016775B" w:rsidRDefault="00A93CE9" w:rsidP="001D6F34">
            <w:pPr>
              <w:pStyle w:val="TableHead"/>
              <w:rPr>
                <w:sz w:val="22"/>
                <w:szCs w:val="22"/>
              </w:rPr>
            </w:pPr>
            <w:r w:rsidRPr="0016775B">
              <w:rPr>
                <w:sz w:val="22"/>
                <w:szCs w:val="22"/>
              </w:rPr>
              <w:t xml:space="preserve">Number </w:t>
            </w:r>
            <w:r w:rsidR="001D6F34" w:rsidRPr="0016775B">
              <w:rPr>
                <w:sz w:val="22"/>
                <w:szCs w:val="22"/>
              </w:rPr>
              <w:t xml:space="preserve">of employees reporting a disability </w:t>
            </w:r>
          </w:p>
          <w:p w14:paraId="3DB91369" w14:textId="5EA41C20" w:rsidR="001D6F34" w:rsidRPr="0016775B" w:rsidRDefault="001D6F34" w:rsidP="001D6F34">
            <w:pPr>
              <w:pStyle w:val="TableHead"/>
              <w:rPr>
                <w:sz w:val="22"/>
                <w:szCs w:val="22"/>
              </w:rPr>
            </w:pPr>
            <w:r w:rsidRPr="0016775B">
              <w:rPr>
                <w:sz w:val="22"/>
                <w:szCs w:val="22"/>
              </w:rPr>
              <w:t>202</w:t>
            </w:r>
            <w:r w:rsidR="0016775B">
              <w:rPr>
                <w:sz w:val="22"/>
                <w:szCs w:val="22"/>
              </w:rPr>
              <w:t>2</w:t>
            </w:r>
          </w:p>
        </w:tc>
        <w:tc>
          <w:tcPr>
            <w:tcW w:w="1560" w:type="dxa"/>
          </w:tcPr>
          <w:p w14:paraId="002A65E9" w14:textId="77777777" w:rsidR="001D6F34" w:rsidRPr="0016775B" w:rsidRDefault="001D6F34" w:rsidP="001D6F34">
            <w:pPr>
              <w:pStyle w:val="TableHead"/>
              <w:rPr>
                <w:sz w:val="22"/>
                <w:szCs w:val="22"/>
              </w:rPr>
            </w:pPr>
            <w:r w:rsidRPr="0016775B">
              <w:rPr>
                <w:sz w:val="22"/>
                <w:szCs w:val="22"/>
              </w:rPr>
              <w:t>% of employees reporting a</w:t>
            </w:r>
          </w:p>
          <w:p w14:paraId="7594490C" w14:textId="6BB0C6B5" w:rsidR="001D6F34" w:rsidRPr="0016775B" w:rsidRDefault="001D6F34" w:rsidP="001D6F34">
            <w:pPr>
              <w:pStyle w:val="TableHead"/>
              <w:rPr>
                <w:sz w:val="24"/>
              </w:rPr>
            </w:pPr>
            <w:r w:rsidRPr="0016775B">
              <w:rPr>
                <w:sz w:val="22"/>
                <w:szCs w:val="22"/>
              </w:rPr>
              <w:t>disability 202</w:t>
            </w:r>
            <w:r w:rsidR="0016775B">
              <w:rPr>
                <w:sz w:val="22"/>
                <w:szCs w:val="22"/>
              </w:rPr>
              <w:t>2</w:t>
            </w:r>
          </w:p>
        </w:tc>
      </w:tr>
      <w:tr w:rsidR="0016775B" w:rsidRPr="0016775B" w14:paraId="095E0A78" w14:textId="77777777" w:rsidTr="005B3D04">
        <w:trPr>
          <w:trHeight w:val="162"/>
        </w:trPr>
        <w:tc>
          <w:tcPr>
            <w:tcW w:w="1990" w:type="dxa"/>
            <w:vAlign w:val="bottom"/>
          </w:tcPr>
          <w:p w14:paraId="648A1C87" w14:textId="77777777" w:rsidR="0016775B" w:rsidRPr="0016775B" w:rsidRDefault="0016775B" w:rsidP="0016775B">
            <w:pPr>
              <w:rPr>
                <w:sz w:val="22"/>
                <w:szCs w:val="22"/>
              </w:rPr>
            </w:pPr>
            <w:bookmarkStart w:id="82" w:name="_Hlk145859134"/>
            <w:r w:rsidRPr="0016775B">
              <w:rPr>
                <w:rFonts w:cs="Calibri"/>
                <w:color w:val="000000"/>
                <w:sz w:val="22"/>
                <w:szCs w:val="22"/>
              </w:rPr>
              <w:t>An Post</w:t>
            </w:r>
          </w:p>
        </w:tc>
        <w:tc>
          <w:tcPr>
            <w:tcW w:w="1559" w:type="dxa"/>
          </w:tcPr>
          <w:p w14:paraId="217565D3" w14:textId="153FD2E5" w:rsidR="0016775B" w:rsidRPr="0016775B" w:rsidRDefault="0016775B" w:rsidP="0016775B">
            <w:pPr>
              <w:jc w:val="right"/>
              <w:rPr>
                <w:sz w:val="22"/>
                <w:szCs w:val="22"/>
              </w:rPr>
            </w:pPr>
            <w:r w:rsidRPr="0016775B">
              <w:rPr>
                <w:rFonts w:cs="Calibri"/>
                <w:color w:val="000000"/>
                <w:sz w:val="22"/>
                <w:szCs w:val="22"/>
              </w:rPr>
              <w:t>9,811</w:t>
            </w:r>
          </w:p>
        </w:tc>
        <w:tc>
          <w:tcPr>
            <w:tcW w:w="1418" w:type="dxa"/>
          </w:tcPr>
          <w:p w14:paraId="2FD01004" w14:textId="7473DFB3" w:rsidR="0016775B" w:rsidRPr="0016775B" w:rsidRDefault="0016775B" w:rsidP="0016775B">
            <w:pPr>
              <w:jc w:val="right"/>
              <w:rPr>
                <w:sz w:val="22"/>
                <w:szCs w:val="22"/>
              </w:rPr>
            </w:pPr>
            <w:r w:rsidRPr="0016775B">
              <w:rPr>
                <w:rFonts w:cs="Calibri"/>
                <w:color w:val="000000"/>
                <w:sz w:val="22"/>
                <w:szCs w:val="22"/>
              </w:rPr>
              <w:t>431</w:t>
            </w:r>
          </w:p>
        </w:tc>
        <w:tc>
          <w:tcPr>
            <w:tcW w:w="1559" w:type="dxa"/>
          </w:tcPr>
          <w:p w14:paraId="5C03446A" w14:textId="3BB07BE0" w:rsidR="0016775B" w:rsidRPr="0016775B" w:rsidRDefault="0016775B" w:rsidP="0016775B">
            <w:pPr>
              <w:jc w:val="right"/>
              <w:rPr>
                <w:sz w:val="22"/>
                <w:szCs w:val="22"/>
              </w:rPr>
            </w:pPr>
            <w:r w:rsidRPr="0016775B">
              <w:rPr>
                <w:rFonts w:cs="Calibri"/>
                <w:color w:val="000000"/>
                <w:sz w:val="22"/>
                <w:szCs w:val="22"/>
              </w:rPr>
              <w:t>4.4%</w:t>
            </w:r>
          </w:p>
        </w:tc>
        <w:tc>
          <w:tcPr>
            <w:tcW w:w="1559" w:type="dxa"/>
          </w:tcPr>
          <w:p w14:paraId="046483FB" w14:textId="1431E27C" w:rsidR="0016775B" w:rsidRPr="0016775B" w:rsidRDefault="0016775B" w:rsidP="0016775B">
            <w:pPr>
              <w:jc w:val="right"/>
              <w:rPr>
                <w:sz w:val="22"/>
                <w:szCs w:val="22"/>
              </w:rPr>
            </w:pPr>
            <w:r>
              <w:rPr>
                <w:rFonts w:cs="Calibri"/>
                <w:color w:val="000000"/>
                <w:sz w:val="22"/>
                <w:szCs w:val="22"/>
              </w:rPr>
              <w:t>9620</w:t>
            </w:r>
          </w:p>
        </w:tc>
        <w:tc>
          <w:tcPr>
            <w:tcW w:w="1701" w:type="dxa"/>
          </w:tcPr>
          <w:p w14:paraId="1F27F61F" w14:textId="27C834DA" w:rsidR="0016775B" w:rsidRPr="0016775B" w:rsidRDefault="0016775B" w:rsidP="0016775B">
            <w:pPr>
              <w:jc w:val="right"/>
              <w:rPr>
                <w:sz w:val="22"/>
                <w:szCs w:val="22"/>
              </w:rPr>
            </w:pPr>
            <w:r>
              <w:rPr>
                <w:rFonts w:cs="Calibri"/>
                <w:color w:val="000000"/>
                <w:sz w:val="22"/>
                <w:szCs w:val="22"/>
              </w:rPr>
              <w:t>406</w:t>
            </w:r>
          </w:p>
        </w:tc>
        <w:tc>
          <w:tcPr>
            <w:tcW w:w="1560" w:type="dxa"/>
          </w:tcPr>
          <w:p w14:paraId="5B19D71B" w14:textId="2F0FB908" w:rsidR="0016775B" w:rsidRPr="0016775B" w:rsidRDefault="0016775B" w:rsidP="0016775B">
            <w:pPr>
              <w:jc w:val="right"/>
              <w:rPr>
                <w:sz w:val="22"/>
                <w:szCs w:val="22"/>
              </w:rPr>
            </w:pPr>
            <w:r>
              <w:rPr>
                <w:rFonts w:cs="Calibri"/>
                <w:color w:val="000000"/>
                <w:sz w:val="22"/>
                <w:szCs w:val="22"/>
              </w:rPr>
              <w:t>4.2%</w:t>
            </w:r>
          </w:p>
        </w:tc>
      </w:tr>
      <w:bookmarkEnd w:id="82"/>
      <w:tr w:rsidR="0016775B" w:rsidRPr="0016775B" w14:paraId="62D3DEA2" w14:textId="77777777" w:rsidTr="005B3D04">
        <w:trPr>
          <w:trHeight w:val="162"/>
        </w:trPr>
        <w:tc>
          <w:tcPr>
            <w:tcW w:w="1990" w:type="dxa"/>
            <w:vAlign w:val="bottom"/>
          </w:tcPr>
          <w:p w14:paraId="77C44108" w14:textId="77777777" w:rsidR="0016775B" w:rsidRPr="0016775B" w:rsidRDefault="0016775B" w:rsidP="0016775B">
            <w:pPr>
              <w:rPr>
                <w:sz w:val="22"/>
                <w:szCs w:val="22"/>
              </w:rPr>
            </w:pPr>
            <w:r w:rsidRPr="0016775B">
              <w:rPr>
                <w:rFonts w:cs="Calibri"/>
                <w:color w:val="000000"/>
                <w:sz w:val="22"/>
                <w:szCs w:val="22"/>
              </w:rPr>
              <w:t>Bord na Móna</w:t>
            </w:r>
          </w:p>
        </w:tc>
        <w:tc>
          <w:tcPr>
            <w:tcW w:w="1559" w:type="dxa"/>
          </w:tcPr>
          <w:p w14:paraId="3EFFCCE3" w14:textId="4881CC33" w:rsidR="0016775B" w:rsidRPr="0016775B" w:rsidRDefault="0016775B" w:rsidP="0016775B">
            <w:pPr>
              <w:jc w:val="right"/>
              <w:rPr>
                <w:sz w:val="22"/>
                <w:szCs w:val="22"/>
              </w:rPr>
            </w:pPr>
            <w:r w:rsidRPr="0016775B">
              <w:rPr>
                <w:rFonts w:cs="Calibri"/>
                <w:color w:val="000000"/>
                <w:sz w:val="22"/>
                <w:szCs w:val="22"/>
              </w:rPr>
              <w:t>1,369</w:t>
            </w:r>
          </w:p>
        </w:tc>
        <w:tc>
          <w:tcPr>
            <w:tcW w:w="1418" w:type="dxa"/>
          </w:tcPr>
          <w:p w14:paraId="7663F967" w14:textId="73AE83D5" w:rsidR="0016775B" w:rsidRPr="0016775B" w:rsidRDefault="0016775B" w:rsidP="0016775B">
            <w:pPr>
              <w:jc w:val="right"/>
              <w:rPr>
                <w:sz w:val="22"/>
                <w:szCs w:val="22"/>
              </w:rPr>
            </w:pPr>
            <w:r w:rsidRPr="0016775B">
              <w:rPr>
                <w:rFonts w:cs="Calibri"/>
                <w:color w:val="000000"/>
                <w:sz w:val="22"/>
                <w:szCs w:val="22"/>
              </w:rPr>
              <w:t>42</w:t>
            </w:r>
          </w:p>
        </w:tc>
        <w:tc>
          <w:tcPr>
            <w:tcW w:w="1559" w:type="dxa"/>
          </w:tcPr>
          <w:p w14:paraId="7463D58F" w14:textId="0B7FF1FC" w:rsidR="0016775B" w:rsidRPr="0016775B" w:rsidRDefault="0016775B" w:rsidP="0016775B">
            <w:pPr>
              <w:jc w:val="right"/>
              <w:rPr>
                <w:sz w:val="22"/>
                <w:szCs w:val="22"/>
              </w:rPr>
            </w:pPr>
            <w:r w:rsidRPr="0016775B">
              <w:rPr>
                <w:rFonts w:cs="Calibri"/>
                <w:color w:val="000000"/>
                <w:sz w:val="22"/>
                <w:szCs w:val="22"/>
              </w:rPr>
              <w:t>3.1%</w:t>
            </w:r>
          </w:p>
        </w:tc>
        <w:tc>
          <w:tcPr>
            <w:tcW w:w="1559" w:type="dxa"/>
          </w:tcPr>
          <w:p w14:paraId="3504B394" w14:textId="58CA70E8" w:rsidR="0016775B" w:rsidRPr="0016775B" w:rsidRDefault="0016775B" w:rsidP="0016775B">
            <w:pPr>
              <w:jc w:val="right"/>
              <w:rPr>
                <w:sz w:val="22"/>
                <w:szCs w:val="22"/>
              </w:rPr>
            </w:pPr>
            <w:r>
              <w:rPr>
                <w:rFonts w:cs="Calibri"/>
                <w:color w:val="000000"/>
                <w:sz w:val="22"/>
                <w:szCs w:val="22"/>
              </w:rPr>
              <w:t>1257</w:t>
            </w:r>
          </w:p>
        </w:tc>
        <w:tc>
          <w:tcPr>
            <w:tcW w:w="1701" w:type="dxa"/>
          </w:tcPr>
          <w:p w14:paraId="106A0C83" w14:textId="46A05315" w:rsidR="0016775B" w:rsidRPr="0016775B" w:rsidRDefault="0016775B" w:rsidP="0016775B">
            <w:pPr>
              <w:jc w:val="right"/>
              <w:rPr>
                <w:sz w:val="22"/>
                <w:szCs w:val="22"/>
              </w:rPr>
            </w:pPr>
            <w:r>
              <w:rPr>
                <w:rFonts w:cs="Calibri"/>
                <w:color w:val="000000"/>
                <w:sz w:val="22"/>
                <w:szCs w:val="22"/>
              </w:rPr>
              <w:t>38</w:t>
            </w:r>
          </w:p>
        </w:tc>
        <w:tc>
          <w:tcPr>
            <w:tcW w:w="1560" w:type="dxa"/>
          </w:tcPr>
          <w:p w14:paraId="4F6EA59A" w14:textId="093A3B3B" w:rsidR="0016775B" w:rsidRPr="0016775B" w:rsidRDefault="0016775B" w:rsidP="0016775B">
            <w:pPr>
              <w:jc w:val="right"/>
              <w:rPr>
                <w:sz w:val="22"/>
                <w:szCs w:val="22"/>
              </w:rPr>
            </w:pPr>
            <w:r>
              <w:rPr>
                <w:rFonts w:cs="Calibri"/>
                <w:color w:val="000000"/>
                <w:sz w:val="22"/>
                <w:szCs w:val="22"/>
              </w:rPr>
              <w:t>3.0%</w:t>
            </w:r>
          </w:p>
        </w:tc>
      </w:tr>
      <w:tr w:rsidR="0016775B" w:rsidRPr="0016775B" w14:paraId="3BD0F039" w14:textId="77777777" w:rsidTr="005B3D04">
        <w:trPr>
          <w:trHeight w:val="162"/>
        </w:trPr>
        <w:tc>
          <w:tcPr>
            <w:tcW w:w="1990" w:type="dxa"/>
            <w:vAlign w:val="bottom"/>
          </w:tcPr>
          <w:p w14:paraId="7510D6F2" w14:textId="77777777" w:rsidR="0016775B" w:rsidRPr="0016775B" w:rsidRDefault="0016775B" w:rsidP="0016775B">
            <w:pPr>
              <w:rPr>
                <w:sz w:val="22"/>
                <w:szCs w:val="22"/>
              </w:rPr>
            </w:pPr>
            <w:r w:rsidRPr="0016775B">
              <w:rPr>
                <w:rFonts w:cs="Calibri"/>
                <w:color w:val="000000"/>
                <w:sz w:val="22"/>
                <w:szCs w:val="22"/>
              </w:rPr>
              <w:t>Commission for Communications Regulation (ComReg)</w:t>
            </w:r>
          </w:p>
        </w:tc>
        <w:tc>
          <w:tcPr>
            <w:tcW w:w="1559" w:type="dxa"/>
          </w:tcPr>
          <w:p w14:paraId="221309E9" w14:textId="46A1BE03" w:rsidR="0016775B" w:rsidRPr="0016775B" w:rsidRDefault="0016775B" w:rsidP="0016775B">
            <w:pPr>
              <w:jc w:val="right"/>
              <w:rPr>
                <w:sz w:val="22"/>
                <w:szCs w:val="22"/>
              </w:rPr>
            </w:pPr>
            <w:r w:rsidRPr="0016775B">
              <w:rPr>
                <w:rFonts w:cs="Calibri"/>
                <w:color w:val="000000"/>
                <w:sz w:val="22"/>
                <w:szCs w:val="22"/>
              </w:rPr>
              <w:t>154</w:t>
            </w:r>
          </w:p>
        </w:tc>
        <w:tc>
          <w:tcPr>
            <w:tcW w:w="1418" w:type="dxa"/>
          </w:tcPr>
          <w:p w14:paraId="4F6FFD32" w14:textId="0B68856B" w:rsidR="0016775B" w:rsidRPr="0016775B" w:rsidRDefault="0016775B" w:rsidP="0016775B">
            <w:pPr>
              <w:jc w:val="right"/>
              <w:rPr>
                <w:sz w:val="22"/>
                <w:szCs w:val="22"/>
              </w:rPr>
            </w:pPr>
            <w:r w:rsidRPr="0016775B">
              <w:rPr>
                <w:rFonts w:cs="Calibri"/>
                <w:color w:val="000000"/>
                <w:sz w:val="22"/>
                <w:szCs w:val="22"/>
              </w:rPr>
              <w:t>9</w:t>
            </w:r>
          </w:p>
        </w:tc>
        <w:tc>
          <w:tcPr>
            <w:tcW w:w="1559" w:type="dxa"/>
          </w:tcPr>
          <w:p w14:paraId="165140EE" w14:textId="119D0D8D" w:rsidR="0016775B" w:rsidRPr="0016775B" w:rsidRDefault="0016775B" w:rsidP="0016775B">
            <w:pPr>
              <w:jc w:val="right"/>
              <w:rPr>
                <w:sz w:val="22"/>
                <w:szCs w:val="22"/>
              </w:rPr>
            </w:pPr>
            <w:r w:rsidRPr="0016775B">
              <w:rPr>
                <w:rFonts w:cs="Calibri"/>
                <w:color w:val="000000"/>
                <w:sz w:val="22"/>
                <w:szCs w:val="22"/>
              </w:rPr>
              <w:t>5.8%</w:t>
            </w:r>
          </w:p>
        </w:tc>
        <w:tc>
          <w:tcPr>
            <w:tcW w:w="1559" w:type="dxa"/>
          </w:tcPr>
          <w:p w14:paraId="4634B52A" w14:textId="695A6785" w:rsidR="0016775B" w:rsidRPr="0016775B" w:rsidRDefault="0016775B" w:rsidP="0016775B">
            <w:pPr>
              <w:pStyle w:val="TableHead"/>
              <w:jc w:val="right"/>
              <w:rPr>
                <w:b w:val="0"/>
                <w:bCs/>
                <w:sz w:val="22"/>
                <w:szCs w:val="22"/>
              </w:rPr>
            </w:pPr>
            <w:r w:rsidRPr="0016775B">
              <w:rPr>
                <w:rFonts w:cs="Calibri"/>
                <w:b w:val="0"/>
                <w:bCs/>
                <w:color w:val="000000"/>
                <w:sz w:val="22"/>
                <w:szCs w:val="22"/>
              </w:rPr>
              <w:t>156</w:t>
            </w:r>
          </w:p>
        </w:tc>
        <w:tc>
          <w:tcPr>
            <w:tcW w:w="1701" w:type="dxa"/>
          </w:tcPr>
          <w:p w14:paraId="6F16E9C4" w14:textId="0FA015D6" w:rsidR="0016775B" w:rsidRPr="0016775B" w:rsidRDefault="0016775B" w:rsidP="0016775B">
            <w:pPr>
              <w:pStyle w:val="TableHead"/>
              <w:jc w:val="right"/>
              <w:rPr>
                <w:b w:val="0"/>
                <w:bCs/>
                <w:sz w:val="22"/>
                <w:szCs w:val="22"/>
              </w:rPr>
            </w:pPr>
            <w:r w:rsidRPr="0016775B">
              <w:rPr>
                <w:rFonts w:cs="Calibri"/>
                <w:b w:val="0"/>
                <w:bCs/>
                <w:color w:val="000000"/>
                <w:sz w:val="22"/>
                <w:szCs w:val="22"/>
              </w:rPr>
              <w:t>12</w:t>
            </w:r>
          </w:p>
        </w:tc>
        <w:tc>
          <w:tcPr>
            <w:tcW w:w="1560" w:type="dxa"/>
          </w:tcPr>
          <w:p w14:paraId="5D12F86A" w14:textId="19FEF950" w:rsidR="0016775B" w:rsidRPr="0016775B" w:rsidRDefault="0016775B" w:rsidP="0016775B">
            <w:pPr>
              <w:pStyle w:val="TableHead"/>
              <w:jc w:val="right"/>
              <w:rPr>
                <w:b w:val="0"/>
                <w:bCs/>
                <w:sz w:val="22"/>
                <w:szCs w:val="22"/>
              </w:rPr>
            </w:pPr>
            <w:r w:rsidRPr="0016775B">
              <w:rPr>
                <w:rFonts w:cs="Calibri"/>
                <w:b w:val="0"/>
                <w:bCs/>
                <w:color w:val="000000"/>
                <w:sz w:val="22"/>
                <w:szCs w:val="22"/>
              </w:rPr>
              <w:t>7.7%</w:t>
            </w:r>
          </w:p>
        </w:tc>
      </w:tr>
      <w:tr w:rsidR="0016775B" w:rsidRPr="0016775B" w14:paraId="407A5531" w14:textId="77777777" w:rsidTr="005B3D04">
        <w:trPr>
          <w:trHeight w:val="162"/>
        </w:trPr>
        <w:tc>
          <w:tcPr>
            <w:tcW w:w="1990" w:type="dxa"/>
            <w:vAlign w:val="bottom"/>
          </w:tcPr>
          <w:p w14:paraId="599C7BE5" w14:textId="77777777" w:rsidR="0016775B" w:rsidRPr="0016775B" w:rsidRDefault="0016775B" w:rsidP="0016775B">
            <w:pPr>
              <w:rPr>
                <w:sz w:val="22"/>
                <w:szCs w:val="22"/>
              </w:rPr>
            </w:pPr>
            <w:r w:rsidRPr="0016775B">
              <w:rPr>
                <w:rFonts w:cs="Calibri"/>
                <w:color w:val="000000"/>
                <w:sz w:val="22"/>
                <w:szCs w:val="22"/>
              </w:rPr>
              <w:t>Commission for Regulation of Utilities (CRU)</w:t>
            </w:r>
          </w:p>
        </w:tc>
        <w:tc>
          <w:tcPr>
            <w:tcW w:w="1559" w:type="dxa"/>
          </w:tcPr>
          <w:p w14:paraId="6349DB14" w14:textId="782AA2AB" w:rsidR="0016775B" w:rsidRPr="0016775B" w:rsidRDefault="0016775B" w:rsidP="0016775B">
            <w:pPr>
              <w:jc w:val="right"/>
              <w:rPr>
                <w:sz w:val="22"/>
                <w:szCs w:val="22"/>
              </w:rPr>
            </w:pPr>
            <w:r w:rsidRPr="0016775B">
              <w:rPr>
                <w:rFonts w:cs="Calibri"/>
                <w:color w:val="000000"/>
                <w:sz w:val="22"/>
                <w:szCs w:val="22"/>
              </w:rPr>
              <w:t>111</w:t>
            </w:r>
          </w:p>
        </w:tc>
        <w:tc>
          <w:tcPr>
            <w:tcW w:w="1418" w:type="dxa"/>
          </w:tcPr>
          <w:p w14:paraId="236674C5" w14:textId="624B529F" w:rsidR="0016775B" w:rsidRPr="0016775B" w:rsidRDefault="0016775B" w:rsidP="0016775B">
            <w:pPr>
              <w:jc w:val="right"/>
              <w:rPr>
                <w:sz w:val="22"/>
                <w:szCs w:val="22"/>
              </w:rPr>
            </w:pPr>
            <w:r w:rsidRPr="0016775B">
              <w:rPr>
                <w:rFonts w:cs="Calibri"/>
                <w:color w:val="000000"/>
                <w:sz w:val="22"/>
                <w:szCs w:val="22"/>
              </w:rPr>
              <w:t>9</w:t>
            </w:r>
          </w:p>
        </w:tc>
        <w:tc>
          <w:tcPr>
            <w:tcW w:w="1559" w:type="dxa"/>
          </w:tcPr>
          <w:p w14:paraId="2C9A6FA0" w14:textId="647B0AF2" w:rsidR="0016775B" w:rsidRPr="0016775B" w:rsidRDefault="0016775B" w:rsidP="0016775B">
            <w:pPr>
              <w:jc w:val="right"/>
              <w:rPr>
                <w:sz w:val="22"/>
                <w:szCs w:val="22"/>
              </w:rPr>
            </w:pPr>
            <w:r w:rsidRPr="0016775B">
              <w:rPr>
                <w:rFonts w:cs="Calibri"/>
                <w:color w:val="000000"/>
                <w:sz w:val="22"/>
                <w:szCs w:val="22"/>
              </w:rPr>
              <w:t>8.1%</w:t>
            </w:r>
          </w:p>
        </w:tc>
        <w:tc>
          <w:tcPr>
            <w:tcW w:w="1559" w:type="dxa"/>
          </w:tcPr>
          <w:p w14:paraId="3BB92099" w14:textId="4C424117" w:rsidR="0016775B" w:rsidRPr="0016775B" w:rsidRDefault="0016775B" w:rsidP="0016775B">
            <w:pPr>
              <w:jc w:val="right"/>
              <w:rPr>
                <w:sz w:val="22"/>
                <w:szCs w:val="22"/>
              </w:rPr>
            </w:pPr>
            <w:r>
              <w:rPr>
                <w:rFonts w:cs="Calibri"/>
                <w:color w:val="000000"/>
                <w:sz w:val="22"/>
                <w:szCs w:val="22"/>
              </w:rPr>
              <w:t>119</w:t>
            </w:r>
          </w:p>
        </w:tc>
        <w:tc>
          <w:tcPr>
            <w:tcW w:w="1701" w:type="dxa"/>
          </w:tcPr>
          <w:p w14:paraId="48244E65" w14:textId="0B7277FB" w:rsidR="0016775B" w:rsidRPr="0016775B" w:rsidRDefault="0016775B" w:rsidP="0016775B">
            <w:pPr>
              <w:jc w:val="right"/>
              <w:rPr>
                <w:sz w:val="22"/>
                <w:szCs w:val="22"/>
              </w:rPr>
            </w:pPr>
            <w:r>
              <w:rPr>
                <w:rFonts w:cs="Calibri"/>
                <w:color w:val="000000"/>
                <w:sz w:val="22"/>
                <w:szCs w:val="22"/>
              </w:rPr>
              <w:t>11</w:t>
            </w:r>
          </w:p>
        </w:tc>
        <w:tc>
          <w:tcPr>
            <w:tcW w:w="1560" w:type="dxa"/>
          </w:tcPr>
          <w:p w14:paraId="33E0571A" w14:textId="65AF3259" w:rsidR="0016775B" w:rsidRPr="0016775B" w:rsidRDefault="0016775B" w:rsidP="0016775B">
            <w:pPr>
              <w:jc w:val="right"/>
              <w:rPr>
                <w:sz w:val="22"/>
                <w:szCs w:val="22"/>
              </w:rPr>
            </w:pPr>
            <w:r>
              <w:rPr>
                <w:rFonts w:cs="Calibri"/>
                <w:color w:val="000000"/>
                <w:sz w:val="22"/>
                <w:szCs w:val="22"/>
              </w:rPr>
              <w:t>9.2%</w:t>
            </w:r>
          </w:p>
        </w:tc>
      </w:tr>
      <w:tr w:rsidR="0016775B" w:rsidRPr="0016775B" w14:paraId="7A985631" w14:textId="77777777" w:rsidTr="005B3D04">
        <w:trPr>
          <w:trHeight w:val="162"/>
        </w:trPr>
        <w:tc>
          <w:tcPr>
            <w:tcW w:w="1990" w:type="dxa"/>
            <w:vAlign w:val="bottom"/>
          </w:tcPr>
          <w:p w14:paraId="3022FCFD" w14:textId="77777777" w:rsidR="0016775B" w:rsidRPr="0016775B" w:rsidRDefault="0016775B" w:rsidP="0016775B">
            <w:pPr>
              <w:rPr>
                <w:sz w:val="22"/>
                <w:szCs w:val="22"/>
              </w:rPr>
            </w:pPr>
            <w:r w:rsidRPr="0016775B">
              <w:rPr>
                <w:rFonts w:cs="Calibri"/>
                <w:color w:val="000000"/>
                <w:sz w:val="22"/>
                <w:szCs w:val="22"/>
              </w:rPr>
              <w:t>EirGrid Plc</w:t>
            </w:r>
          </w:p>
        </w:tc>
        <w:tc>
          <w:tcPr>
            <w:tcW w:w="1559" w:type="dxa"/>
          </w:tcPr>
          <w:p w14:paraId="495034A0" w14:textId="79A7C5A0" w:rsidR="0016775B" w:rsidRPr="0016775B" w:rsidRDefault="0016775B" w:rsidP="0016775B">
            <w:pPr>
              <w:jc w:val="right"/>
              <w:rPr>
                <w:sz w:val="22"/>
                <w:szCs w:val="22"/>
              </w:rPr>
            </w:pPr>
            <w:r w:rsidRPr="0016775B">
              <w:rPr>
                <w:rFonts w:cs="Calibri"/>
                <w:color w:val="000000"/>
                <w:sz w:val="22"/>
                <w:szCs w:val="22"/>
              </w:rPr>
              <w:t>480</w:t>
            </w:r>
          </w:p>
        </w:tc>
        <w:tc>
          <w:tcPr>
            <w:tcW w:w="1418" w:type="dxa"/>
          </w:tcPr>
          <w:p w14:paraId="24FFB93D" w14:textId="4D878D06" w:rsidR="0016775B" w:rsidRPr="0016775B" w:rsidRDefault="0016775B" w:rsidP="0016775B">
            <w:pPr>
              <w:jc w:val="right"/>
              <w:rPr>
                <w:sz w:val="22"/>
                <w:szCs w:val="22"/>
              </w:rPr>
            </w:pPr>
            <w:r w:rsidRPr="0016775B">
              <w:rPr>
                <w:rFonts w:cs="Calibri"/>
                <w:color w:val="000000"/>
                <w:sz w:val="22"/>
                <w:szCs w:val="22"/>
              </w:rPr>
              <w:t>74</w:t>
            </w:r>
          </w:p>
        </w:tc>
        <w:tc>
          <w:tcPr>
            <w:tcW w:w="1559" w:type="dxa"/>
          </w:tcPr>
          <w:p w14:paraId="01722E35" w14:textId="222982ED" w:rsidR="0016775B" w:rsidRPr="0016775B" w:rsidRDefault="0016775B" w:rsidP="0016775B">
            <w:pPr>
              <w:jc w:val="right"/>
              <w:rPr>
                <w:sz w:val="22"/>
                <w:szCs w:val="22"/>
              </w:rPr>
            </w:pPr>
            <w:r w:rsidRPr="0016775B">
              <w:rPr>
                <w:rFonts w:cs="Calibri"/>
                <w:color w:val="000000"/>
                <w:sz w:val="22"/>
                <w:szCs w:val="22"/>
              </w:rPr>
              <w:t>15.4%</w:t>
            </w:r>
          </w:p>
        </w:tc>
        <w:tc>
          <w:tcPr>
            <w:tcW w:w="1559" w:type="dxa"/>
          </w:tcPr>
          <w:p w14:paraId="146360F4" w14:textId="24C7FF27" w:rsidR="0016775B" w:rsidRPr="0016775B" w:rsidRDefault="0016775B" w:rsidP="0016775B">
            <w:pPr>
              <w:jc w:val="right"/>
              <w:rPr>
                <w:sz w:val="22"/>
                <w:szCs w:val="22"/>
              </w:rPr>
            </w:pPr>
            <w:r>
              <w:rPr>
                <w:rFonts w:cs="Calibri"/>
                <w:color w:val="000000"/>
                <w:sz w:val="22"/>
                <w:szCs w:val="22"/>
              </w:rPr>
              <w:t>491</w:t>
            </w:r>
          </w:p>
        </w:tc>
        <w:tc>
          <w:tcPr>
            <w:tcW w:w="1701" w:type="dxa"/>
          </w:tcPr>
          <w:p w14:paraId="438B1EDF" w14:textId="4171855E" w:rsidR="0016775B" w:rsidRPr="0016775B" w:rsidRDefault="0016775B" w:rsidP="0016775B">
            <w:pPr>
              <w:jc w:val="right"/>
              <w:rPr>
                <w:sz w:val="22"/>
                <w:szCs w:val="22"/>
              </w:rPr>
            </w:pPr>
            <w:r>
              <w:rPr>
                <w:rFonts w:cs="Calibri"/>
                <w:color w:val="000000"/>
                <w:sz w:val="22"/>
                <w:szCs w:val="22"/>
              </w:rPr>
              <w:t>37</w:t>
            </w:r>
          </w:p>
        </w:tc>
        <w:tc>
          <w:tcPr>
            <w:tcW w:w="1560" w:type="dxa"/>
          </w:tcPr>
          <w:p w14:paraId="4B2C3920" w14:textId="0D2B7AB1" w:rsidR="0016775B" w:rsidRPr="0016775B" w:rsidRDefault="0016775B" w:rsidP="0016775B">
            <w:pPr>
              <w:jc w:val="right"/>
              <w:rPr>
                <w:sz w:val="22"/>
                <w:szCs w:val="22"/>
              </w:rPr>
            </w:pPr>
            <w:r>
              <w:rPr>
                <w:rFonts w:cs="Calibri"/>
                <w:color w:val="000000"/>
                <w:sz w:val="22"/>
                <w:szCs w:val="22"/>
              </w:rPr>
              <w:t>7.5%</w:t>
            </w:r>
          </w:p>
        </w:tc>
      </w:tr>
      <w:tr w:rsidR="0016775B" w:rsidRPr="0016775B" w14:paraId="7EF4A6F0" w14:textId="77777777" w:rsidTr="005B3D04">
        <w:trPr>
          <w:trHeight w:val="162"/>
        </w:trPr>
        <w:tc>
          <w:tcPr>
            <w:tcW w:w="1990" w:type="dxa"/>
            <w:vAlign w:val="bottom"/>
          </w:tcPr>
          <w:p w14:paraId="412F8046" w14:textId="77777777" w:rsidR="0016775B" w:rsidRPr="0016775B" w:rsidRDefault="0016775B" w:rsidP="0016775B">
            <w:pPr>
              <w:rPr>
                <w:sz w:val="22"/>
                <w:szCs w:val="22"/>
              </w:rPr>
            </w:pPr>
            <w:r w:rsidRPr="0016775B">
              <w:rPr>
                <w:rFonts w:cs="Calibri"/>
                <w:color w:val="000000"/>
                <w:sz w:val="22"/>
                <w:szCs w:val="22"/>
              </w:rPr>
              <w:t>Electricity Supply Board (ESB)</w:t>
            </w:r>
          </w:p>
        </w:tc>
        <w:tc>
          <w:tcPr>
            <w:tcW w:w="1559" w:type="dxa"/>
          </w:tcPr>
          <w:p w14:paraId="5658DB9D" w14:textId="1BF42876" w:rsidR="0016775B" w:rsidRPr="0016775B" w:rsidRDefault="0016775B" w:rsidP="0016775B">
            <w:pPr>
              <w:jc w:val="right"/>
              <w:rPr>
                <w:sz w:val="22"/>
                <w:szCs w:val="22"/>
              </w:rPr>
            </w:pPr>
            <w:r w:rsidRPr="0016775B">
              <w:rPr>
                <w:rFonts w:cs="Calibri"/>
                <w:color w:val="000000"/>
                <w:sz w:val="22"/>
                <w:szCs w:val="22"/>
              </w:rPr>
              <w:t>5,919</w:t>
            </w:r>
          </w:p>
        </w:tc>
        <w:tc>
          <w:tcPr>
            <w:tcW w:w="1418" w:type="dxa"/>
          </w:tcPr>
          <w:p w14:paraId="29EDFC3D" w14:textId="062709E9" w:rsidR="0016775B" w:rsidRPr="0016775B" w:rsidRDefault="0016775B" w:rsidP="0016775B">
            <w:pPr>
              <w:jc w:val="right"/>
              <w:rPr>
                <w:sz w:val="22"/>
                <w:szCs w:val="22"/>
              </w:rPr>
            </w:pPr>
            <w:r w:rsidRPr="0016775B">
              <w:rPr>
                <w:rFonts w:cs="Calibri"/>
                <w:color w:val="000000"/>
                <w:sz w:val="22"/>
                <w:szCs w:val="22"/>
              </w:rPr>
              <w:t>226</w:t>
            </w:r>
          </w:p>
        </w:tc>
        <w:tc>
          <w:tcPr>
            <w:tcW w:w="1559" w:type="dxa"/>
          </w:tcPr>
          <w:p w14:paraId="29F280B6" w14:textId="67E0F32A" w:rsidR="0016775B" w:rsidRPr="0016775B" w:rsidRDefault="0016775B" w:rsidP="0016775B">
            <w:pPr>
              <w:jc w:val="right"/>
              <w:rPr>
                <w:sz w:val="22"/>
                <w:szCs w:val="22"/>
              </w:rPr>
            </w:pPr>
            <w:r w:rsidRPr="0016775B">
              <w:rPr>
                <w:rFonts w:cs="Calibri"/>
                <w:color w:val="000000"/>
                <w:sz w:val="22"/>
                <w:szCs w:val="22"/>
              </w:rPr>
              <w:t>3.8%</w:t>
            </w:r>
          </w:p>
        </w:tc>
        <w:tc>
          <w:tcPr>
            <w:tcW w:w="1559" w:type="dxa"/>
          </w:tcPr>
          <w:p w14:paraId="574083B5" w14:textId="27942EF2" w:rsidR="0016775B" w:rsidRPr="0016775B" w:rsidRDefault="0016775B" w:rsidP="0016775B">
            <w:pPr>
              <w:jc w:val="right"/>
              <w:rPr>
                <w:sz w:val="22"/>
                <w:szCs w:val="22"/>
              </w:rPr>
            </w:pPr>
            <w:r>
              <w:rPr>
                <w:rFonts w:cs="Calibri"/>
                <w:color w:val="000000"/>
                <w:sz w:val="22"/>
                <w:szCs w:val="22"/>
              </w:rPr>
              <w:t>6039</w:t>
            </w:r>
          </w:p>
        </w:tc>
        <w:tc>
          <w:tcPr>
            <w:tcW w:w="1701" w:type="dxa"/>
          </w:tcPr>
          <w:p w14:paraId="61099C6E" w14:textId="3B162EEE" w:rsidR="0016775B" w:rsidRPr="0016775B" w:rsidRDefault="0016775B" w:rsidP="0016775B">
            <w:pPr>
              <w:jc w:val="right"/>
              <w:rPr>
                <w:sz w:val="22"/>
                <w:szCs w:val="22"/>
              </w:rPr>
            </w:pPr>
            <w:r>
              <w:rPr>
                <w:rFonts w:cs="Calibri"/>
                <w:color w:val="000000"/>
                <w:sz w:val="22"/>
                <w:szCs w:val="22"/>
              </w:rPr>
              <w:t>205</w:t>
            </w:r>
          </w:p>
        </w:tc>
        <w:tc>
          <w:tcPr>
            <w:tcW w:w="1560" w:type="dxa"/>
          </w:tcPr>
          <w:p w14:paraId="48C31475" w14:textId="580EA387" w:rsidR="0016775B" w:rsidRPr="0016775B" w:rsidRDefault="0016775B" w:rsidP="0016775B">
            <w:pPr>
              <w:jc w:val="right"/>
              <w:rPr>
                <w:sz w:val="22"/>
                <w:szCs w:val="22"/>
              </w:rPr>
            </w:pPr>
            <w:r>
              <w:rPr>
                <w:rFonts w:cs="Calibri"/>
                <w:color w:val="000000"/>
                <w:sz w:val="22"/>
                <w:szCs w:val="22"/>
              </w:rPr>
              <w:t>3.4%</w:t>
            </w:r>
          </w:p>
        </w:tc>
      </w:tr>
      <w:tr w:rsidR="0016775B" w:rsidRPr="0016775B" w14:paraId="67EA5075" w14:textId="77777777" w:rsidTr="005B3D04">
        <w:trPr>
          <w:trHeight w:val="162"/>
        </w:trPr>
        <w:tc>
          <w:tcPr>
            <w:tcW w:w="1990" w:type="dxa"/>
            <w:vAlign w:val="bottom"/>
          </w:tcPr>
          <w:p w14:paraId="0AB54E9C" w14:textId="77777777" w:rsidR="0016775B" w:rsidRPr="0016775B" w:rsidRDefault="0016775B" w:rsidP="0016775B">
            <w:pPr>
              <w:rPr>
                <w:sz w:val="22"/>
                <w:szCs w:val="22"/>
              </w:rPr>
            </w:pPr>
            <w:r w:rsidRPr="0016775B">
              <w:rPr>
                <w:rFonts w:cs="Calibri"/>
                <w:color w:val="000000"/>
                <w:sz w:val="22"/>
                <w:szCs w:val="22"/>
              </w:rPr>
              <w:t>Environmental Protection Agency</w:t>
            </w:r>
          </w:p>
        </w:tc>
        <w:tc>
          <w:tcPr>
            <w:tcW w:w="1559" w:type="dxa"/>
          </w:tcPr>
          <w:p w14:paraId="68956F3E" w14:textId="3BAF1871" w:rsidR="0016775B" w:rsidRPr="0016775B" w:rsidRDefault="0016775B" w:rsidP="0016775B">
            <w:pPr>
              <w:jc w:val="right"/>
              <w:rPr>
                <w:sz w:val="22"/>
                <w:szCs w:val="22"/>
              </w:rPr>
            </w:pPr>
            <w:r w:rsidRPr="0016775B">
              <w:rPr>
                <w:rFonts w:cs="Calibri"/>
                <w:color w:val="000000"/>
                <w:sz w:val="22"/>
                <w:szCs w:val="22"/>
              </w:rPr>
              <w:t>448</w:t>
            </w:r>
          </w:p>
        </w:tc>
        <w:tc>
          <w:tcPr>
            <w:tcW w:w="1418" w:type="dxa"/>
          </w:tcPr>
          <w:p w14:paraId="47D97CAF" w14:textId="68898C04" w:rsidR="0016775B" w:rsidRPr="0016775B" w:rsidRDefault="0016775B" w:rsidP="0016775B">
            <w:pPr>
              <w:jc w:val="right"/>
              <w:rPr>
                <w:sz w:val="22"/>
                <w:szCs w:val="22"/>
              </w:rPr>
            </w:pPr>
            <w:r w:rsidRPr="0016775B">
              <w:rPr>
                <w:rFonts w:cs="Calibri"/>
                <w:color w:val="000000"/>
                <w:sz w:val="22"/>
                <w:szCs w:val="22"/>
              </w:rPr>
              <w:t>26</w:t>
            </w:r>
          </w:p>
        </w:tc>
        <w:tc>
          <w:tcPr>
            <w:tcW w:w="1559" w:type="dxa"/>
          </w:tcPr>
          <w:p w14:paraId="7D911345" w14:textId="077547BA" w:rsidR="0016775B" w:rsidRPr="0016775B" w:rsidRDefault="0016775B" w:rsidP="0016775B">
            <w:pPr>
              <w:jc w:val="right"/>
              <w:rPr>
                <w:sz w:val="22"/>
                <w:szCs w:val="22"/>
              </w:rPr>
            </w:pPr>
            <w:r w:rsidRPr="0016775B">
              <w:rPr>
                <w:rFonts w:cs="Calibri"/>
                <w:color w:val="000000"/>
                <w:sz w:val="22"/>
                <w:szCs w:val="22"/>
              </w:rPr>
              <w:t>5.8%</w:t>
            </w:r>
          </w:p>
        </w:tc>
        <w:tc>
          <w:tcPr>
            <w:tcW w:w="1559" w:type="dxa"/>
          </w:tcPr>
          <w:p w14:paraId="419D4C21" w14:textId="7AD9C118" w:rsidR="0016775B" w:rsidRPr="0016775B" w:rsidRDefault="0016775B" w:rsidP="0016775B">
            <w:pPr>
              <w:jc w:val="right"/>
              <w:rPr>
                <w:sz w:val="22"/>
                <w:szCs w:val="22"/>
              </w:rPr>
            </w:pPr>
            <w:r>
              <w:rPr>
                <w:rFonts w:cs="Calibri"/>
                <w:color w:val="000000"/>
                <w:sz w:val="22"/>
                <w:szCs w:val="22"/>
              </w:rPr>
              <w:t>452</w:t>
            </w:r>
          </w:p>
        </w:tc>
        <w:tc>
          <w:tcPr>
            <w:tcW w:w="1701" w:type="dxa"/>
          </w:tcPr>
          <w:p w14:paraId="4A7E76D0" w14:textId="5D133AC0" w:rsidR="0016775B" w:rsidRPr="0016775B" w:rsidRDefault="0016775B" w:rsidP="0016775B">
            <w:pPr>
              <w:jc w:val="right"/>
              <w:rPr>
                <w:sz w:val="22"/>
                <w:szCs w:val="22"/>
              </w:rPr>
            </w:pPr>
            <w:r>
              <w:rPr>
                <w:rFonts w:cs="Calibri"/>
                <w:color w:val="000000"/>
                <w:sz w:val="22"/>
                <w:szCs w:val="22"/>
              </w:rPr>
              <w:t>33</w:t>
            </w:r>
          </w:p>
        </w:tc>
        <w:tc>
          <w:tcPr>
            <w:tcW w:w="1560" w:type="dxa"/>
          </w:tcPr>
          <w:p w14:paraId="70A0E7D2" w14:textId="44A459F8" w:rsidR="0016775B" w:rsidRPr="0016775B" w:rsidRDefault="0016775B" w:rsidP="0016775B">
            <w:pPr>
              <w:jc w:val="right"/>
              <w:rPr>
                <w:sz w:val="22"/>
                <w:szCs w:val="22"/>
              </w:rPr>
            </w:pPr>
            <w:r>
              <w:rPr>
                <w:rFonts w:cs="Calibri"/>
                <w:color w:val="000000"/>
                <w:sz w:val="22"/>
                <w:szCs w:val="22"/>
              </w:rPr>
              <w:t>7.3%</w:t>
            </w:r>
          </w:p>
        </w:tc>
      </w:tr>
      <w:tr w:rsidR="0016775B" w:rsidRPr="0016775B" w14:paraId="04175E71" w14:textId="77777777" w:rsidTr="005B3D04">
        <w:trPr>
          <w:trHeight w:val="162"/>
        </w:trPr>
        <w:tc>
          <w:tcPr>
            <w:tcW w:w="1990" w:type="dxa"/>
            <w:vAlign w:val="bottom"/>
          </w:tcPr>
          <w:p w14:paraId="231D8B5F" w14:textId="77777777" w:rsidR="0016775B" w:rsidRPr="0016775B" w:rsidRDefault="0016775B" w:rsidP="0016775B">
            <w:pPr>
              <w:rPr>
                <w:sz w:val="22"/>
                <w:szCs w:val="22"/>
              </w:rPr>
            </w:pPr>
            <w:r w:rsidRPr="0016775B">
              <w:rPr>
                <w:rFonts w:cs="Calibri"/>
                <w:color w:val="000000"/>
                <w:sz w:val="22"/>
                <w:szCs w:val="22"/>
              </w:rPr>
              <w:t>Inland Fisheries Ireland</w:t>
            </w:r>
          </w:p>
        </w:tc>
        <w:tc>
          <w:tcPr>
            <w:tcW w:w="1559" w:type="dxa"/>
          </w:tcPr>
          <w:p w14:paraId="3F788072" w14:textId="66185B4F" w:rsidR="0016775B" w:rsidRPr="0016775B" w:rsidRDefault="0016775B" w:rsidP="0016775B">
            <w:pPr>
              <w:jc w:val="right"/>
              <w:rPr>
                <w:sz w:val="22"/>
                <w:szCs w:val="22"/>
              </w:rPr>
            </w:pPr>
            <w:r w:rsidRPr="0016775B">
              <w:rPr>
                <w:rFonts w:cs="Calibri"/>
                <w:color w:val="000000"/>
                <w:sz w:val="22"/>
                <w:szCs w:val="22"/>
              </w:rPr>
              <w:t>326</w:t>
            </w:r>
          </w:p>
        </w:tc>
        <w:tc>
          <w:tcPr>
            <w:tcW w:w="1418" w:type="dxa"/>
          </w:tcPr>
          <w:p w14:paraId="0CE47374" w14:textId="28650D57" w:rsidR="0016775B" w:rsidRPr="0016775B" w:rsidRDefault="0016775B" w:rsidP="0016775B">
            <w:pPr>
              <w:jc w:val="right"/>
              <w:rPr>
                <w:sz w:val="22"/>
                <w:szCs w:val="22"/>
              </w:rPr>
            </w:pPr>
            <w:r w:rsidRPr="0016775B">
              <w:rPr>
                <w:rFonts w:cs="Calibri"/>
                <w:color w:val="000000"/>
                <w:sz w:val="22"/>
                <w:szCs w:val="22"/>
              </w:rPr>
              <w:t>14</w:t>
            </w:r>
          </w:p>
        </w:tc>
        <w:tc>
          <w:tcPr>
            <w:tcW w:w="1559" w:type="dxa"/>
          </w:tcPr>
          <w:p w14:paraId="332DDB0B" w14:textId="4B4DCAF4" w:rsidR="0016775B" w:rsidRPr="0016775B" w:rsidRDefault="0016775B" w:rsidP="0016775B">
            <w:pPr>
              <w:jc w:val="right"/>
              <w:rPr>
                <w:sz w:val="22"/>
                <w:szCs w:val="22"/>
              </w:rPr>
            </w:pPr>
            <w:r w:rsidRPr="0016775B">
              <w:rPr>
                <w:rFonts w:cs="Calibri"/>
                <w:color w:val="000000"/>
                <w:sz w:val="22"/>
                <w:szCs w:val="22"/>
              </w:rPr>
              <w:t>4.3%</w:t>
            </w:r>
          </w:p>
        </w:tc>
        <w:tc>
          <w:tcPr>
            <w:tcW w:w="1559" w:type="dxa"/>
          </w:tcPr>
          <w:p w14:paraId="01390DCA" w14:textId="0ED1A4FE" w:rsidR="0016775B" w:rsidRPr="0016775B" w:rsidRDefault="0016775B" w:rsidP="0016775B">
            <w:pPr>
              <w:jc w:val="right"/>
              <w:rPr>
                <w:sz w:val="22"/>
                <w:szCs w:val="22"/>
              </w:rPr>
            </w:pPr>
            <w:r>
              <w:rPr>
                <w:rFonts w:cs="Calibri"/>
                <w:color w:val="000000"/>
                <w:sz w:val="22"/>
                <w:szCs w:val="22"/>
              </w:rPr>
              <w:t>316</w:t>
            </w:r>
          </w:p>
        </w:tc>
        <w:tc>
          <w:tcPr>
            <w:tcW w:w="1701" w:type="dxa"/>
          </w:tcPr>
          <w:p w14:paraId="04D2BB3B" w14:textId="45C1ACDE" w:rsidR="0016775B" w:rsidRPr="0016775B" w:rsidRDefault="0016775B" w:rsidP="0016775B">
            <w:pPr>
              <w:jc w:val="right"/>
              <w:rPr>
                <w:sz w:val="22"/>
                <w:szCs w:val="22"/>
              </w:rPr>
            </w:pPr>
            <w:r>
              <w:rPr>
                <w:rFonts w:cs="Calibri"/>
                <w:color w:val="000000"/>
                <w:sz w:val="22"/>
                <w:szCs w:val="22"/>
              </w:rPr>
              <w:t>28</w:t>
            </w:r>
          </w:p>
        </w:tc>
        <w:tc>
          <w:tcPr>
            <w:tcW w:w="1560" w:type="dxa"/>
          </w:tcPr>
          <w:p w14:paraId="2365666E" w14:textId="701C5675" w:rsidR="0016775B" w:rsidRPr="0016775B" w:rsidRDefault="0016775B" w:rsidP="0016775B">
            <w:pPr>
              <w:jc w:val="right"/>
              <w:rPr>
                <w:sz w:val="22"/>
                <w:szCs w:val="22"/>
              </w:rPr>
            </w:pPr>
            <w:r>
              <w:rPr>
                <w:rFonts w:cs="Calibri"/>
                <w:color w:val="000000"/>
                <w:sz w:val="22"/>
                <w:szCs w:val="22"/>
              </w:rPr>
              <w:t>8.9%</w:t>
            </w:r>
          </w:p>
        </w:tc>
      </w:tr>
      <w:tr w:rsidR="0016775B" w:rsidRPr="0016775B" w14:paraId="76A0D612" w14:textId="77777777" w:rsidTr="005B3D04">
        <w:trPr>
          <w:trHeight w:val="162"/>
        </w:trPr>
        <w:tc>
          <w:tcPr>
            <w:tcW w:w="1990" w:type="dxa"/>
            <w:vAlign w:val="bottom"/>
          </w:tcPr>
          <w:p w14:paraId="0F8ECC63" w14:textId="77777777" w:rsidR="0016775B" w:rsidRPr="0016775B" w:rsidRDefault="0016775B" w:rsidP="0016775B">
            <w:pPr>
              <w:rPr>
                <w:sz w:val="22"/>
                <w:szCs w:val="22"/>
              </w:rPr>
            </w:pPr>
            <w:r w:rsidRPr="0016775B">
              <w:rPr>
                <w:rFonts w:cs="Calibri"/>
                <w:color w:val="000000"/>
                <w:sz w:val="22"/>
                <w:szCs w:val="22"/>
              </w:rPr>
              <w:t xml:space="preserve">Sustainable Energy Authority of Ireland </w:t>
            </w:r>
          </w:p>
        </w:tc>
        <w:tc>
          <w:tcPr>
            <w:tcW w:w="1559" w:type="dxa"/>
          </w:tcPr>
          <w:p w14:paraId="7443BE0D" w14:textId="1849023C" w:rsidR="0016775B" w:rsidRPr="0016775B" w:rsidRDefault="0016775B" w:rsidP="0016775B">
            <w:pPr>
              <w:jc w:val="right"/>
              <w:rPr>
                <w:sz w:val="22"/>
                <w:szCs w:val="22"/>
              </w:rPr>
            </w:pPr>
            <w:r w:rsidRPr="0016775B">
              <w:rPr>
                <w:rFonts w:cs="Calibri"/>
                <w:color w:val="000000"/>
                <w:sz w:val="22"/>
                <w:szCs w:val="22"/>
              </w:rPr>
              <w:t>123</w:t>
            </w:r>
          </w:p>
        </w:tc>
        <w:tc>
          <w:tcPr>
            <w:tcW w:w="1418" w:type="dxa"/>
          </w:tcPr>
          <w:p w14:paraId="65DEF73D" w14:textId="21B4B1F7" w:rsidR="0016775B" w:rsidRPr="0016775B" w:rsidRDefault="0016775B" w:rsidP="0016775B">
            <w:pPr>
              <w:jc w:val="right"/>
              <w:rPr>
                <w:sz w:val="22"/>
                <w:szCs w:val="22"/>
              </w:rPr>
            </w:pPr>
            <w:r w:rsidRPr="0016775B">
              <w:rPr>
                <w:rFonts w:cs="Calibri"/>
                <w:color w:val="000000"/>
                <w:sz w:val="22"/>
                <w:szCs w:val="22"/>
              </w:rPr>
              <w:t>6</w:t>
            </w:r>
          </w:p>
        </w:tc>
        <w:tc>
          <w:tcPr>
            <w:tcW w:w="1559" w:type="dxa"/>
          </w:tcPr>
          <w:p w14:paraId="35BFC0CB" w14:textId="4EC25E69" w:rsidR="0016775B" w:rsidRPr="0016775B" w:rsidRDefault="0016775B" w:rsidP="0016775B">
            <w:pPr>
              <w:jc w:val="right"/>
              <w:rPr>
                <w:sz w:val="22"/>
                <w:szCs w:val="22"/>
              </w:rPr>
            </w:pPr>
            <w:r w:rsidRPr="0016775B">
              <w:rPr>
                <w:rFonts w:cs="Calibri"/>
                <w:color w:val="000000"/>
                <w:sz w:val="22"/>
                <w:szCs w:val="22"/>
              </w:rPr>
              <w:t>4.9%</w:t>
            </w:r>
          </w:p>
        </w:tc>
        <w:tc>
          <w:tcPr>
            <w:tcW w:w="1559" w:type="dxa"/>
          </w:tcPr>
          <w:p w14:paraId="1853F93A" w14:textId="1BB34DB6" w:rsidR="0016775B" w:rsidRPr="0016775B" w:rsidRDefault="0016775B" w:rsidP="0016775B">
            <w:pPr>
              <w:jc w:val="right"/>
              <w:rPr>
                <w:sz w:val="22"/>
                <w:szCs w:val="22"/>
              </w:rPr>
            </w:pPr>
            <w:r>
              <w:rPr>
                <w:rFonts w:cs="Calibri"/>
                <w:color w:val="000000"/>
                <w:sz w:val="22"/>
                <w:szCs w:val="22"/>
              </w:rPr>
              <w:t>170</w:t>
            </w:r>
          </w:p>
        </w:tc>
        <w:tc>
          <w:tcPr>
            <w:tcW w:w="1701" w:type="dxa"/>
          </w:tcPr>
          <w:p w14:paraId="688CD280" w14:textId="3211A7AD" w:rsidR="0016775B" w:rsidRPr="0016775B" w:rsidRDefault="0016775B" w:rsidP="0016775B">
            <w:pPr>
              <w:jc w:val="right"/>
              <w:rPr>
                <w:sz w:val="22"/>
                <w:szCs w:val="22"/>
              </w:rPr>
            </w:pPr>
            <w:r>
              <w:rPr>
                <w:rFonts w:cs="Calibri"/>
                <w:color w:val="000000"/>
                <w:sz w:val="22"/>
                <w:szCs w:val="22"/>
              </w:rPr>
              <w:t>12</w:t>
            </w:r>
          </w:p>
        </w:tc>
        <w:tc>
          <w:tcPr>
            <w:tcW w:w="1560" w:type="dxa"/>
          </w:tcPr>
          <w:p w14:paraId="7D746DAF" w14:textId="0A2DBEC4" w:rsidR="0016775B" w:rsidRPr="0016775B" w:rsidRDefault="0016775B" w:rsidP="0016775B">
            <w:pPr>
              <w:jc w:val="right"/>
              <w:rPr>
                <w:sz w:val="22"/>
                <w:szCs w:val="22"/>
              </w:rPr>
            </w:pPr>
            <w:r>
              <w:rPr>
                <w:rFonts w:cs="Calibri"/>
                <w:color w:val="000000"/>
                <w:sz w:val="22"/>
                <w:szCs w:val="22"/>
              </w:rPr>
              <w:t>7.1%</w:t>
            </w:r>
          </w:p>
        </w:tc>
      </w:tr>
      <w:tr w:rsidR="0016775B" w:rsidRPr="0016775B" w14:paraId="115227E9" w14:textId="77777777" w:rsidTr="005B3D04">
        <w:trPr>
          <w:trHeight w:val="162"/>
        </w:trPr>
        <w:tc>
          <w:tcPr>
            <w:tcW w:w="1990" w:type="dxa"/>
            <w:vAlign w:val="bottom"/>
          </w:tcPr>
          <w:p w14:paraId="1341685A" w14:textId="77777777" w:rsidR="0016775B" w:rsidRPr="0016775B" w:rsidRDefault="0016775B" w:rsidP="0016775B">
            <w:pPr>
              <w:rPr>
                <w:sz w:val="22"/>
                <w:szCs w:val="22"/>
              </w:rPr>
            </w:pPr>
            <w:r w:rsidRPr="0016775B">
              <w:rPr>
                <w:rFonts w:cs="Calibri"/>
                <w:color w:val="000000"/>
                <w:sz w:val="22"/>
                <w:szCs w:val="22"/>
              </w:rPr>
              <w:t>The Digital Hub</w:t>
            </w:r>
          </w:p>
        </w:tc>
        <w:tc>
          <w:tcPr>
            <w:tcW w:w="1559" w:type="dxa"/>
          </w:tcPr>
          <w:p w14:paraId="4F4D0941" w14:textId="2AF6A13F" w:rsidR="0016775B" w:rsidRPr="0016775B" w:rsidRDefault="0016775B" w:rsidP="0016775B">
            <w:pPr>
              <w:jc w:val="right"/>
              <w:rPr>
                <w:sz w:val="22"/>
                <w:szCs w:val="22"/>
              </w:rPr>
            </w:pPr>
            <w:r w:rsidRPr="0016775B">
              <w:rPr>
                <w:rFonts w:cs="Calibri"/>
                <w:color w:val="000000"/>
                <w:sz w:val="22"/>
                <w:szCs w:val="22"/>
              </w:rPr>
              <w:t>14</w:t>
            </w:r>
          </w:p>
        </w:tc>
        <w:tc>
          <w:tcPr>
            <w:tcW w:w="1418" w:type="dxa"/>
          </w:tcPr>
          <w:p w14:paraId="5968E42B" w14:textId="2DF8FC30" w:rsidR="0016775B" w:rsidRPr="0016775B" w:rsidRDefault="0016775B" w:rsidP="0016775B">
            <w:pPr>
              <w:jc w:val="right"/>
              <w:rPr>
                <w:sz w:val="22"/>
                <w:szCs w:val="22"/>
              </w:rPr>
            </w:pPr>
            <w:r w:rsidRPr="0016775B">
              <w:rPr>
                <w:rFonts w:cs="Calibri"/>
                <w:color w:val="000000"/>
                <w:sz w:val="22"/>
                <w:szCs w:val="22"/>
              </w:rPr>
              <w:t>0</w:t>
            </w:r>
          </w:p>
        </w:tc>
        <w:tc>
          <w:tcPr>
            <w:tcW w:w="1559" w:type="dxa"/>
          </w:tcPr>
          <w:p w14:paraId="2806327E" w14:textId="56CB1026" w:rsidR="0016775B" w:rsidRPr="0016775B" w:rsidRDefault="0016775B" w:rsidP="0016775B">
            <w:pPr>
              <w:jc w:val="right"/>
              <w:rPr>
                <w:sz w:val="22"/>
                <w:szCs w:val="22"/>
              </w:rPr>
            </w:pPr>
            <w:r w:rsidRPr="0016775B">
              <w:rPr>
                <w:rFonts w:cs="Calibri"/>
                <w:color w:val="000000"/>
                <w:sz w:val="22"/>
                <w:szCs w:val="22"/>
              </w:rPr>
              <w:t>0.0%</w:t>
            </w:r>
          </w:p>
        </w:tc>
        <w:tc>
          <w:tcPr>
            <w:tcW w:w="1559" w:type="dxa"/>
          </w:tcPr>
          <w:p w14:paraId="10CBE2B2" w14:textId="48B903C0" w:rsidR="0016775B" w:rsidRPr="0016775B" w:rsidRDefault="0016775B" w:rsidP="0016775B">
            <w:pPr>
              <w:pStyle w:val="TableHead"/>
              <w:jc w:val="right"/>
              <w:rPr>
                <w:b w:val="0"/>
                <w:bCs/>
                <w:sz w:val="22"/>
                <w:szCs w:val="22"/>
              </w:rPr>
            </w:pPr>
            <w:r w:rsidRPr="0016775B">
              <w:rPr>
                <w:rFonts w:cs="Calibri"/>
                <w:b w:val="0"/>
                <w:bCs/>
                <w:color w:val="000000"/>
                <w:sz w:val="22"/>
                <w:szCs w:val="22"/>
              </w:rPr>
              <w:t>12</w:t>
            </w:r>
          </w:p>
        </w:tc>
        <w:tc>
          <w:tcPr>
            <w:tcW w:w="1701" w:type="dxa"/>
          </w:tcPr>
          <w:p w14:paraId="78C46EBF" w14:textId="6A5A6852" w:rsidR="0016775B" w:rsidRPr="0016775B" w:rsidRDefault="0016775B" w:rsidP="0016775B">
            <w:pPr>
              <w:pStyle w:val="TableHead"/>
              <w:jc w:val="right"/>
              <w:rPr>
                <w:b w:val="0"/>
                <w:bCs/>
                <w:sz w:val="22"/>
                <w:szCs w:val="22"/>
              </w:rPr>
            </w:pPr>
            <w:r w:rsidRPr="0016775B">
              <w:rPr>
                <w:rFonts w:cs="Calibri"/>
                <w:b w:val="0"/>
                <w:bCs/>
                <w:color w:val="000000"/>
                <w:sz w:val="22"/>
                <w:szCs w:val="22"/>
              </w:rPr>
              <w:t>0</w:t>
            </w:r>
          </w:p>
        </w:tc>
        <w:tc>
          <w:tcPr>
            <w:tcW w:w="1560" w:type="dxa"/>
          </w:tcPr>
          <w:p w14:paraId="22D99C69" w14:textId="17FC2D36" w:rsidR="0016775B" w:rsidRPr="0016775B" w:rsidRDefault="0016775B" w:rsidP="0016775B">
            <w:pPr>
              <w:pStyle w:val="TableHead"/>
              <w:jc w:val="right"/>
              <w:rPr>
                <w:b w:val="0"/>
                <w:bCs/>
                <w:sz w:val="22"/>
                <w:szCs w:val="22"/>
              </w:rPr>
            </w:pPr>
            <w:r w:rsidRPr="0016775B">
              <w:rPr>
                <w:rFonts w:cs="Calibri"/>
                <w:b w:val="0"/>
                <w:bCs/>
                <w:color w:val="000000"/>
                <w:sz w:val="22"/>
                <w:szCs w:val="22"/>
              </w:rPr>
              <w:t>0.0%</w:t>
            </w:r>
          </w:p>
        </w:tc>
      </w:tr>
      <w:tr w:rsidR="0016775B" w:rsidRPr="0016775B" w14:paraId="3EEC203C" w14:textId="77777777" w:rsidTr="005B3D04">
        <w:trPr>
          <w:trHeight w:val="162"/>
        </w:trPr>
        <w:tc>
          <w:tcPr>
            <w:tcW w:w="1990" w:type="dxa"/>
            <w:vAlign w:val="bottom"/>
          </w:tcPr>
          <w:p w14:paraId="17D1DF3A" w14:textId="77777777" w:rsidR="0016775B" w:rsidRPr="0016775B" w:rsidRDefault="0016775B" w:rsidP="0016775B">
            <w:pPr>
              <w:spacing w:after="0"/>
              <w:rPr>
                <w:b/>
                <w:sz w:val="22"/>
                <w:szCs w:val="22"/>
              </w:rPr>
            </w:pPr>
            <w:r w:rsidRPr="0016775B">
              <w:rPr>
                <w:b/>
                <w:sz w:val="22"/>
                <w:szCs w:val="22"/>
              </w:rPr>
              <w:t>Grand Total</w:t>
            </w:r>
          </w:p>
          <w:p w14:paraId="696D75C8" w14:textId="77777777" w:rsidR="0016775B" w:rsidRPr="0016775B" w:rsidRDefault="0016775B" w:rsidP="0016775B">
            <w:pPr>
              <w:spacing w:after="0"/>
              <w:rPr>
                <w:sz w:val="22"/>
                <w:szCs w:val="22"/>
              </w:rPr>
            </w:pPr>
          </w:p>
        </w:tc>
        <w:tc>
          <w:tcPr>
            <w:tcW w:w="1559" w:type="dxa"/>
          </w:tcPr>
          <w:p w14:paraId="47376768" w14:textId="77777777" w:rsidR="0016775B" w:rsidRPr="0016775B" w:rsidRDefault="0016775B" w:rsidP="0016775B">
            <w:pPr>
              <w:spacing w:after="0"/>
              <w:jc w:val="right"/>
              <w:rPr>
                <w:rFonts w:cs="Calibri"/>
                <w:b/>
                <w:bCs/>
                <w:color w:val="000000"/>
                <w:sz w:val="22"/>
                <w:szCs w:val="22"/>
                <w:lang w:eastAsia="en-IE"/>
              </w:rPr>
            </w:pPr>
            <w:r w:rsidRPr="0016775B">
              <w:rPr>
                <w:rFonts w:cs="Calibri"/>
                <w:b/>
                <w:bCs/>
                <w:color w:val="000000"/>
                <w:sz w:val="22"/>
                <w:szCs w:val="22"/>
              </w:rPr>
              <w:t>18,755</w:t>
            </w:r>
          </w:p>
          <w:p w14:paraId="37E3CD06" w14:textId="77777777" w:rsidR="0016775B" w:rsidRPr="0016775B" w:rsidRDefault="0016775B" w:rsidP="0016775B">
            <w:pPr>
              <w:pStyle w:val="TableHead"/>
              <w:jc w:val="right"/>
              <w:rPr>
                <w:sz w:val="22"/>
                <w:szCs w:val="22"/>
              </w:rPr>
            </w:pPr>
          </w:p>
        </w:tc>
        <w:tc>
          <w:tcPr>
            <w:tcW w:w="1418" w:type="dxa"/>
          </w:tcPr>
          <w:p w14:paraId="3386E64F" w14:textId="77777777" w:rsidR="0016775B" w:rsidRPr="0016775B" w:rsidRDefault="0016775B" w:rsidP="0016775B">
            <w:pPr>
              <w:spacing w:after="0"/>
              <w:jc w:val="right"/>
              <w:rPr>
                <w:rFonts w:cs="Calibri"/>
                <w:b/>
                <w:bCs/>
                <w:color w:val="000000"/>
                <w:sz w:val="22"/>
                <w:szCs w:val="22"/>
                <w:lang w:eastAsia="en-IE"/>
              </w:rPr>
            </w:pPr>
            <w:r w:rsidRPr="0016775B">
              <w:rPr>
                <w:rFonts w:cs="Calibri"/>
                <w:b/>
                <w:bCs/>
                <w:color w:val="000000"/>
                <w:sz w:val="22"/>
                <w:szCs w:val="22"/>
              </w:rPr>
              <w:t>837</w:t>
            </w:r>
          </w:p>
          <w:p w14:paraId="7A2F041A" w14:textId="77777777" w:rsidR="0016775B" w:rsidRPr="0016775B" w:rsidRDefault="0016775B" w:rsidP="0016775B">
            <w:pPr>
              <w:pStyle w:val="TableHead"/>
              <w:jc w:val="right"/>
              <w:rPr>
                <w:sz w:val="22"/>
                <w:szCs w:val="22"/>
              </w:rPr>
            </w:pPr>
          </w:p>
        </w:tc>
        <w:tc>
          <w:tcPr>
            <w:tcW w:w="1559" w:type="dxa"/>
          </w:tcPr>
          <w:p w14:paraId="78BD49D6" w14:textId="44A71DA8" w:rsidR="0016775B" w:rsidRPr="0016775B" w:rsidRDefault="0016775B" w:rsidP="0016775B">
            <w:pPr>
              <w:pStyle w:val="TableHead"/>
              <w:jc w:val="right"/>
              <w:rPr>
                <w:sz w:val="22"/>
                <w:szCs w:val="22"/>
              </w:rPr>
            </w:pPr>
            <w:r w:rsidRPr="0016775B">
              <w:rPr>
                <w:sz w:val="22"/>
                <w:szCs w:val="22"/>
              </w:rPr>
              <w:t>4.5%</w:t>
            </w:r>
          </w:p>
        </w:tc>
        <w:tc>
          <w:tcPr>
            <w:tcW w:w="1559" w:type="dxa"/>
          </w:tcPr>
          <w:p w14:paraId="5F51DE80" w14:textId="77777777" w:rsidR="0016775B" w:rsidRDefault="0016775B" w:rsidP="0016775B">
            <w:pPr>
              <w:spacing w:after="0"/>
              <w:jc w:val="right"/>
              <w:rPr>
                <w:rFonts w:cs="Calibri"/>
                <w:b/>
                <w:bCs/>
                <w:color w:val="000000"/>
                <w:sz w:val="22"/>
                <w:szCs w:val="22"/>
                <w:lang w:eastAsia="en-IE"/>
              </w:rPr>
            </w:pPr>
            <w:r>
              <w:rPr>
                <w:rFonts w:cs="Calibri"/>
                <w:b/>
                <w:bCs/>
                <w:color w:val="000000"/>
                <w:sz w:val="22"/>
                <w:szCs w:val="22"/>
              </w:rPr>
              <w:t>18632</w:t>
            </w:r>
          </w:p>
          <w:p w14:paraId="2A80375B" w14:textId="77777777" w:rsidR="0016775B" w:rsidRPr="0016775B" w:rsidRDefault="0016775B" w:rsidP="0016775B">
            <w:pPr>
              <w:pStyle w:val="TableHead"/>
              <w:jc w:val="right"/>
              <w:rPr>
                <w:sz w:val="22"/>
                <w:szCs w:val="22"/>
              </w:rPr>
            </w:pPr>
          </w:p>
        </w:tc>
        <w:tc>
          <w:tcPr>
            <w:tcW w:w="1701" w:type="dxa"/>
          </w:tcPr>
          <w:p w14:paraId="7C8078D6" w14:textId="77777777" w:rsidR="0016775B" w:rsidRDefault="0016775B" w:rsidP="0016775B">
            <w:pPr>
              <w:spacing w:after="0"/>
              <w:jc w:val="right"/>
              <w:rPr>
                <w:rFonts w:cs="Calibri"/>
                <w:b/>
                <w:bCs/>
                <w:color w:val="000000"/>
                <w:sz w:val="22"/>
                <w:szCs w:val="22"/>
                <w:lang w:eastAsia="en-IE"/>
              </w:rPr>
            </w:pPr>
            <w:r>
              <w:rPr>
                <w:rFonts w:cs="Calibri"/>
                <w:b/>
                <w:bCs/>
                <w:color w:val="000000"/>
                <w:sz w:val="22"/>
                <w:szCs w:val="22"/>
              </w:rPr>
              <w:t>782</w:t>
            </w:r>
          </w:p>
          <w:p w14:paraId="71713040" w14:textId="77777777" w:rsidR="0016775B" w:rsidRPr="0016775B" w:rsidRDefault="0016775B" w:rsidP="0016775B">
            <w:pPr>
              <w:pStyle w:val="TableHead"/>
              <w:jc w:val="right"/>
              <w:rPr>
                <w:sz w:val="22"/>
                <w:szCs w:val="22"/>
              </w:rPr>
            </w:pPr>
          </w:p>
        </w:tc>
        <w:tc>
          <w:tcPr>
            <w:tcW w:w="1560" w:type="dxa"/>
          </w:tcPr>
          <w:p w14:paraId="1710218F" w14:textId="77777777" w:rsidR="0016775B" w:rsidRDefault="0016775B" w:rsidP="0016775B">
            <w:pPr>
              <w:spacing w:after="0"/>
              <w:jc w:val="right"/>
              <w:rPr>
                <w:rFonts w:cs="Calibri"/>
                <w:b/>
                <w:bCs/>
                <w:color w:val="000000"/>
                <w:sz w:val="22"/>
                <w:szCs w:val="22"/>
                <w:lang w:eastAsia="en-IE"/>
              </w:rPr>
            </w:pPr>
            <w:r>
              <w:rPr>
                <w:rFonts w:cs="Calibri"/>
                <w:b/>
                <w:bCs/>
                <w:color w:val="000000"/>
                <w:sz w:val="22"/>
                <w:szCs w:val="22"/>
              </w:rPr>
              <w:t>4.2%</w:t>
            </w:r>
          </w:p>
          <w:p w14:paraId="1E5506A1" w14:textId="0AEDD407" w:rsidR="0016775B" w:rsidRPr="0016775B" w:rsidRDefault="0016775B" w:rsidP="0016775B">
            <w:pPr>
              <w:pStyle w:val="TableHead"/>
              <w:jc w:val="right"/>
              <w:rPr>
                <w:sz w:val="22"/>
                <w:szCs w:val="22"/>
              </w:rPr>
            </w:pPr>
          </w:p>
        </w:tc>
      </w:tr>
    </w:tbl>
    <w:p w14:paraId="3A87D0E3" w14:textId="77777777" w:rsidR="007B3257" w:rsidRPr="0016775B" w:rsidRDefault="007B3257" w:rsidP="007B3257"/>
    <w:p w14:paraId="51C072E3" w14:textId="77777777" w:rsidR="00844749" w:rsidRPr="00611BF3" w:rsidRDefault="00844749" w:rsidP="00844749">
      <w:pPr>
        <w:pStyle w:val="TableSummary"/>
        <w:rPr>
          <w:highlight w:val="green"/>
        </w:rPr>
      </w:pPr>
    </w:p>
    <w:p w14:paraId="09B73EF4" w14:textId="750B77BD" w:rsidR="007E64ED" w:rsidRPr="00611BF3" w:rsidRDefault="007E64ED" w:rsidP="00C95275">
      <w:pPr>
        <w:rPr>
          <w:szCs w:val="26"/>
          <w:highlight w:val="green"/>
        </w:rPr>
      </w:pPr>
    </w:p>
    <w:p w14:paraId="34F3A2F5" w14:textId="65D6B56E" w:rsidR="00E46650" w:rsidRDefault="00E46650">
      <w:pPr>
        <w:spacing w:after="0"/>
        <w:rPr>
          <w:highlight w:val="green"/>
        </w:rPr>
      </w:pPr>
      <w:r>
        <w:rPr>
          <w:highlight w:val="green"/>
        </w:rPr>
        <w:br w:type="page"/>
      </w:r>
    </w:p>
    <w:p w14:paraId="036EC2D1" w14:textId="77777777" w:rsidR="00BC13A0" w:rsidRDefault="00BC13A0" w:rsidP="00DA2B08">
      <w:pPr>
        <w:pStyle w:val="NoSpacing"/>
      </w:pPr>
    </w:p>
    <w:p w14:paraId="2EEBDB07" w14:textId="4385E9FF" w:rsidR="00624403" w:rsidRPr="004577E5" w:rsidRDefault="00D556A0" w:rsidP="001624B2">
      <w:pPr>
        <w:pStyle w:val="Heading2"/>
        <w:jc w:val="center"/>
        <w:rPr>
          <w:color w:val="000000" w:themeColor="text1"/>
        </w:rPr>
      </w:pPr>
      <w:bookmarkStart w:id="83" w:name="_Toc146113886"/>
      <w:r w:rsidRPr="004577E5">
        <w:rPr>
          <w:color w:val="000000" w:themeColor="text1"/>
        </w:rPr>
        <w:t>Department of the Taoiseach</w:t>
      </w:r>
      <w:bookmarkEnd w:id="83"/>
    </w:p>
    <w:tbl>
      <w:tblPr>
        <w:tblStyle w:val="TableGrid"/>
        <w:tblpPr w:leftFromText="180" w:rightFromText="180" w:vertAnchor="text" w:horzAnchor="margin" w:tblpXSpec="center" w:tblpY="196"/>
        <w:tblW w:w="11208" w:type="dxa"/>
        <w:tblLayout w:type="fixed"/>
        <w:tblLook w:val="04A0" w:firstRow="1" w:lastRow="0" w:firstColumn="1" w:lastColumn="0" w:noHBand="0" w:noVBand="1"/>
        <w:tblCaption w:val="Department of the Taoiseach"/>
      </w:tblPr>
      <w:tblGrid>
        <w:gridCol w:w="1711"/>
        <w:gridCol w:w="1418"/>
        <w:gridCol w:w="1417"/>
        <w:gridCol w:w="1418"/>
        <w:gridCol w:w="1559"/>
        <w:gridCol w:w="1984"/>
        <w:gridCol w:w="1701"/>
      </w:tblGrid>
      <w:tr w:rsidR="001D6F34" w:rsidRPr="004577E5" w14:paraId="70BC6A66" w14:textId="77777777" w:rsidTr="002D42E6">
        <w:trPr>
          <w:tblHeader/>
        </w:trPr>
        <w:tc>
          <w:tcPr>
            <w:tcW w:w="1711" w:type="dxa"/>
          </w:tcPr>
          <w:p w14:paraId="5F3765B4" w14:textId="77777777" w:rsidR="001D6F34" w:rsidRPr="004577E5" w:rsidRDefault="001D6F34" w:rsidP="001D6F34">
            <w:pPr>
              <w:pStyle w:val="TableHead"/>
              <w:rPr>
                <w:sz w:val="22"/>
                <w:szCs w:val="22"/>
              </w:rPr>
            </w:pPr>
            <w:r w:rsidRPr="004577E5">
              <w:rPr>
                <w:sz w:val="22"/>
                <w:szCs w:val="22"/>
              </w:rPr>
              <w:t>Public Body</w:t>
            </w:r>
          </w:p>
        </w:tc>
        <w:tc>
          <w:tcPr>
            <w:tcW w:w="1418" w:type="dxa"/>
          </w:tcPr>
          <w:p w14:paraId="3CA1BC87" w14:textId="77777777" w:rsidR="008321E1" w:rsidRPr="004577E5" w:rsidRDefault="001D6F34" w:rsidP="001D6F34">
            <w:pPr>
              <w:pStyle w:val="TableHead"/>
              <w:rPr>
                <w:sz w:val="22"/>
                <w:szCs w:val="22"/>
              </w:rPr>
            </w:pPr>
            <w:r w:rsidRPr="004577E5">
              <w:rPr>
                <w:sz w:val="22"/>
                <w:szCs w:val="22"/>
              </w:rPr>
              <w:t xml:space="preserve">Total number </w:t>
            </w:r>
          </w:p>
          <w:p w14:paraId="6B4596CF" w14:textId="3D7640B3" w:rsidR="001D6F34" w:rsidRPr="004577E5" w:rsidRDefault="001D6F34" w:rsidP="001D6F34">
            <w:pPr>
              <w:pStyle w:val="TableHead"/>
              <w:rPr>
                <w:sz w:val="22"/>
                <w:szCs w:val="22"/>
              </w:rPr>
            </w:pPr>
            <w:r w:rsidRPr="004577E5">
              <w:rPr>
                <w:sz w:val="22"/>
                <w:szCs w:val="22"/>
              </w:rPr>
              <w:t>of employees  202</w:t>
            </w:r>
            <w:r w:rsidR="000A4BAB">
              <w:rPr>
                <w:sz w:val="22"/>
                <w:szCs w:val="22"/>
              </w:rPr>
              <w:t>1</w:t>
            </w:r>
          </w:p>
        </w:tc>
        <w:tc>
          <w:tcPr>
            <w:tcW w:w="1417" w:type="dxa"/>
          </w:tcPr>
          <w:p w14:paraId="67B77D08" w14:textId="77777777" w:rsidR="001D6F34" w:rsidRPr="004577E5" w:rsidRDefault="001D6F34" w:rsidP="001D6F34">
            <w:pPr>
              <w:pStyle w:val="TableHead"/>
              <w:rPr>
                <w:sz w:val="22"/>
                <w:szCs w:val="22"/>
              </w:rPr>
            </w:pPr>
            <w:r w:rsidRPr="004577E5">
              <w:rPr>
                <w:sz w:val="22"/>
                <w:szCs w:val="22"/>
              </w:rPr>
              <w:t xml:space="preserve">Number of employees reporting  a disability </w:t>
            </w:r>
          </w:p>
          <w:p w14:paraId="0544833C" w14:textId="121A1FA5" w:rsidR="001D6F34" w:rsidRPr="004577E5" w:rsidRDefault="001D6F34" w:rsidP="001D6F34">
            <w:pPr>
              <w:pStyle w:val="TableHead"/>
              <w:rPr>
                <w:sz w:val="22"/>
                <w:szCs w:val="22"/>
              </w:rPr>
            </w:pPr>
            <w:r w:rsidRPr="004577E5">
              <w:rPr>
                <w:sz w:val="22"/>
                <w:szCs w:val="22"/>
              </w:rPr>
              <w:t>202</w:t>
            </w:r>
            <w:r w:rsidR="000A4BAB">
              <w:rPr>
                <w:sz w:val="22"/>
                <w:szCs w:val="22"/>
              </w:rPr>
              <w:t>1</w:t>
            </w:r>
          </w:p>
        </w:tc>
        <w:tc>
          <w:tcPr>
            <w:tcW w:w="1418" w:type="dxa"/>
          </w:tcPr>
          <w:p w14:paraId="306B5AC8" w14:textId="77777777" w:rsidR="001D6F34" w:rsidRPr="004577E5" w:rsidRDefault="001D6F34" w:rsidP="001D6F34">
            <w:pPr>
              <w:pStyle w:val="TableHead"/>
              <w:rPr>
                <w:sz w:val="22"/>
                <w:szCs w:val="22"/>
              </w:rPr>
            </w:pPr>
            <w:r w:rsidRPr="004577E5">
              <w:rPr>
                <w:sz w:val="22"/>
                <w:szCs w:val="22"/>
              </w:rPr>
              <w:t>% of employees reporting a</w:t>
            </w:r>
          </w:p>
          <w:p w14:paraId="21867729" w14:textId="2893302A" w:rsidR="001D6F34" w:rsidRPr="004577E5" w:rsidRDefault="001D6F34" w:rsidP="001D6F34">
            <w:pPr>
              <w:pStyle w:val="TableHead"/>
              <w:rPr>
                <w:sz w:val="22"/>
                <w:szCs w:val="22"/>
              </w:rPr>
            </w:pPr>
            <w:r w:rsidRPr="004577E5">
              <w:rPr>
                <w:sz w:val="22"/>
                <w:szCs w:val="22"/>
              </w:rPr>
              <w:t>disability 202</w:t>
            </w:r>
            <w:r w:rsidR="000A4BAB">
              <w:rPr>
                <w:sz w:val="22"/>
                <w:szCs w:val="22"/>
              </w:rPr>
              <w:t>1</w:t>
            </w:r>
          </w:p>
        </w:tc>
        <w:tc>
          <w:tcPr>
            <w:tcW w:w="1559" w:type="dxa"/>
          </w:tcPr>
          <w:p w14:paraId="0F074A2A" w14:textId="77777777" w:rsidR="008321E1" w:rsidRPr="004577E5" w:rsidRDefault="001D6F34" w:rsidP="001D6F34">
            <w:pPr>
              <w:pStyle w:val="TableHead"/>
              <w:rPr>
                <w:sz w:val="22"/>
                <w:szCs w:val="22"/>
              </w:rPr>
            </w:pPr>
            <w:r w:rsidRPr="004577E5">
              <w:rPr>
                <w:sz w:val="22"/>
                <w:szCs w:val="22"/>
              </w:rPr>
              <w:t xml:space="preserve">Total number </w:t>
            </w:r>
          </w:p>
          <w:p w14:paraId="3E9624D4" w14:textId="283E1498" w:rsidR="001D6F34" w:rsidRPr="004577E5" w:rsidRDefault="001D6F34" w:rsidP="001D6F34">
            <w:pPr>
              <w:pStyle w:val="TableHead"/>
              <w:rPr>
                <w:sz w:val="22"/>
                <w:szCs w:val="22"/>
              </w:rPr>
            </w:pPr>
            <w:r w:rsidRPr="004577E5">
              <w:rPr>
                <w:sz w:val="22"/>
                <w:szCs w:val="22"/>
              </w:rPr>
              <w:t>of employees  202</w:t>
            </w:r>
            <w:r w:rsidR="000A4BAB">
              <w:rPr>
                <w:sz w:val="22"/>
                <w:szCs w:val="22"/>
              </w:rPr>
              <w:t>2</w:t>
            </w:r>
          </w:p>
        </w:tc>
        <w:tc>
          <w:tcPr>
            <w:tcW w:w="1984" w:type="dxa"/>
          </w:tcPr>
          <w:p w14:paraId="210FB70E" w14:textId="77777777" w:rsidR="001D6F34" w:rsidRPr="004577E5" w:rsidRDefault="001D6F34" w:rsidP="001D6F34">
            <w:pPr>
              <w:pStyle w:val="TableHead"/>
              <w:rPr>
                <w:sz w:val="22"/>
                <w:szCs w:val="22"/>
              </w:rPr>
            </w:pPr>
            <w:r w:rsidRPr="004577E5">
              <w:rPr>
                <w:sz w:val="22"/>
                <w:szCs w:val="22"/>
              </w:rPr>
              <w:t xml:space="preserve">Number of employees reporting a disability </w:t>
            </w:r>
          </w:p>
          <w:p w14:paraId="72EE45FC" w14:textId="17492614" w:rsidR="001D6F34" w:rsidRPr="004577E5" w:rsidRDefault="001D6F34" w:rsidP="001D6F34">
            <w:pPr>
              <w:pStyle w:val="TableHead"/>
              <w:rPr>
                <w:sz w:val="22"/>
                <w:szCs w:val="22"/>
              </w:rPr>
            </w:pPr>
            <w:r w:rsidRPr="004577E5">
              <w:rPr>
                <w:sz w:val="22"/>
                <w:szCs w:val="22"/>
              </w:rPr>
              <w:t>202</w:t>
            </w:r>
            <w:r w:rsidR="000A4BAB">
              <w:rPr>
                <w:sz w:val="22"/>
                <w:szCs w:val="22"/>
              </w:rPr>
              <w:t>2</w:t>
            </w:r>
          </w:p>
        </w:tc>
        <w:tc>
          <w:tcPr>
            <w:tcW w:w="1701" w:type="dxa"/>
          </w:tcPr>
          <w:p w14:paraId="39FFD3B3" w14:textId="77777777" w:rsidR="001D6F34" w:rsidRPr="004577E5" w:rsidRDefault="001D6F34" w:rsidP="001D6F34">
            <w:pPr>
              <w:pStyle w:val="TableHead"/>
              <w:rPr>
                <w:sz w:val="22"/>
                <w:szCs w:val="22"/>
              </w:rPr>
            </w:pPr>
            <w:r w:rsidRPr="004577E5">
              <w:rPr>
                <w:sz w:val="22"/>
                <w:szCs w:val="22"/>
              </w:rPr>
              <w:t>% of employees reporting a</w:t>
            </w:r>
          </w:p>
          <w:p w14:paraId="26695D4F" w14:textId="77777777" w:rsidR="001D6F34" w:rsidRPr="004577E5" w:rsidRDefault="001D6F34" w:rsidP="001D6F34">
            <w:pPr>
              <w:pStyle w:val="TableHead"/>
              <w:rPr>
                <w:sz w:val="22"/>
                <w:szCs w:val="22"/>
              </w:rPr>
            </w:pPr>
            <w:r w:rsidRPr="004577E5">
              <w:rPr>
                <w:sz w:val="22"/>
                <w:szCs w:val="22"/>
              </w:rPr>
              <w:t>disability</w:t>
            </w:r>
          </w:p>
          <w:p w14:paraId="332D6D07" w14:textId="66EB5486" w:rsidR="001D6F34" w:rsidRPr="004577E5" w:rsidRDefault="001D6F34" w:rsidP="001D6F34">
            <w:pPr>
              <w:pStyle w:val="TableHead"/>
              <w:rPr>
                <w:sz w:val="24"/>
              </w:rPr>
            </w:pPr>
            <w:r w:rsidRPr="004577E5">
              <w:rPr>
                <w:sz w:val="22"/>
                <w:szCs w:val="22"/>
              </w:rPr>
              <w:t>202</w:t>
            </w:r>
            <w:r w:rsidR="000A4BAB">
              <w:rPr>
                <w:sz w:val="22"/>
                <w:szCs w:val="22"/>
              </w:rPr>
              <w:t>2</w:t>
            </w:r>
          </w:p>
        </w:tc>
      </w:tr>
      <w:tr w:rsidR="004577E5" w:rsidRPr="004577E5" w14:paraId="467ED626" w14:textId="77777777" w:rsidTr="002D42E6">
        <w:trPr>
          <w:trHeight w:val="162"/>
        </w:trPr>
        <w:tc>
          <w:tcPr>
            <w:tcW w:w="1711" w:type="dxa"/>
          </w:tcPr>
          <w:p w14:paraId="074AC87D" w14:textId="77777777" w:rsidR="004577E5" w:rsidRPr="004577E5" w:rsidRDefault="004577E5" w:rsidP="004577E5">
            <w:pPr>
              <w:spacing w:after="0"/>
              <w:rPr>
                <w:rFonts w:cs="Calibri"/>
                <w:color w:val="000000"/>
                <w:sz w:val="22"/>
                <w:szCs w:val="22"/>
                <w:lang w:eastAsia="en-IE"/>
              </w:rPr>
            </w:pPr>
            <w:r w:rsidRPr="004577E5">
              <w:rPr>
                <w:rFonts w:cs="Calibri"/>
                <w:color w:val="000000"/>
                <w:sz w:val="22"/>
                <w:szCs w:val="22"/>
              </w:rPr>
              <w:t>National Economic &amp; Social Development Office</w:t>
            </w:r>
          </w:p>
          <w:p w14:paraId="5AFA1995" w14:textId="77777777" w:rsidR="004577E5" w:rsidRPr="004577E5" w:rsidRDefault="004577E5" w:rsidP="004577E5">
            <w:pPr>
              <w:rPr>
                <w:sz w:val="22"/>
                <w:szCs w:val="22"/>
              </w:rPr>
            </w:pPr>
          </w:p>
        </w:tc>
        <w:tc>
          <w:tcPr>
            <w:tcW w:w="1418" w:type="dxa"/>
          </w:tcPr>
          <w:p w14:paraId="47B44F7B" w14:textId="4D65FC33" w:rsidR="004577E5" w:rsidRPr="004577E5" w:rsidRDefault="004577E5" w:rsidP="004577E5">
            <w:pPr>
              <w:jc w:val="right"/>
              <w:rPr>
                <w:sz w:val="22"/>
                <w:szCs w:val="22"/>
              </w:rPr>
            </w:pPr>
            <w:r w:rsidRPr="004577E5">
              <w:rPr>
                <w:sz w:val="22"/>
                <w:szCs w:val="22"/>
              </w:rPr>
              <w:t>18</w:t>
            </w:r>
          </w:p>
        </w:tc>
        <w:tc>
          <w:tcPr>
            <w:tcW w:w="1417" w:type="dxa"/>
          </w:tcPr>
          <w:p w14:paraId="6B5A002A" w14:textId="0FBBB132" w:rsidR="004577E5" w:rsidRPr="004577E5" w:rsidRDefault="004577E5" w:rsidP="004577E5">
            <w:pPr>
              <w:jc w:val="right"/>
              <w:rPr>
                <w:sz w:val="22"/>
                <w:szCs w:val="22"/>
              </w:rPr>
            </w:pPr>
            <w:r w:rsidRPr="004577E5">
              <w:rPr>
                <w:sz w:val="22"/>
                <w:szCs w:val="22"/>
              </w:rPr>
              <w:t>1</w:t>
            </w:r>
          </w:p>
        </w:tc>
        <w:tc>
          <w:tcPr>
            <w:tcW w:w="1418" w:type="dxa"/>
          </w:tcPr>
          <w:p w14:paraId="76C54D55" w14:textId="6C7003E0" w:rsidR="004577E5" w:rsidRPr="004577E5" w:rsidRDefault="004577E5" w:rsidP="004577E5">
            <w:pPr>
              <w:jc w:val="right"/>
              <w:rPr>
                <w:sz w:val="22"/>
                <w:szCs w:val="22"/>
              </w:rPr>
            </w:pPr>
            <w:r w:rsidRPr="004577E5">
              <w:rPr>
                <w:sz w:val="22"/>
                <w:szCs w:val="22"/>
              </w:rPr>
              <w:t>5.6%</w:t>
            </w:r>
          </w:p>
        </w:tc>
        <w:tc>
          <w:tcPr>
            <w:tcW w:w="1559" w:type="dxa"/>
          </w:tcPr>
          <w:p w14:paraId="0A349C4F" w14:textId="11DBA175" w:rsidR="004577E5" w:rsidRPr="004577E5" w:rsidRDefault="004577E5" w:rsidP="004577E5">
            <w:pPr>
              <w:jc w:val="right"/>
              <w:rPr>
                <w:sz w:val="22"/>
                <w:szCs w:val="22"/>
              </w:rPr>
            </w:pPr>
            <w:r>
              <w:rPr>
                <w:rFonts w:cs="Calibri"/>
                <w:color w:val="000000"/>
                <w:sz w:val="22"/>
                <w:szCs w:val="22"/>
              </w:rPr>
              <w:t>18</w:t>
            </w:r>
          </w:p>
        </w:tc>
        <w:tc>
          <w:tcPr>
            <w:tcW w:w="1984" w:type="dxa"/>
          </w:tcPr>
          <w:p w14:paraId="1F5D41DE" w14:textId="31CDC8A4" w:rsidR="004577E5" w:rsidRPr="004577E5" w:rsidRDefault="004577E5" w:rsidP="004577E5">
            <w:pPr>
              <w:jc w:val="right"/>
              <w:rPr>
                <w:sz w:val="22"/>
                <w:szCs w:val="22"/>
              </w:rPr>
            </w:pPr>
            <w:r>
              <w:rPr>
                <w:rFonts w:cs="Calibri"/>
                <w:color w:val="000000"/>
                <w:sz w:val="22"/>
                <w:szCs w:val="22"/>
              </w:rPr>
              <w:t>1</w:t>
            </w:r>
          </w:p>
        </w:tc>
        <w:tc>
          <w:tcPr>
            <w:tcW w:w="1701" w:type="dxa"/>
          </w:tcPr>
          <w:p w14:paraId="35B2699B" w14:textId="77777777" w:rsidR="004577E5" w:rsidRDefault="004577E5" w:rsidP="004577E5">
            <w:pPr>
              <w:spacing w:after="0"/>
              <w:jc w:val="right"/>
              <w:rPr>
                <w:rFonts w:cs="Calibri"/>
                <w:color w:val="000000"/>
                <w:sz w:val="22"/>
                <w:szCs w:val="22"/>
                <w:lang w:eastAsia="en-IE"/>
              </w:rPr>
            </w:pPr>
            <w:r>
              <w:rPr>
                <w:rFonts w:cs="Calibri"/>
                <w:color w:val="000000"/>
                <w:sz w:val="22"/>
                <w:szCs w:val="22"/>
              </w:rPr>
              <w:t>5.6%</w:t>
            </w:r>
          </w:p>
          <w:p w14:paraId="57B499D8" w14:textId="43AD8C19" w:rsidR="004577E5" w:rsidRPr="004577E5" w:rsidRDefault="004577E5" w:rsidP="004577E5">
            <w:pPr>
              <w:jc w:val="right"/>
              <w:rPr>
                <w:sz w:val="22"/>
                <w:szCs w:val="22"/>
              </w:rPr>
            </w:pPr>
          </w:p>
        </w:tc>
      </w:tr>
      <w:tr w:rsidR="004577E5" w:rsidRPr="00611BF3" w14:paraId="6D4D7766" w14:textId="77777777" w:rsidTr="002D42E6">
        <w:trPr>
          <w:trHeight w:val="162"/>
        </w:trPr>
        <w:tc>
          <w:tcPr>
            <w:tcW w:w="1711" w:type="dxa"/>
          </w:tcPr>
          <w:p w14:paraId="0AEA521D" w14:textId="77777777" w:rsidR="004577E5" w:rsidRPr="004577E5" w:rsidRDefault="004577E5" w:rsidP="004577E5">
            <w:pPr>
              <w:pStyle w:val="TableHead"/>
              <w:spacing w:after="240"/>
              <w:rPr>
                <w:sz w:val="22"/>
                <w:szCs w:val="22"/>
              </w:rPr>
            </w:pPr>
            <w:r w:rsidRPr="004577E5">
              <w:rPr>
                <w:sz w:val="22"/>
                <w:szCs w:val="22"/>
              </w:rPr>
              <w:t>Grand Total</w:t>
            </w:r>
          </w:p>
        </w:tc>
        <w:tc>
          <w:tcPr>
            <w:tcW w:w="1418" w:type="dxa"/>
          </w:tcPr>
          <w:p w14:paraId="5A5CE200" w14:textId="76F6B082" w:rsidR="004577E5" w:rsidRPr="004577E5" w:rsidRDefault="004577E5" w:rsidP="004577E5">
            <w:pPr>
              <w:pStyle w:val="TableHead"/>
              <w:spacing w:after="240"/>
              <w:jc w:val="right"/>
              <w:rPr>
                <w:sz w:val="22"/>
                <w:szCs w:val="22"/>
              </w:rPr>
            </w:pPr>
            <w:r w:rsidRPr="004577E5">
              <w:rPr>
                <w:sz w:val="22"/>
                <w:szCs w:val="22"/>
              </w:rPr>
              <w:t>18</w:t>
            </w:r>
          </w:p>
        </w:tc>
        <w:tc>
          <w:tcPr>
            <w:tcW w:w="1417" w:type="dxa"/>
          </w:tcPr>
          <w:p w14:paraId="3856EE12" w14:textId="1E705C6F" w:rsidR="004577E5" w:rsidRPr="004577E5" w:rsidRDefault="004577E5" w:rsidP="004577E5">
            <w:pPr>
              <w:pStyle w:val="TableHead"/>
              <w:spacing w:after="240"/>
              <w:jc w:val="right"/>
              <w:rPr>
                <w:sz w:val="22"/>
                <w:szCs w:val="22"/>
              </w:rPr>
            </w:pPr>
            <w:r w:rsidRPr="004577E5">
              <w:rPr>
                <w:sz w:val="22"/>
                <w:szCs w:val="22"/>
              </w:rPr>
              <w:t>1</w:t>
            </w:r>
          </w:p>
        </w:tc>
        <w:tc>
          <w:tcPr>
            <w:tcW w:w="1418" w:type="dxa"/>
          </w:tcPr>
          <w:p w14:paraId="79F7FABB" w14:textId="4F9B0FDD" w:rsidR="004577E5" w:rsidRPr="004577E5" w:rsidRDefault="004577E5" w:rsidP="004577E5">
            <w:pPr>
              <w:pStyle w:val="TableHead"/>
              <w:spacing w:after="240"/>
              <w:jc w:val="right"/>
              <w:rPr>
                <w:sz w:val="22"/>
                <w:szCs w:val="22"/>
              </w:rPr>
            </w:pPr>
            <w:r w:rsidRPr="004577E5">
              <w:rPr>
                <w:sz w:val="22"/>
                <w:szCs w:val="22"/>
              </w:rPr>
              <w:t>5.6%</w:t>
            </w:r>
          </w:p>
        </w:tc>
        <w:tc>
          <w:tcPr>
            <w:tcW w:w="1559" w:type="dxa"/>
          </w:tcPr>
          <w:p w14:paraId="395AE21A" w14:textId="38B3A107" w:rsidR="004577E5" w:rsidRPr="004577E5" w:rsidRDefault="004577E5" w:rsidP="004577E5">
            <w:pPr>
              <w:pStyle w:val="TableHead"/>
              <w:spacing w:after="240"/>
              <w:jc w:val="right"/>
              <w:rPr>
                <w:sz w:val="22"/>
                <w:szCs w:val="22"/>
              </w:rPr>
            </w:pPr>
            <w:r>
              <w:rPr>
                <w:rFonts w:cs="Calibri"/>
                <w:color w:val="000000"/>
                <w:sz w:val="22"/>
                <w:szCs w:val="22"/>
              </w:rPr>
              <w:t>18</w:t>
            </w:r>
          </w:p>
        </w:tc>
        <w:tc>
          <w:tcPr>
            <w:tcW w:w="1984" w:type="dxa"/>
          </w:tcPr>
          <w:p w14:paraId="6EA0D72F" w14:textId="5E35645B" w:rsidR="004577E5" w:rsidRPr="004577E5" w:rsidRDefault="004577E5" w:rsidP="004577E5">
            <w:pPr>
              <w:pStyle w:val="TableHead"/>
              <w:spacing w:after="240"/>
              <w:jc w:val="right"/>
              <w:rPr>
                <w:sz w:val="22"/>
                <w:szCs w:val="22"/>
              </w:rPr>
            </w:pPr>
            <w:r>
              <w:rPr>
                <w:rFonts w:cs="Calibri"/>
                <w:color w:val="000000"/>
                <w:sz w:val="22"/>
                <w:szCs w:val="22"/>
              </w:rPr>
              <w:t>1</w:t>
            </w:r>
          </w:p>
        </w:tc>
        <w:tc>
          <w:tcPr>
            <w:tcW w:w="1701" w:type="dxa"/>
          </w:tcPr>
          <w:p w14:paraId="4157D698" w14:textId="77777777" w:rsidR="004577E5" w:rsidRDefault="004577E5" w:rsidP="004577E5">
            <w:pPr>
              <w:spacing w:after="0"/>
              <w:jc w:val="right"/>
              <w:rPr>
                <w:rFonts w:cs="Calibri"/>
                <w:color w:val="000000"/>
                <w:sz w:val="22"/>
                <w:szCs w:val="22"/>
                <w:lang w:eastAsia="en-IE"/>
              </w:rPr>
            </w:pPr>
            <w:r>
              <w:rPr>
                <w:rFonts w:cs="Calibri"/>
                <w:color w:val="000000"/>
                <w:sz w:val="22"/>
                <w:szCs w:val="22"/>
              </w:rPr>
              <w:t>5.6%</w:t>
            </w:r>
          </w:p>
          <w:p w14:paraId="2B6C1AD0" w14:textId="587CF706" w:rsidR="004577E5" w:rsidRPr="004577E5" w:rsidRDefault="004577E5" w:rsidP="004577E5">
            <w:pPr>
              <w:pStyle w:val="TableHead"/>
              <w:spacing w:after="240"/>
              <w:jc w:val="right"/>
              <w:rPr>
                <w:sz w:val="22"/>
                <w:szCs w:val="22"/>
              </w:rPr>
            </w:pPr>
          </w:p>
        </w:tc>
      </w:tr>
    </w:tbl>
    <w:p w14:paraId="099037B2" w14:textId="2CE5AF12" w:rsidR="004910A7" w:rsidRPr="00611BF3" w:rsidRDefault="004910A7" w:rsidP="000D5C5D">
      <w:pPr>
        <w:rPr>
          <w:highlight w:val="green"/>
        </w:rPr>
      </w:pPr>
    </w:p>
    <w:p w14:paraId="027A19EA" w14:textId="77777777" w:rsidR="004910A7" w:rsidRPr="00611BF3" w:rsidRDefault="004910A7">
      <w:pPr>
        <w:spacing w:after="0"/>
        <w:rPr>
          <w:highlight w:val="green"/>
        </w:rPr>
      </w:pPr>
      <w:r w:rsidRPr="00611BF3">
        <w:rPr>
          <w:highlight w:val="green"/>
        </w:rPr>
        <w:br w:type="page"/>
      </w:r>
    </w:p>
    <w:p w14:paraId="4058E212" w14:textId="77777777" w:rsidR="000D5C5D" w:rsidRPr="004577E5" w:rsidRDefault="000D5C5D" w:rsidP="000D5C5D"/>
    <w:p w14:paraId="4C2BCD82" w14:textId="2BE6754E" w:rsidR="003730DB" w:rsidRPr="004577E5" w:rsidRDefault="00D556A0" w:rsidP="001D6F34">
      <w:pPr>
        <w:pStyle w:val="Heading2"/>
        <w:spacing w:after="160"/>
        <w:jc w:val="center"/>
        <w:rPr>
          <w:color w:val="000000" w:themeColor="text1"/>
        </w:rPr>
      </w:pPr>
      <w:bookmarkStart w:id="84" w:name="_Toc146113887"/>
      <w:r w:rsidRPr="004577E5">
        <w:rPr>
          <w:color w:val="000000" w:themeColor="text1"/>
        </w:rPr>
        <w:t>Department of Tourism Culture, Arts, Gael</w:t>
      </w:r>
      <w:r w:rsidR="005D2DC5" w:rsidRPr="004577E5">
        <w:rPr>
          <w:color w:val="000000" w:themeColor="text1"/>
        </w:rPr>
        <w:t>tacht, Sports and</w:t>
      </w:r>
      <w:r w:rsidR="00AC6339" w:rsidRPr="004577E5">
        <w:rPr>
          <w:color w:val="000000" w:themeColor="text1"/>
        </w:rPr>
        <w:t xml:space="preserve"> Media</w:t>
      </w:r>
      <w:bookmarkEnd w:id="84"/>
    </w:p>
    <w:tbl>
      <w:tblPr>
        <w:tblStyle w:val="TableGrid"/>
        <w:tblW w:w="10490" w:type="dxa"/>
        <w:tblInd w:w="-856" w:type="dxa"/>
        <w:tblLook w:val="0020" w:firstRow="1" w:lastRow="0" w:firstColumn="0" w:lastColumn="0" w:noHBand="0" w:noVBand="0"/>
      </w:tblPr>
      <w:tblGrid>
        <w:gridCol w:w="1590"/>
        <w:gridCol w:w="1316"/>
        <w:gridCol w:w="1316"/>
        <w:gridCol w:w="1316"/>
        <w:gridCol w:w="1316"/>
        <w:gridCol w:w="1316"/>
        <w:gridCol w:w="2320"/>
      </w:tblGrid>
      <w:tr w:rsidR="00985D19" w:rsidRPr="004577E5" w14:paraId="4460AED6" w14:textId="77777777" w:rsidTr="00FC2472">
        <w:trPr>
          <w:tblHeader/>
        </w:trPr>
        <w:tc>
          <w:tcPr>
            <w:tcW w:w="1590" w:type="dxa"/>
          </w:tcPr>
          <w:p w14:paraId="4D7047E4" w14:textId="5F2E0717" w:rsidR="00985D19" w:rsidRPr="004577E5" w:rsidRDefault="00985D19" w:rsidP="00985D19">
            <w:pPr>
              <w:rPr>
                <w:rFonts w:cs="Calibri"/>
                <w:color w:val="000000"/>
                <w:sz w:val="22"/>
                <w:szCs w:val="22"/>
              </w:rPr>
            </w:pPr>
            <w:r w:rsidRPr="004577E5">
              <w:rPr>
                <w:b/>
                <w:sz w:val="22"/>
                <w:szCs w:val="22"/>
              </w:rPr>
              <w:t>Public Body</w:t>
            </w:r>
          </w:p>
        </w:tc>
        <w:tc>
          <w:tcPr>
            <w:tcW w:w="0" w:type="auto"/>
          </w:tcPr>
          <w:p w14:paraId="03D2DC85" w14:textId="77777777" w:rsidR="00985D19" w:rsidRPr="004577E5" w:rsidRDefault="00985D19" w:rsidP="00985D19">
            <w:pPr>
              <w:spacing w:after="0"/>
              <w:rPr>
                <w:b/>
                <w:sz w:val="22"/>
                <w:szCs w:val="22"/>
              </w:rPr>
            </w:pPr>
            <w:r w:rsidRPr="004577E5">
              <w:rPr>
                <w:b/>
                <w:sz w:val="22"/>
                <w:szCs w:val="22"/>
              </w:rPr>
              <w:t xml:space="preserve">Total number </w:t>
            </w:r>
          </w:p>
          <w:p w14:paraId="6782D369" w14:textId="4B6281A7" w:rsidR="00985D19" w:rsidRPr="004577E5" w:rsidRDefault="00985D19" w:rsidP="00985D19">
            <w:pPr>
              <w:jc w:val="right"/>
              <w:rPr>
                <w:rFonts w:cs="Calibri"/>
                <w:color w:val="000000"/>
                <w:sz w:val="22"/>
                <w:szCs w:val="22"/>
              </w:rPr>
            </w:pPr>
            <w:r w:rsidRPr="004577E5">
              <w:rPr>
                <w:b/>
                <w:sz w:val="22"/>
                <w:szCs w:val="22"/>
              </w:rPr>
              <w:t>of employees 202</w:t>
            </w:r>
            <w:r>
              <w:rPr>
                <w:b/>
                <w:sz w:val="22"/>
                <w:szCs w:val="22"/>
              </w:rPr>
              <w:t>1</w:t>
            </w:r>
          </w:p>
        </w:tc>
        <w:tc>
          <w:tcPr>
            <w:tcW w:w="0" w:type="auto"/>
          </w:tcPr>
          <w:p w14:paraId="20F55E54" w14:textId="1D14CB5F" w:rsidR="00985D19" w:rsidRPr="004577E5" w:rsidRDefault="00985D19" w:rsidP="00985D19">
            <w:pPr>
              <w:jc w:val="right"/>
              <w:rPr>
                <w:rFonts w:cs="Calibri"/>
                <w:color w:val="000000"/>
                <w:sz w:val="22"/>
                <w:szCs w:val="22"/>
              </w:rPr>
            </w:pPr>
            <w:r w:rsidRPr="004577E5">
              <w:rPr>
                <w:b/>
                <w:sz w:val="22"/>
                <w:szCs w:val="22"/>
              </w:rPr>
              <w:t>Number of employees reporting a disability     202</w:t>
            </w:r>
            <w:r>
              <w:rPr>
                <w:b/>
                <w:sz w:val="22"/>
                <w:szCs w:val="22"/>
              </w:rPr>
              <w:t>1</w:t>
            </w:r>
          </w:p>
        </w:tc>
        <w:tc>
          <w:tcPr>
            <w:tcW w:w="0" w:type="auto"/>
          </w:tcPr>
          <w:p w14:paraId="41CABDF9" w14:textId="77777777" w:rsidR="00985D19" w:rsidRPr="004577E5" w:rsidRDefault="00985D19" w:rsidP="00985D19">
            <w:pPr>
              <w:pStyle w:val="TableHead"/>
              <w:rPr>
                <w:sz w:val="22"/>
                <w:szCs w:val="22"/>
              </w:rPr>
            </w:pPr>
            <w:r w:rsidRPr="004577E5">
              <w:rPr>
                <w:sz w:val="22"/>
                <w:szCs w:val="22"/>
              </w:rPr>
              <w:t>%</w:t>
            </w:r>
            <w:r w:rsidRPr="004577E5">
              <w:rPr>
                <w:b w:val="0"/>
                <w:sz w:val="22"/>
                <w:szCs w:val="22"/>
              </w:rPr>
              <w:t xml:space="preserve"> </w:t>
            </w:r>
            <w:r w:rsidRPr="004577E5">
              <w:rPr>
                <w:sz w:val="22"/>
                <w:szCs w:val="22"/>
              </w:rPr>
              <w:t>of employees reporting a</w:t>
            </w:r>
          </w:p>
          <w:p w14:paraId="003087AC" w14:textId="19E6D7B8" w:rsidR="00985D19" w:rsidRPr="004577E5" w:rsidRDefault="00985D19" w:rsidP="00985D19">
            <w:pPr>
              <w:jc w:val="right"/>
              <w:rPr>
                <w:rFonts w:cs="Calibri"/>
                <w:color w:val="000000"/>
                <w:sz w:val="22"/>
                <w:szCs w:val="22"/>
              </w:rPr>
            </w:pPr>
            <w:r w:rsidRPr="004577E5">
              <w:rPr>
                <w:b/>
                <w:sz w:val="22"/>
                <w:szCs w:val="22"/>
              </w:rPr>
              <w:t>disability 202</w:t>
            </w:r>
            <w:r>
              <w:rPr>
                <w:b/>
                <w:sz w:val="22"/>
                <w:szCs w:val="22"/>
              </w:rPr>
              <w:t>1</w:t>
            </w:r>
          </w:p>
        </w:tc>
        <w:tc>
          <w:tcPr>
            <w:tcW w:w="0" w:type="auto"/>
          </w:tcPr>
          <w:p w14:paraId="47EE74A7" w14:textId="77777777" w:rsidR="00985D19" w:rsidRPr="004577E5" w:rsidRDefault="00985D19" w:rsidP="00985D19">
            <w:pPr>
              <w:spacing w:after="0"/>
              <w:rPr>
                <w:b/>
                <w:sz w:val="22"/>
                <w:szCs w:val="22"/>
              </w:rPr>
            </w:pPr>
            <w:r w:rsidRPr="004577E5">
              <w:rPr>
                <w:b/>
                <w:sz w:val="22"/>
                <w:szCs w:val="22"/>
              </w:rPr>
              <w:t xml:space="preserve">Total number </w:t>
            </w:r>
          </w:p>
          <w:p w14:paraId="60D18C14" w14:textId="21FDF719" w:rsidR="00985D19" w:rsidRDefault="00985D19" w:rsidP="00985D19">
            <w:pPr>
              <w:jc w:val="right"/>
              <w:rPr>
                <w:rFonts w:cs="Calibri"/>
                <w:color w:val="000000"/>
                <w:sz w:val="22"/>
                <w:szCs w:val="22"/>
              </w:rPr>
            </w:pPr>
            <w:r w:rsidRPr="004577E5">
              <w:rPr>
                <w:b/>
                <w:sz w:val="22"/>
                <w:szCs w:val="22"/>
              </w:rPr>
              <w:t>of employees 202</w:t>
            </w:r>
            <w:r>
              <w:rPr>
                <w:b/>
                <w:sz w:val="22"/>
                <w:szCs w:val="22"/>
              </w:rPr>
              <w:t>2</w:t>
            </w:r>
          </w:p>
        </w:tc>
        <w:tc>
          <w:tcPr>
            <w:tcW w:w="0" w:type="auto"/>
          </w:tcPr>
          <w:p w14:paraId="26FD380D" w14:textId="77777777" w:rsidR="00985D19" w:rsidRPr="004577E5" w:rsidRDefault="00985D19" w:rsidP="00985D19">
            <w:pPr>
              <w:spacing w:after="0"/>
              <w:rPr>
                <w:b/>
                <w:sz w:val="22"/>
                <w:szCs w:val="22"/>
              </w:rPr>
            </w:pPr>
            <w:r w:rsidRPr="004577E5">
              <w:rPr>
                <w:b/>
                <w:sz w:val="22"/>
                <w:szCs w:val="22"/>
              </w:rPr>
              <w:t xml:space="preserve">Number of employees reporting a disability </w:t>
            </w:r>
          </w:p>
          <w:p w14:paraId="61F7B6C1" w14:textId="5B5C0684" w:rsidR="00985D19" w:rsidRDefault="00985D19" w:rsidP="00985D19">
            <w:pPr>
              <w:jc w:val="right"/>
              <w:rPr>
                <w:rFonts w:cs="Calibri"/>
                <w:color w:val="000000"/>
                <w:sz w:val="22"/>
                <w:szCs w:val="22"/>
              </w:rPr>
            </w:pPr>
            <w:r w:rsidRPr="004577E5">
              <w:rPr>
                <w:b/>
                <w:sz w:val="22"/>
                <w:szCs w:val="22"/>
              </w:rPr>
              <w:t>202</w:t>
            </w:r>
            <w:r>
              <w:rPr>
                <w:b/>
                <w:sz w:val="22"/>
                <w:szCs w:val="22"/>
              </w:rPr>
              <w:t>2</w:t>
            </w:r>
          </w:p>
        </w:tc>
        <w:tc>
          <w:tcPr>
            <w:tcW w:w="2320" w:type="dxa"/>
          </w:tcPr>
          <w:p w14:paraId="7472CDD7" w14:textId="77777777" w:rsidR="00985D19" w:rsidRPr="004577E5" w:rsidRDefault="00985D19" w:rsidP="00985D19">
            <w:pPr>
              <w:pStyle w:val="TableHead"/>
              <w:rPr>
                <w:sz w:val="22"/>
                <w:szCs w:val="22"/>
              </w:rPr>
            </w:pPr>
            <w:r w:rsidRPr="004577E5">
              <w:rPr>
                <w:sz w:val="22"/>
                <w:szCs w:val="22"/>
              </w:rPr>
              <w:t>% of</w:t>
            </w:r>
          </w:p>
          <w:p w14:paraId="734FB3C7" w14:textId="77777777" w:rsidR="00985D19" w:rsidRPr="004577E5" w:rsidRDefault="00985D19" w:rsidP="00985D19">
            <w:pPr>
              <w:pStyle w:val="TableHead"/>
              <w:rPr>
                <w:sz w:val="22"/>
                <w:szCs w:val="22"/>
              </w:rPr>
            </w:pPr>
            <w:r w:rsidRPr="004577E5">
              <w:rPr>
                <w:sz w:val="22"/>
                <w:szCs w:val="22"/>
              </w:rPr>
              <w:t>employees reporting a</w:t>
            </w:r>
          </w:p>
          <w:p w14:paraId="53B0D11A" w14:textId="77777777" w:rsidR="00985D19" w:rsidRPr="004577E5" w:rsidRDefault="00985D19" w:rsidP="00985D19">
            <w:pPr>
              <w:spacing w:after="0"/>
              <w:rPr>
                <w:b/>
                <w:sz w:val="22"/>
                <w:szCs w:val="22"/>
              </w:rPr>
            </w:pPr>
            <w:r w:rsidRPr="004577E5">
              <w:rPr>
                <w:b/>
                <w:sz w:val="22"/>
                <w:szCs w:val="22"/>
              </w:rPr>
              <w:t xml:space="preserve">disability </w:t>
            </w:r>
          </w:p>
          <w:p w14:paraId="772AEA05" w14:textId="4152BD5E" w:rsidR="00985D19" w:rsidRDefault="00985D19" w:rsidP="00985D19">
            <w:pPr>
              <w:jc w:val="right"/>
              <w:rPr>
                <w:rFonts w:cs="Calibri"/>
                <w:color w:val="000000"/>
                <w:sz w:val="22"/>
                <w:szCs w:val="22"/>
              </w:rPr>
            </w:pPr>
            <w:r w:rsidRPr="004577E5">
              <w:rPr>
                <w:b/>
                <w:sz w:val="22"/>
                <w:szCs w:val="22"/>
              </w:rPr>
              <w:t>202</w:t>
            </w:r>
            <w:r>
              <w:rPr>
                <w:b/>
                <w:sz w:val="22"/>
                <w:szCs w:val="22"/>
              </w:rPr>
              <w:t>2</w:t>
            </w:r>
          </w:p>
        </w:tc>
      </w:tr>
      <w:tr w:rsidR="00985D19" w:rsidRPr="004577E5" w14:paraId="3D7198B6" w14:textId="77777777" w:rsidTr="00FC2472">
        <w:tc>
          <w:tcPr>
            <w:tcW w:w="1590" w:type="dxa"/>
          </w:tcPr>
          <w:p w14:paraId="378DAB97" w14:textId="1E37A0B5" w:rsidR="00985D19" w:rsidRPr="004577E5" w:rsidRDefault="00985D19" w:rsidP="00985D19">
            <w:pPr>
              <w:rPr>
                <w:rFonts w:cs="Calibri"/>
                <w:color w:val="000000"/>
                <w:sz w:val="22"/>
                <w:szCs w:val="22"/>
              </w:rPr>
            </w:pPr>
            <w:r w:rsidRPr="004577E5">
              <w:rPr>
                <w:rFonts w:cs="Calibri"/>
                <w:color w:val="000000"/>
                <w:sz w:val="22"/>
                <w:szCs w:val="22"/>
              </w:rPr>
              <w:t>Arts Council</w:t>
            </w:r>
          </w:p>
        </w:tc>
        <w:tc>
          <w:tcPr>
            <w:tcW w:w="0" w:type="auto"/>
          </w:tcPr>
          <w:p w14:paraId="50FC9101" w14:textId="571D0643" w:rsidR="00985D19" w:rsidRPr="004577E5" w:rsidRDefault="00985D19" w:rsidP="00985D19">
            <w:pPr>
              <w:jc w:val="right"/>
              <w:rPr>
                <w:rFonts w:cs="Calibri"/>
                <w:color w:val="000000"/>
                <w:sz w:val="22"/>
                <w:szCs w:val="22"/>
              </w:rPr>
            </w:pPr>
            <w:r w:rsidRPr="004577E5">
              <w:rPr>
                <w:rFonts w:cs="Calibri"/>
                <w:color w:val="000000"/>
                <w:sz w:val="22"/>
                <w:szCs w:val="22"/>
              </w:rPr>
              <w:t>75</w:t>
            </w:r>
          </w:p>
        </w:tc>
        <w:tc>
          <w:tcPr>
            <w:tcW w:w="0" w:type="auto"/>
          </w:tcPr>
          <w:p w14:paraId="0453A257" w14:textId="0F860F43" w:rsidR="00985D19" w:rsidRPr="004577E5" w:rsidRDefault="00985D19" w:rsidP="00985D19">
            <w:pPr>
              <w:jc w:val="right"/>
              <w:rPr>
                <w:rFonts w:cs="Calibri"/>
                <w:color w:val="000000"/>
                <w:sz w:val="22"/>
                <w:szCs w:val="22"/>
              </w:rPr>
            </w:pPr>
            <w:r w:rsidRPr="004577E5">
              <w:rPr>
                <w:rFonts w:cs="Calibri"/>
                <w:color w:val="000000"/>
                <w:sz w:val="22"/>
                <w:szCs w:val="22"/>
              </w:rPr>
              <w:t>2</w:t>
            </w:r>
          </w:p>
        </w:tc>
        <w:tc>
          <w:tcPr>
            <w:tcW w:w="0" w:type="auto"/>
          </w:tcPr>
          <w:p w14:paraId="1787A851" w14:textId="2504256E" w:rsidR="00985D19" w:rsidRPr="004577E5" w:rsidRDefault="00985D19" w:rsidP="00985D19">
            <w:pPr>
              <w:jc w:val="right"/>
              <w:rPr>
                <w:rFonts w:cs="Calibri"/>
                <w:color w:val="000000"/>
                <w:sz w:val="22"/>
                <w:szCs w:val="22"/>
              </w:rPr>
            </w:pPr>
            <w:r w:rsidRPr="004577E5">
              <w:rPr>
                <w:rFonts w:cs="Calibri"/>
                <w:color w:val="000000"/>
                <w:sz w:val="22"/>
                <w:szCs w:val="22"/>
              </w:rPr>
              <w:t>2.7%</w:t>
            </w:r>
          </w:p>
        </w:tc>
        <w:tc>
          <w:tcPr>
            <w:tcW w:w="0" w:type="auto"/>
          </w:tcPr>
          <w:p w14:paraId="4A50F48E" w14:textId="2B1CA742" w:rsidR="00985D19" w:rsidRDefault="00985D19" w:rsidP="00985D19">
            <w:pPr>
              <w:jc w:val="right"/>
              <w:rPr>
                <w:rFonts w:cs="Calibri"/>
                <w:color w:val="000000"/>
                <w:sz w:val="22"/>
                <w:szCs w:val="22"/>
              </w:rPr>
            </w:pPr>
            <w:r>
              <w:rPr>
                <w:rFonts w:cs="Calibri"/>
                <w:color w:val="000000"/>
                <w:sz w:val="22"/>
                <w:szCs w:val="22"/>
              </w:rPr>
              <w:t>81</w:t>
            </w:r>
          </w:p>
        </w:tc>
        <w:tc>
          <w:tcPr>
            <w:tcW w:w="0" w:type="auto"/>
          </w:tcPr>
          <w:p w14:paraId="1EC2D038" w14:textId="05494E98" w:rsidR="00985D19" w:rsidRDefault="00985D19" w:rsidP="00985D19">
            <w:pPr>
              <w:jc w:val="right"/>
              <w:rPr>
                <w:rFonts w:cs="Calibri"/>
                <w:color w:val="000000"/>
                <w:sz w:val="22"/>
                <w:szCs w:val="22"/>
              </w:rPr>
            </w:pPr>
            <w:r>
              <w:rPr>
                <w:rFonts w:cs="Calibri"/>
                <w:color w:val="000000"/>
                <w:sz w:val="22"/>
                <w:szCs w:val="22"/>
              </w:rPr>
              <w:t>1</w:t>
            </w:r>
          </w:p>
        </w:tc>
        <w:tc>
          <w:tcPr>
            <w:tcW w:w="2320" w:type="dxa"/>
          </w:tcPr>
          <w:p w14:paraId="32BAA5A6" w14:textId="6858D8DC" w:rsidR="00985D19" w:rsidRDefault="00985D19" w:rsidP="00985D19">
            <w:pPr>
              <w:jc w:val="right"/>
              <w:rPr>
                <w:rFonts w:cs="Calibri"/>
                <w:color w:val="000000"/>
                <w:sz w:val="22"/>
                <w:szCs w:val="22"/>
              </w:rPr>
            </w:pPr>
            <w:r>
              <w:rPr>
                <w:rFonts w:cs="Calibri"/>
                <w:color w:val="000000"/>
                <w:sz w:val="22"/>
                <w:szCs w:val="22"/>
              </w:rPr>
              <w:t>1.2%</w:t>
            </w:r>
          </w:p>
        </w:tc>
      </w:tr>
      <w:tr w:rsidR="00985D19" w:rsidRPr="004577E5" w14:paraId="25B856B1" w14:textId="77777777" w:rsidTr="00FC2472">
        <w:tc>
          <w:tcPr>
            <w:tcW w:w="1590" w:type="dxa"/>
          </w:tcPr>
          <w:p w14:paraId="1D173C08" w14:textId="3384603E" w:rsidR="00985D19" w:rsidRPr="004577E5" w:rsidRDefault="00985D19" w:rsidP="00985D19">
            <w:pPr>
              <w:rPr>
                <w:rFonts w:cs="Calibri"/>
                <w:color w:val="000000"/>
                <w:sz w:val="22"/>
                <w:szCs w:val="22"/>
              </w:rPr>
            </w:pPr>
            <w:r w:rsidRPr="004577E5">
              <w:rPr>
                <w:rFonts w:cs="Calibri"/>
                <w:color w:val="000000"/>
                <w:sz w:val="22"/>
                <w:szCs w:val="22"/>
              </w:rPr>
              <w:t>Broadcasting Authority of Ireland</w:t>
            </w:r>
          </w:p>
        </w:tc>
        <w:tc>
          <w:tcPr>
            <w:tcW w:w="0" w:type="auto"/>
          </w:tcPr>
          <w:p w14:paraId="1F66D2C1" w14:textId="786CE8B6" w:rsidR="00985D19" w:rsidRPr="004577E5" w:rsidRDefault="00985D19" w:rsidP="00985D19">
            <w:pPr>
              <w:jc w:val="right"/>
              <w:rPr>
                <w:rFonts w:cs="Calibri"/>
                <w:color w:val="000000"/>
                <w:sz w:val="22"/>
                <w:szCs w:val="22"/>
              </w:rPr>
            </w:pPr>
            <w:r w:rsidRPr="004577E5">
              <w:rPr>
                <w:rFonts w:cs="Calibri"/>
                <w:color w:val="000000"/>
                <w:sz w:val="22"/>
                <w:szCs w:val="22"/>
              </w:rPr>
              <w:t>42</w:t>
            </w:r>
          </w:p>
        </w:tc>
        <w:tc>
          <w:tcPr>
            <w:tcW w:w="0" w:type="auto"/>
          </w:tcPr>
          <w:p w14:paraId="46AFF368" w14:textId="0528852F" w:rsidR="00985D19" w:rsidRPr="004577E5" w:rsidRDefault="00985D19" w:rsidP="00985D19">
            <w:pPr>
              <w:jc w:val="right"/>
              <w:rPr>
                <w:rFonts w:cs="Calibri"/>
                <w:color w:val="000000"/>
                <w:sz w:val="22"/>
                <w:szCs w:val="22"/>
              </w:rPr>
            </w:pPr>
            <w:r w:rsidRPr="004577E5">
              <w:rPr>
                <w:rFonts w:cs="Calibri"/>
                <w:color w:val="000000"/>
                <w:sz w:val="22"/>
                <w:szCs w:val="22"/>
              </w:rPr>
              <w:t>5</w:t>
            </w:r>
          </w:p>
        </w:tc>
        <w:tc>
          <w:tcPr>
            <w:tcW w:w="0" w:type="auto"/>
          </w:tcPr>
          <w:p w14:paraId="6719A695" w14:textId="7E8A014F" w:rsidR="00985D19" w:rsidRPr="004577E5" w:rsidRDefault="00985D19" w:rsidP="00985D19">
            <w:pPr>
              <w:jc w:val="right"/>
              <w:rPr>
                <w:rFonts w:cs="Calibri"/>
                <w:color w:val="000000"/>
                <w:sz w:val="22"/>
                <w:szCs w:val="22"/>
              </w:rPr>
            </w:pPr>
            <w:r w:rsidRPr="004577E5">
              <w:rPr>
                <w:rFonts w:cs="Calibri"/>
                <w:color w:val="000000"/>
                <w:sz w:val="22"/>
                <w:szCs w:val="22"/>
              </w:rPr>
              <w:t>11.9%</w:t>
            </w:r>
          </w:p>
        </w:tc>
        <w:tc>
          <w:tcPr>
            <w:tcW w:w="0" w:type="auto"/>
          </w:tcPr>
          <w:p w14:paraId="5E189F1C" w14:textId="0F613E78" w:rsidR="00985D19" w:rsidRDefault="00985D19" w:rsidP="00985D19">
            <w:pPr>
              <w:jc w:val="right"/>
              <w:rPr>
                <w:rFonts w:cs="Calibri"/>
                <w:color w:val="000000"/>
                <w:sz w:val="22"/>
                <w:szCs w:val="22"/>
              </w:rPr>
            </w:pPr>
            <w:r>
              <w:rPr>
                <w:rFonts w:cs="Calibri"/>
                <w:color w:val="000000"/>
                <w:sz w:val="22"/>
                <w:szCs w:val="22"/>
              </w:rPr>
              <w:t>40</w:t>
            </w:r>
          </w:p>
        </w:tc>
        <w:tc>
          <w:tcPr>
            <w:tcW w:w="0" w:type="auto"/>
          </w:tcPr>
          <w:p w14:paraId="719CCE1C" w14:textId="20A6445B" w:rsidR="00985D19" w:rsidRDefault="00985D19" w:rsidP="00985D19">
            <w:pPr>
              <w:jc w:val="right"/>
              <w:rPr>
                <w:rFonts w:cs="Calibri"/>
                <w:color w:val="000000"/>
                <w:sz w:val="22"/>
                <w:szCs w:val="22"/>
              </w:rPr>
            </w:pPr>
            <w:r>
              <w:rPr>
                <w:rFonts w:cs="Calibri"/>
                <w:color w:val="000000"/>
                <w:sz w:val="22"/>
                <w:szCs w:val="22"/>
              </w:rPr>
              <w:t>7</w:t>
            </w:r>
          </w:p>
        </w:tc>
        <w:tc>
          <w:tcPr>
            <w:tcW w:w="2320" w:type="dxa"/>
          </w:tcPr>
          <w:p w14:paraId="279BF951" w14:textId="25992AD5" w:rsidR="00985D19" w:rsidRDefault="00985D19" w:rsidP="00985D19">
            <w:pPr>
              <w:jc w:val="right"/>
              <w:rPr>
                <w:rFonts w:cs="Calibri"/>
                <w:color w:val="000000"/>
                <w:sz w:val="22"/>
                <w:szCs w:val="22"/>
              </w:rPr>
            </w:pPr>
            <w:r>
              <w:rPr>
                <w:rFonts w:cs="Calibri"/>
                <w:color w:val="000000"/>
                <w:sz w:val="22"/>
                <w:szCs w:val="22"/>
              </w:rPr>
              <w:t>17.5%</w:t>
            </w:r>
          </w:p>
        </w:tc>
      </w:tr>
      <w:tr w:rsidR="00985D19" w:rsidRPr="004577E5" w14:paraId="0698F86D" w14:textId="77777777" w:rsidTr="00FC2472">
        <w:tc>
          <w:tcPr>
            <w:tcW w:w="1590" w:type="dxa"/>
          </w:tcPr>
          <w:p w14:paraId="0934F25A" w14:textId="000CE3B5" w:rsidR="00985D19" w:rsidRPr="004577E5" w:rsidRDefault="00985D19" w:rsidP="00985D19">
            <w:pPr>
              <w:rPr>
                <w:rFonts w:cs="Calibri"/>
                <w:color w:val="000000"/>
                <w:sz w:val="22"/>
                <w:szCs w:val="22"/>
              </w:rPr>
            </w:pPr>
            <w:r w:rsidRPr="004577E5">
              <w:rPr>
                <w:rFonts w:cs="Calibri"/>
                <w:color w:val="000000"/>
                <w:sz w:val="22"/>
                <w:szCs w:val="22"/>
              </w:rPr>
              <w:t>Chester Beatty Library</w:t>
            </w:r>
          </w:p>
        </w:tc>
        <w:tc>
          <w:tcPr>
            <w:tcW w:w="0" w:type="auto"/>
          </w:tcPr>
          <w:p w14:paraId="4F420B8F" w14:textId="09883E52" w:rsidR="00985D19" w:rsidRPr="004577E5" w:rsidRDefault="00985D19" w:rsidP="00985D19">
            <w:pPr>
              <w:jc w:val="right"/>
              <w:rPr>
                <w:rFonts w:cs="Calibri"/>
                <w:color w:val="000000"/>
                <w:sz w:val="22"/>
                <w:szCs w:val="22"/>
              </w:rPr>
            </w:pPr>
            <w:r w:rsidRPr="004577E5">
              <w:rPr>
                <w:rFonts w:cs="Calibri"/>
                <w:color w:val="000000"/>
                <w:sz w:val="22"/>
                <w:szCs w:val="22"/>
              </w:rPr>
              <w:t>43</w:t>
            </w:r>
          </w:p>
        </w:tc>
        <w:tc>
          <w:tcPr>
            <w:tcW w:w="0" w:type="auto"/>
          </w:tcPr>
          <w:p w14:paraId="33C254E0" w14:textId="4ACB7FAB" w:rsidR="00985D19" w:rsidRPr="004577E5" w:rsidRDefault="00985D19" w:rsidP="00985D19">
            <w:pPr>
              <w:jc w:val="right"/>
              <w:rPr>
                <w:rFonts w:cs="Calibri"/>
                <w:color w:val="000000"/>
                <w:sz w:val="22"/>
                <w:szCs w:val="22"/>
              </w:rPr>
            </w:pPr>
            <w:r w:rsidRPr="004577E5">
              <w:rPr>
                <w:rFonts w:cs="Calibri"/>
                <w:color w:val="000000"/>
                <w:sz w:val="22"/>
                <w:szCs w:val="22"/>
              </w:rPr>
              <w:t>1</w:t>
            </w:r>
          </w:p>
        </w:tc>
        <w:tc>
          <w:tcPr>
            <w:tcW w:w="0" w:type="auto"/>
          </w:tcPr>
          <w:p w14:paraId="413EECBE" w14:textId="7BEDAD3C" w:rsidR="00985D19" w:rsidRPr="004577E5" w:rsidRDefault="00985D19" w:rsidP="00985D19">
            <w:pPr>
              <w:jc w:val="right"/>
              <w:rPr>
                <w:rFonts w:cs="Calibri"/>
                <w:color w:val="000000"/>
                <w:sz w:val="22"/>
                <w:szCs w:val="22"/>
              </w:rPr>
            </w:pPr>
            <w:r w:rsidRPr="004577E5">
              <w:rPr>
                <w:rFonts w:cs="Calibri"/>
                <w:color w:val="000000"/>
                <w:sz w:val="22"/>
                <w:szCs w:val="22"/>
              </w:rPr>
              <w:t>2.3%</w:t>
            </w:r>
          </w:p>
        </w:tc>
        <w:tc>
          <w:tcPr>
            <w:tcW w:w="0" w:type="auto"/>
          </w:tcPr>
          <w:p w14:paraId="260D06EC" w14:textId="681BD6EC" w:rsidR="00985D19" w:rsidRDefault="00985D19" w:rsidP="00985D19">
            <w:pPr>
              <w:jc w:val="right"/>
              <w:rPr>
                <w:rFonts w:cs="Calibri"/>
                <w:color w:val="000000"/>
                <w:sz w:val="22"/>
                <w:szCs w:val="22"/>
              </w:rPr>
            </w:pPr>
            <w:r>
              <w:rPr>
                <w:rFonts w:cs="Calibri"/>
                <w:color w:val="000000"/>
                <w:sz w:val="22"/>
                <w:szCs w:val="22"/>
              </w:rPr>
              <w:t>43</w:t>
            </w:r>
          </w:p>
        </w:tc>
        <w:tc>
          <w:tcPr>
            <w:tcW w:w="0" w:type="auto"/>
          </w:tcPr>
          <w:p w14:paraId="5CCF53AA" w14:textId="0F110CF4" w:rsidR="00985D19" w:rsidRDefault="00985D19" w:rsidP="00985D19">
            <w:pPr>
              <w:jc w:val="right"/>
              <w:rPr>
                <w:rFonts w:cs="Calibri"/>
                <w:color w:val="000000"/>
                <w:sz w:val="22"/>
                <w:szCs w:val="22"/>
              </w:rPr>
            </w:pPr>
            <w:r>
              <w:rPr>
                <w:rFonts w:cs="Calibri"/>
                <w:color w:val="000000"/>
                <w:sz w:val="22"/>
                <w:szCs w:val="22"/>
              </w:rPr>
              <w:t>1</w:t>
            </w:r>
          </w:p>
        </w:tc>
        <w:tc>
          <w:tcPr>
            <w:tcW w:w="2320" w:type="dxa"/>
          </w:tcPr>
          <w:p w14:paraId="18C988FC" w14:textId="1C2AB1BA" w:rsidR="00985D19" w:rsidRDefault="00985D19" w:rsidP="00985D19">
            <w:pPr>
              <w:jc w:val="right"/>
              <w:rPr>
                <w:rFonts w:cs="Calibri"/>
                <w:color w:val="000000"/>
                <w:sz w:val="22"/>
                <w:szCs w:val="22"/>
              </w:rPr>
            </w:pPr>
            <w:r>
              <w:rPr>
                <w:rFonts w:cs="Calibri"/>
                <w:color w:val="000000"/>
                <w:sz w:val="22"/>
                <w:szCs w:val="22"/>
              </w:rPr>
              <w:t>2.3%</w:t>
            </w:r>
          </w:p>
        </w:tc>
      </w:tr>
      <w:tr w:rsidR="00985D19" w:rsidRPr="004577E5" w14:paraId="745F7076" w14:textId="77777777" w:rsidTr="00FC2472">
        <w:tc>
          <w:tcPr>
            <w:tcW w:w="1590" w:type="dxa"/>
          </w:tcPr>
          <w:p w14:paraId="6A5BFB0C" w14:textId="2CF0F22E" w:rsidR="00985D19" w:rsidRPr="004577E5" w:rsidRDefault="00985D19" w:rsidP="00985D19">
            <w:pPr>
              <w:rPr>
                <w:rFonts w:cs="Calibri"/>
                <w:color w:val="000000"/>
                <w:sz w:val="22"/>
                <w:szCs w:val="22"/>
              </w:rPr>
            </w:pPr>
            <w:r w:rsidRPr="004577E5">
              <w:rPr>
                <w:rFonts w:cs="Calibri"/>
                <w:color w:val="000000"/>
                <w:sz w:val="22"/>
                <w:szCs w:val="22"/>
              </w:rPr>
              <w:t>Crawford Art Gallery</w:t>
            </w:r>
          </w:p>
        </w:tc>
        <w:tc>
          <w:tcPr>
            <w:tcW w:w="0" w:type="auto"/>
          </w:tcPr>
          <w:p w14:paraId="65BAFBA2" w14:textId="32879EBC" w:rsidR="00985D19" w:rsidRPr="004577E5" w:rsidRDefault="00985D19" w:rsidP="00985D19">
            <w:pPr>
              <w:jc w:val="right"/>
              <w:rPr>
                <w:rFonts w:cs="Calibri"/>
                <w:color w:val="000000"/>
                <w:sz w:val="22"/>
                <w:szCs w:val="22"/>
              </w:rPr>
            </w:pPr>
            <w:r w:rsidRPr="004577E5">
              <w:rPr>
                <w:rFonts w:cs="Calibri"/>
                <w:color w:val="000000"/>
                <w:sz w:val="22"/>
                <w:szCs w:val="22"/>
              </w:rPr>
              <w:t>19</w:t>
            </w:r>
          </w:p>
        </w:tc>
        <w:tc>
          <w:tcPr>
            <w:tcW w:w="0" w:type="auto"/>
          </w:tcPr>
          <w:p w14:paraId="515474DB" w14:textId="17E16BD7" w:rsidR="00985D19" w:rsidRPr="004577E5" w:rsidRDefault="00985D19" w:rsidP="00985D19">
            <w:pPr>
              <w:jc w:val="right"/>
              <w:rPr>
                <w:rFonts w:cs="Calibri"/>
                <w:color w:val="000000"/>
                <w:sz w:val="22"/>
                <w:szCs w:val="22"/>
              </w:rPr>
            </w:pPr>
            <w:r w:rsidRPr="004577E5">
              <w:rPr>
                <w:rFonts w:cs="Calibri"/>
                <w:color w:val="000000"/>
                <w:sz w:val="22"/>
                <w:szCs w:val="22"/>
              </w:rPr>
              <w:t>3</w:t>
            </w:r>
          </w:p>
        </w:tc>
        <w:tc>
          <w:tcPr>
            <w:tcW w:w="0" w:type="auto"/>
          </w:tcPr>
          <w:p w14:paraId="3013CAD4" w14:textId="3DF2CCE8" w:rsidR="00985D19" w:rsidRPr="004577E5" w:rsidRDefault="00985D19" w:rsidP="00985D19">
            <w:pPr>
              <w:jc w:val="right"/>
              <w:rPr>
                <w:rFonts w:cs="Calibri"/>
                <w:color w:val="000000"/>
                <w:sz w:val="22"/>
                <w:szCs w:val="22"/>
              </w:rPr>
            </w:pPr>
            <w:r w:rsidRPr="004577E5">
              <w:rPr>
                <w:rFonts w:cs="Calibri"/>
                <w:color w:val="000000"/>
                <w:sz w:val="22"/>
                <w:szCs w:val="22"/>
              </w:rPr>
              <w:t>15.8%</w:t>
            </w:r>
          </w:p>
        </w:tc>
        <w:tc>
          <w:tcPr>
            <w:tcW w:w="0" w:type="auto"/>
          </w:tcPr>
          <w:p w14:paraId="0258F59F" w14:textId="26ABA3CB" w:rsidR="00985D19" w:rsidRDefault="00985D19" w:rsidP="00985D19">
            <w:pPr>
              <w:jc w:val="right"/>
              <w:rPr>
                <w:rFonts w:cs="Calibri"/>
                <w:color w:val="000000"/>
                <w:sz w:val="22"/>
                <w:szCs w:val="22"/>
              </w:rPr>
            </w:pPr>
            <w:r>
              <w:rPr>
                <w:rFonts w:cs="Calibri"/>
                <w:color w:val="000000"/>
                <w:sz w:val="22"/>
                <w:szCs w:val="22"/>
              </w:rPr>
              <w:t>23</w:t>
            </w:r>
          </w:p>
        </w:tc>
        <w:tc>
          <w:tcPr>
            <w:tcW w:w="0" w:type="auto"/>
          </w:tcPr>
          <w:p w14:paraId="29D376A2" w14:textId="21B76F7A" w:rsidR="00985D19" w:rsidRDefault="00985D19" w:rsidP="00985D19">
            <w:pPr>
              <w:jc w:val="right"/>
              <w:rPr>
                <w:rFonts w:cs="Calibri"/>
                <w:color w:val="000000"/>
                <w:sz w:val="22"/>
                <w:szCs w:val="22"/>
              </w:rPr>
            </w:pPr>
            <w:r>
              <w:rPr>
                <w:rFonts w:cs="Calibri"/>
                <w:color w:val="000000"/>
                <w:sz w:val="22"/>
                <w:szCs w:val="22"/>
              </w:rPr>
              <w:t>3</w:t>
            </w:r>
          </w:p>
        </w:tc>
        <w:tc>
          <w:tcPr>
            <w:tcW w:w="2320" w:type="dxa"/>
          </w:tcPr>
          <w:p w14:paraId="307ADC3A" w14:textId="153C4ECD" w:rsidR="00985D19" w:rsidRDefault="00985D19" w:rsidP="00985D19">
            <w:pPr>
              <w:jc w:val="right"/>
              <w:rPr>
                <w:rFonts w:cs="Calibri"/>
                <w:color w:val="000000"/>
                <w:sz w:val="22"/>
                <w:szCs w:val="22"/>
              </w:rPr>
            </w:pPr>
            <w:r>
              <w:rPr>
                <w:rFonts w:cs="Calibri"/>
                <w:color w:val="000000"/>
                <w:sz w:val="22"/>
                <w:szCs w:val="22"/>
              </w:rPr>
              <w:t>13.0%</w:t>
            </w:r>
          </w:p>
        </w:tc>
      </w:tr>
      <w:tr w:rsidR="00985D19" w:rsidRPr="004577E5" w14:paraId="5493E7C2" w14:textId="77777777" w:rsidTr="00FC2472">
        <w:tc>
          <w:tcPr>
            <w:tcW w:w="1590" w:type="dxa"/>
          </w:tcPr>
          <w:p w14:paraId="46DA51F1" w14:textId="45A7B9C8" w:rsidR="00985D19" w:rsidRPr="004577E5" w:rsidRDefault="00985D19" w:rsidP="00985D19">
            <w:pPr>
              <w:rPr>
                <w:rFonts w:cs="Calibri"/>
                <w:color w:val="000000"/>
                <w:sz w:val="22"/>
                <w:szCs w:val="22"/>
              </w:rPr>
            </w:pPr>
            <w:r w:rsidRPr="004577E5">
              <w:rPr>
                <w:rFonts w:cs="Calibri"/>
                <w:color w:val="000000"/>
                <w:sz w:val="22"/>
                <w:szCs w:val="22"/>
              </w:rPr>
              <w:t>Fáilte Ireland</w:t>
            </w:r>
          </w:p>
        </w:tc>
        <w:tc>
          <w:tcPr>
            <w:tcW w:w="0" w:type="auto"/>
          </w:tcPr>
          <w:p w14:paraId="40866524" w14:textId="4E8F070C" w:rsidR="00985D19" w:rsidRPr="004577E5" w:rsidRDefault="00985D19" w:rsidP="00985D19">
            <w:pPr>
              <w:jc w:val="right"/>
              <w:rPr>
                <w:rFonts w:cs="Calibri"/>
                <w:color w:val="000000"/>
                <w:sz w:val="22"/>
                <w:szCs w:val="22"/>
              </w:rPr>
            </w:pPr>
            <w:r w:rsidRPr="004577E5">
              <w:rPr>
                <w:rFonts w:cs="Calibri"/>
                <w:color w:val="000000"/>
                <w:sz w:val="22"/>
                <w:szCs w:val="22"/>
              </w:rPr>
              <w:t>382</w:t>
            </w:r>
          </w:p>
        </w:tc>
        <w:tc>
          <w:tcPr>
            <w:tcW w:w="0" w:type="auto"/>
          </w:tcPr>
          <w:p w14:paraId="7EE2E0B4" w14:textId="600E2595" w:rsidR="00985D19" w:rsidRPr="004577E5" w:rsidRDefault="00985D19" w:rsidP="00985D19">
            <w:pPr>
              <w:jc w:val="right"/>
              <w:rPr>
                <w:rFonts w:cs="Calibri"/>
                <w:color w:val="000000"/>
                <w:sz w:val="22"/>
                <w:szCs w:val="22"/>
              </w:rPr>
            </w:pPr>
            <w:r w:rsidRPr="004577E5">
              <w:rPr>
                <w:rFonts w:cs="Calibri"/>
                <w:color w:val="000000"/>
                <w:sz w:val="22"/>
                <w:szCs w:val="22"/>
              </w:rPr>
              <w:t>12</w:t>
            </w:r>
          </w:p>
        </w:tc>
        <w:tc>
          <w:tcPr>
            <w:tcW w:w="0" w:type="auto"/>
          </w:tcPr>
          <w:p w14:paraId="60D3564B" w14:textId="19C4B73F" w:rsidR="00985D19" w:rsidRPr="004577E5" w:rsidRDefault="00985D19" w:rsidP="00985D19">
            <w:pPr>
              <w:jc w:val="right"/>
              <w:rPr>
                <w:rFonts w:cs="Calibri"/>
                <w:color w:val="000000"/>
                <w:sz w:val="22"/>
                <w:szCs w:val="22"/>
              </w:rPr>
            </w:pPr>
            <w:r w:rsidRPr="004577E5">
              <w:rPr>
                <w:rFonts w:cs="Calibri"/>
                <w:color w:val="000000"/>
                <w:sz w:val="22"/>
                <w:szCs w:val="22"/>
              </w:rPr>
              <w:t>3.1%</w:t>
            </w:r>
          </w:p>
        </w:tc>
        <w:tc>
          <w:tcPr>
            <w:tcW w:w="0" w:type="auto"/>
          </w:tcPr>
          <w:p w14:paraId="26A273A8" w14:textId="2AB6B7DE" w:rsidR="00985D19" w:rsidRDefault="00985D19" w:rsidP="00985D19">
            <w:pPr>
              <w:jc w:val="right"/>
              <w:rPr>
                <w:rFonts w:cs="Calibri"/>
                <w:color w:val="000000"/>
                <w:sz w:val="22"/>
                <w:szCs w:val="22"/>
              </w:rPr>
            </w:pPr>
            <w:r>
              <w:rPr>
                <w:rFonts w:cs="Calibri"/>
                <w:color w:val="000000"/>
                <w:sz w:val="22"/>
                <w:szCs w:val="22"/>
              </w:rPr>
              <w:t>398</w:t>
            </w:r>
          </w:p>
        </w:tc>
        <w:tc>
          <w:tcPr>
            <w:tcW w:w="0" w:type="auto"/>
          </w:tcPr>
          <w:p w14:paraId="413BC9E6" w14:textId="3EB87A2B" w:rsidR="00985D19" w:rsidRDefault="00985D19" w:rsidP="00985D19">
            <w:pPr>
              <w:jc w:val="right"/>
              <w:rPr>
                <w:rFonts w:cs="Calibri"/>
                <w:color w:val="000000"/>
                <w:sz w:val="22"/>
                <w:szCs w:val="22"/>
              </w:rPr>
            </w:pPr>
            <w:r>
              <w:rPr>
                <w:rFonts w:cs="Calibri"/>
                <w:color w:val="000000"/>
                <w:sz w:val="22"/>
                <w:szCs w:val="22"/>
              </w:rPr>
              <w:t>18</w:t>
            </w:r>
          </w:p>
        </w:tc>
        <w:tc>
          <w:tcPr>
            <w:tcW w:w="2320" w:type="dxa"/>
          </w:tcPr>
          <w:p w14:paraId="2DBD5C8A" w14:textId="46339824" w:rsidR="00985D19" w:rsidRDefault="00985D19" w:rsidP="00985D19">
            <w:pPr>
              <w:jc w:val="right"/>
              <w:rPr>
                <w:rFonts w:cs="Calibri"/>
                <w:color w:val="000000"/>
                <w:sz w:val="22"/>
                <w:szCs w:val="22"/>
              </w:rPr>
            </w:pPr>
            <w:r>
              <w:rPr>
                <w:rFonts w:cs="Calibri"/>
                <w:color w:val="000000"/>
                <w:sz w:val="22"/>
                <w:szCs w:val="22"/>
              </w:rPr>
              <w:t>4.5%</w:t>
            </w:r>
          </w:p>
        </w:tc>
      </w:tr>
      <w:tr w:rsidR="00985D19" w:rsidRPr="004577E5" w14:paraId="3F1BD998" w14:textId="77777777" w:rsidTr="00FC2472">
        <w:tc>
          <w:tcPr>
            <w:tcW w:w="1590" w:type="dxa"/>
          </w:tcPr>
          <w:p w14:paraId="3849F60F" w14:textId="446072B9" w:rsidR="00985D19" w:rsidRPr="004577E5" w:rsidRDefault="00985D19" w:rsidP="00985D19">
            <w:pPr>
              <w:rPr>
                <w:rFonts w:cs="Calibri"/>
                <w:color w:val="000000"/>
                <w:sz w:val="22"/>
                <w:szCs w:val="22"/>
              </w:rPr>
            </w:pPr>
            <w:r w:rsidRPr="004577E5">
              <w:rPr>
                <w:rFonts w:cs="Calibri"/>
                <w:color w:val="000000"/>
                <w:sz w:val="22"/>
                <w:szCs w:val="22"/>
              </w:rPr>
              <w:t>Forás Na Gaeilge</w:t>
            </w:r>
          </w:p>
        </w:tc>
        <w:tc>
          <w:tcPr>
            <w:tcW w:w="0" w:type="auto"/>
          </w:tcPr>
          <w:p w14:paraId="08717CB0" w14:textId="431DEE49" w:rsidR="00985D19" w:rsidRPr="004577E5" w:rsidRDefault="00985D19" w:rsidP="00985D19">
            <w:pPr>
              <w:jc w:val="right"/>
              <w:rPr>
                <w:rFonts w:cs="Calibri"/>
                <w:color w:val="000000"/>
                <w:sz w:val="22"/>
                <w:szCs w:val="22"/>
              </w:rPr>
            </w:pPr>
            <w:r w:rsidRPr="004577E5">
              <w:rPr>
                <w:rFonts w:cs="Calibri"/>
                <w:color w:val="000000"/>
                <w:sz w:val="22"/>
                <w:szCs w:val="22"/>
              </w:rPr>
              <w:t>57</w:t>
            </w:r>
          </w:p>
        </w:tc>
        <w:tc>
          <w:tcPr>
            <w:tcW w:w="0" w:type="auto"/>
          </w:tcPr>
          <w:p w14:paraId="04C91A3F" w14:textId="6E4B4082" w:rsidR="00985D19" w:rsidRPr="004577E5" w:rsidRDefault="00985D19" w:rsidP="00985D19">
            <w:pPr>
              <w:jc w:val="right"/>
              <w:rPr>
                <w:rFonts w:cs="Calibri"/>
                <w:color w:val="000000"/>
                <w:sz w:val="22"/>
                <w:szCs w:val="22"/>
              </w:rPr>
            </w:pPr>
            <w:r w:rsidRPr="004577E5">
              <w:rPr>
                <w:rFonts w:cs="Calibri"/>
                <w:color w:val="000000"/>
                <w:sz w:val="22"/>
                <w:szCs w:val="22"/>
              </w:rPr>
              <w:t>2</w:t>
            </w:r>
          </w:p>
        </w:tc>
        <w:tc>
          <w:tcPr>
            <w:tcW w:w="0" w:type="auto"/>
          </w:tcPr>
          <w:p w14:paraId="3200A01B" w14:textId="57F69AD5" w:rsidR="00985D19" w:rsidRPr="004577E5" w:rsidRDefault="00985D19" w:rsidP="00985D19">
            <w:pPr>
              <w:jc w:val="right"/>
              <w:rPr>
                <w:rFonts w:cs="Calibri"/>
                <w:color w:val="000000"/>
                <w:sz w:val="22"/>
                <w:szCs w:val="22"/>
              </w:rPr>
            </w:pPr>
            <w:r w:rsidRPr="004577E5">
              <w:rPr>
                <w:rFonts w:cs="Calibri"/>
                <w:color w:val="000000"/>
                <w:sz w:val="22"/>
                <w:szCs w:val="22"/>
              </w:rPr>
              <w:t>3.5%</w:t>
            </w:r>
          </w:p>
        </w:tc>
        <w:tc>
          <w:tcPr>
            <w:tcW w:w="0" w:type="auto"/>
          </w:tcPr>
          <w:p w14:paraId="5D0AEEA5" w14:textId="2A9ED4E4" w:rsidR="00985D19" w:rsidRDefault="00985D19" w:rsidP="00985D19">
            <w:pPr>
              <w:jc w:val="right"/>
              <w:rPr>
                <w:rFonts w:cs="Calibri"/>
                <w:color w:val="000000"/>
                <w:sz w:val="22"/>
                <w:szCs w:val="22"/>
              </w:rPr>
            </w:pPr>
            <w:r>
              <w:rPr>
                <w:rFonts w:cs="Calibri"/>
                <w:color w:val="000000"/>
                <w:sz w:val="22"/>
                <w:szCs w:val="22"/>
              </w:rPr>
              <w:t>58</w:t>
            </w:r>
          </w:p>
        </w:tc>
        <w:tc>
          <w:tcPr>
            <w:tcW w:w="0" w:type="auto"/>
          </w:tcPr>
          <w:p w14:paraId="07720AAF" w14:textId="2A59FDCE" w:rsidR="00985D19" w:rsidRDefault="00985D19" w:rsidP="00985D19">
            <w:pPr>
              <w:jc w:val="right"/>
              <w:rPr>
                <w:rFonts w:cs="Calibri"/>
                <w:color w:val="000000"/>
                <w:sz w:val="22"/>
                <w:szCs w:val="22"/>
              </w:rPr>
            </w:pPr>
            <w:r>
              <w:rPr>
                <w:rFonts w:cs="Calibri"/>
                <w:color w:val="000000"/>
                <w:sz w:val="22"/>
                <w:szCs w:val="22"/>
              </w:rPr>
              <w:t>4</w:t>
            </w:r>
          </w:p>
        </w:tc>
        <w:tc>
          <w:tcPr>
            <w:tcW w:w="2320" w:type="dxa"/>
          </w:tcPr>
          <w:p w14:paraId="3D108DC7" w14:textId="596A8C8B" w:rsidR="00985D19" w:rsidRDefault="00985D19" w:rsidP="00985D19">
            <w:pPr>
              <w:jc w:val="right"/>
              <w:rPr>
                <w:rFonts w:cs="Calibri"/>
                <w:color w:val="000000"/>
                <w:sz w:val="22"/>
                <w:szCs w:val="22"/>
              </w:rPr>
            </w:pPr>
            <w:r>
              <w:rPr>
                <w:rFonts w:cs="Calibri"/>
                <w:color w:val="000000"/>
                <w:sz w:val="22"/>
                <w:szCs w:val="22"/>
              </w:rPr>
              <w:t>6.9%</w:t>
            </w:r>
          </w:p>
        </w:tc>
      </w:tr>
      <w:tr w:rsidR="00985D19" w:rsidRPr="004577E5" w14:paraId="24760D75" w14:textId="77777777" w:rsidTr="00FC2472">
        <w:tc>
          <w:tcPr>
            <w:tcW w:w="1590" w:type="dxa"/>
          </w:tcPr>
          <w:p w14:paraId="5635B194" w14:textId="679E9FFD" w:rsidR="00985D19" w:rsidRPr="004577E5" w:rsidRDefault="00985D19" w:rsidP="00985D19">
            <w:pPr>
              <w:rPr>
                <w:rFonts w:cs="Calibri"/>
                <w:color w:val="000000"/>
                <w:sz w:val="22"/>
                <w:szCs w:val="22"/>
              </w:rPr>
            </w:pPr>
            <w:r w:rsidRPr="004577E5">
              <w:rPr>
                <w:rFonts w:cs="Calibri"/>
                <w:color w:val="000000"/>
                <w:sz w:val="22"/>
                <w:szCs w:val="22"/>
              </w:rPr>
              <w:t>Irish Museum of Modern Art (IMMA)</w:t>
            </w:r>
          </w:p>
        </w:tc>
        <w:tc>
          <w:tcPr>
            <w:tcW w:w="0" w:type="auto"/>
          </w:tcPr>
          <w:p w14:paraId="64EA5D5F" w14:textId="4B6C918A" w:rsidR="00985D19" w:rsidRPr="004577E5" w:rsidRDefault="00985D19" w:rsidP="00985D19">
            <w:pPr>
              <w:jc w:val="right"/>
              <w:rPr>
                <w:rFonts w:cs="Calibri"/>
                <w:color w:val="000000"/>
                <w:sz w:val="22"/>
                <w:szCs w:val="22"/>
              </w:rPr>
            </w:pPr>
            <w:r w:rsidRPr="004577E5">
              <w:rPr>
                <w:rFonts w:cs="Calibri"/>
                <w:color w:val="000000"/>
                <w:sz w:val="22"/>
                <w:szCs w:val="22"/>
              </w:rPr>
              <w:t>102</w:t>
            </w:r>
          </w:p>
        </w:tc>
        <w:tc>
          <w:tcPr>
            <w:tcW w:w="0" w:type="auto"/>
          </w:tcPr>
          <w:p w14:paraId="0E0CE0DA" w14:textId="1F1832CD" w:rsidR="00985D19" w:rsidRPr="004577E5" w:rsidRDefault="00985D19" w:rsidP="00985D19">
            <w:pPr>
              <w:jc w:val="right"/>
              <w:rPr>
                <w:rFonts w:cs="Calibri"/>
                <w:color w:val="000000"/>
                <w:sz w:val="22"/>
                <w:szCs w:val="22"/>
              </w:rPr>
            </w:pPr>
            <w:r w:rsidRPr="004577E5">
              <w:rPr>
                <w:rFonts w:cs="Calibri"/>
                <w:color w:val="000000"/>
                <w:sz w:val="22"/>
                <w:szCs w:val="22"/>
              </w:rPr>
              <w:t>5</w:t>
            </w:r>
          </w:p>
        </w:tc>
        <w:tc>
          <w:tcPr>
            <w:tcW w:w="0" w:type="auto"/>
          </w:tcPr>
          <w:p w14:paraId="1F1ACEC8" w14:textId="7E61A9E0" w:rsidR="00985D19" w:rsidRPr="004577E5" w:rsidRDefault="00985D19" w:rsidP="00985D19">
            <w:pPr>
              <w:jc w:val="right"/>
              <w:rPr>
                <w:rFonts w:cs="Calibri"/>
                <w:color w:val="000000"/>
                <w:sz w:val="22"/>
                <w:szCs w:val="22"/>
              </w:rPr>
            </w:pPr>
            <w:r w:rsidRPr="004577E5">
              <w:rPr>
                <w:rFonts w:cs="Calibri"/>
                <w:color w:val="000000"/>
                <w:sz w:val="22"/>
                <w:szCs w:val="22"/>
              </w:rPr>
              <w:t>4.9%</w:t>
            </w:r>
          </w:p>
        </w:tc>
        <w:tc>
          <w:tcPr>
            <w:tcW w:w="0" w:type="auto"/>
          </w:tcPr>
          <w:p w14:paraId="627BA259" w14:textId="03BEFA8D" w:rsidR="00985D19" w:rsidRDefault="00985D19" w:rsidP="00985D19">
            <w:pPr>
              <w:jc w:val="right"/>
              <w:rPr>
                <w:rFonts w:cs="Calibri"/>
                <w:color w:val="000000"/>
                <w:sz w:val="22"/>
                <w:szCs w:val="22"/>
              </w:rPr>
            </w:pPr>
            <w:r>
              <w:rPr>
                <w:rFonts w:cs="Calibri"/>
                <w:color w:val="000000"/>
                <w:sz w:val="22"/>
                <w:szCs w:val="22"/>
              </w:rPr>
              <w:t>96</w:t>
            </w:r>
          </w:p>
        </w:tc>
        <w:tc>
          <w:tcPr>
            <w:tcW w:w="0" w:type="auto"/>
          </w:tcPr>
          <w:p w14:paraId="3C102C6A" w14:textId="509EB695" w:rsidR="00985D19" w:rsidRDefault="00985D19" w:rsidP="00985D19">
            <w:pPr>
              <w:jc w:val="right"/>
              <w:rPr>
                <w:rFonts w:cs="Calibri"/>
                <w:color w:val="000000"/>
                <w:sz w:val="22"/>
                <w:szCs w:val="22"/>
              </w:rPr>
            </w:pPr>
            <w:r>
              <w:rPr>
                <w:rFonts w:cs="Calibri"/>
                <w:color w:val="000000"/>
                <w:sz w:val="22"/>
                <w:szCs w:val="22"/>
              </w:rPr>
              <w:t>11</w:t>
            </w:r>
          </w:p>
        </w:tc>
        <w:tc>
          <w:tcPr>
            <w:tcW w:w="2320" w:type="dxa"/>
          </w:tcPr>
          <w:p w14:paraId="5384B08E" w14:textId="73CF5747" w:rsidR="00985D19" w:rsidRDefault="00985D19" w:rsidP="00985D19">
            <w:pPr>
              <w:jc w:val="right"/>
              <w:rPr>
                <w:rFonts w:cs="Calibri"/>
                <w:color w:val="000000"/>
                <w:sz w:val="22"/>
                <w:szCs w:val="22"/>
              </w:rPr>
            </w:pPr>
            <w:r>
              <w:rPr>
                <w:rFonts w:cs="Calibri"/>
                <w:color w:val="000000"/>
                <w:sz w:val="22"/>
                <w:szCs w:val="22"/>
              </w:rPr>
              <w:t>11.5%</w:t>
            </w:r>
          </w:p>
        </w:tc>
      </w:tr>
      <w:tr w:rsidR="00985D19" w:rsidRPr="004577E5" w14:paraId="31377CDF" w14:textId="77777777" w:rsidTr="00FC2472">
        <w:tc>
          <w:tcPr>
            <w:tcW w:w="1590" w:type="dxa"/>
          </w:tcPr>
          <w:p w14:paraId="110C7BF7" w14:textId="7454473C" w:rsidR="00985D19" w:rsidRPr="004577E5" w:rsidRDefault="00985D19" w:rsidP="00985D19">
            <w:pPr>
              <w:rPr>
                <w:rFonts w:cs="Calibri"/>
                <w:color w:val="000000"/>
                <w:sz w:val="22"/>
                <w:szCs w:val="22"/>
              </w:rPr>
            </w:pPr>
            <w:r w:rsidRPr="004577E5">
              <w:rPr>
                <w:rFonts w:cs="Calibri"/>
                <w:color w:val="000000"/>
                <w:sz w:val="22"/>
                <w:szCs w:val="22"/>
              </w:rPr>
              <w:t>National Concert Hall</w:t>
            </w:r>
          </w:p>
        </w:tc>
        <w:tc>
          <w:tcPr>
            <w:tcW w:w="0" w:type="auto"/>
          </w:tcPr>
          <w:p w14:paraId="26FC5B45" w14:textId="603DC028" w:rsidR="00985D19" w:rsidRPr="004577E5" w:rsidRDefault="00985D19" w:rsidP="00985D19">
            <w:pPr>
              <w:jc w:val="right"/>
              <w:rPr>
                <w:rFonts w:cs="Calibri"/>
                <w:color w:val="000000"/>
                <w:sz w:val="22"/>
                <w:szCs w:val="22"/>
              </w:rPr>
            </w:pPr>
            <w:r w:rsidRPr="004577E5">
              <w:rPr>
                <w:rFonts w:cs="Calibri"/>
                <w:color w:val="000000"/>
                <w:sz w:val="22"/>
                <w:szCs w:val="22"/>
              </w:rPr>
              <w:t>117</w:t>
            </w:r>
          </w:p>
        </w:tc>
        <w:tc>
          <w:tcPr>
            <w:tcW w:w="0" w:type="auto"/>
          </w:tcPr>
          <w:p w14:paraId="3A4623CF" w14:textId="3C01A602" w:rsidR="00985D19" w:rsidRPr="004577E5" w:rsidRDefault="00985D19" w:rsidP="00985D19">
            <w:pPr>
              <w:jc w:val="right"/>
              <w:rPr>
                <w:rFonts w:cs="Calibri"/>
                <w:color w:val="000000"/>
                <w:sz w:val="22"/>
                <w:szCs w:val="22"/>
              </w:rPr>
            </w:pPr>
            <w:r w:rsidRPr="004577E5">
              <w:rPr>
                <w:rFonts w:cs="Calibri"/>
                <w:color w:val="000000"/>
                <w:sz w:val="22"/>
                <w:szCs w:val="22"/>
              </w:rPr>
              <w:t>10</w:t>
            </w:r>
          </w:p>
        </w:tc>
        <w:tc>
          <w:tcPr>
            <w:tcW w:w="0" w:type="auto"/>
          </w:tcPr>
          <w:p w14:paraId="2FD88974" w14:textId="264A6EA6" w:rsidR="00985D19" w:rsidRPr="004577E5" w:rsidRDefault="00985D19" w:rsidP="00985D19">
            <w:pPr>
              <w:jc w:val="right"/>
              <w:rPr>
                <w:rFonts w:cs="Calibri"/>
                <w:color w:val="000000"/>
                <w:sz w:val="22"/>
                <w:szCs w:val="22"/>
              </w:rPr>
            </w:pPr>
            <w:r w:rsidRPr="004577E5">
              <w:rPr>
                <w:rFonts w:cs="Calibri"/>
                <w:color w:val="000000"/>
                <w:sz w:val="22"/>
                <w:szCs w:val="22"/>
              </w:rPr>
              <w:t>8.5%</w:t>
            </w:r>
          </w:p>
        </w:tc>
        <w:tc>
          <w:tcPr>
            <w:tcW w:w="0" w:type="auto"/>
          </w:tcPr>
          <w:p w14:paraId="211DE509" w14:textId="10839A91" w:rsidR="00985D19" w:rsidRDefault="00985D19" w:rsidP="00985D19">
            <w:pPr>
              <w:jc w:val="right"/>
              <w:rPr>
                <w:rFonts w:cs="Calibri"/>
                <w:color w:val="000000"/>
                <w:sz w:val="22"/>
                <w:szCs w:val="22"/>
              </w:rPr>
            </w:pPr>
            <w:r>
              <w:rPr>
                <w:rFonts w:cs="Calibri"/>
                <w:color w:val="000000"/>
                <w:sz w:val="22"/>
                <w:szCs w:val="22"/>
              </w:rPr>
              <w:t>120</w:t>
            </w:r>
          </w:p>
        </w:tc>
        <w:tc>
          <w:tcPr>
            <w:tcW w:w="0" w:type="auto"/>
          </w:tcPr>
          <w:p w14:paraId="12E83F19" w14:textId="23CD725C" w:rsidR="00985D19" w:rsidRDefault="00985D19" w:rsidP="00985D19">
            <w:pPr>
              <w:jc w:val="right"/>
              <w:rPr>
                <w:rFonts w:cs="Calibri"/>
                <w:color w:val="000000"/>
                <w:sz w:val="22"/>
                <w:szCs w:val="22"/>
              </w:rPr>
            </w:pPr>
            <w:r>
              <w:rPr>
                <w:rFonts w:cs="Calibri"/>
                <w:color w:val="000000"/>
                <w:sz w:val="22"/>
                <w:szCs w:val="22"/>
              </w:rPr>
              <w:t>14</w:t>
            </w:r>
          </w:p>
        </w:tc>
        <w:tc>
          <w:tcPr>
            <w:tcW w:w="2320" w:type="dxa"/>
          </w:tcPr>
          <w:p w14:paraId="72C957BA" w14:textId="1BA90A6B" w:rsidR="00985D19" w:rsidRDefault="00985D19" w:rsidP="00985D19">
            <w:pPr>
              <w:jc w:val="right"/>
              <w:rPr>
                <w:rFonts w:cs="Calibri"/>
                <w:color w:val="000000"/>
                <w:sz w:val="22"/>
                <w:szCs w:val="22"/>
              </w:rPr>
            </w:pPr>
            <w:r>
              <w:rPr>
                <w:rFonts w:cs="Calibri"/>
                <w:color w:val="000000"/>
                <w:sz w:val="22"/>
                <w:szCs w:val="22"/>
              </w:rPr>
              <w:t>11.7%</w:t>
            </w:r>
          </w:p>
        </w:tc>
      </w:tr>
      <w:tr w:rsidR="00985D19" w:rsidRPr="004577E5" w14:paraId="2C09A5C5" w14:textId="77777777" w:rsidTr="00FC2472">
        <w:tc>
          <w:tcPr>
            <w:tcW w:w="1590" w:type="dxa"/>
          </w:tcPr>
          <w:p w14:paraId="512375F5" w14:textId="3F0159ED" w:rsidR="00985D19" w:rsidRPr="004577E5" w:rsidRDefault="00985D19" w:rsidP="00985D19">
            <w:pPr>
              <w:rPr>
                <w:rFonts w:cs="Calibri"/>
                <w:color w:val="000000"/>
                <w:sz w:val="22"/>
                <w:szCs w:val="22"/>
              </w:rPr>
            </w:pPr>
            <w:r w:rsidRPr="004577E5">
              <w:rPr>
                <w:rFonts w:cs="Calibri"/>
                <w:color w:val="000000"/>
                <w:sz w:val="22"/>
                <w:szCs w:val="22"/>
              </w:rPr>
              <w:t>National Gallery of Ireland</w:t>
            </w:r>
          </w:p>
        </w:tc>
        <w:tc>
          <w:tcPr>
            <w:tcW w:w="0" w:type="auto"/>
          </w:tcPr>
          <w:p w14:paraId="5871210D" w14:textId="31E3B5A3" w:rsidR="00985D19" w:rsidRPr="004577E5" w:rsidRDefault="00985D19" w:rsidP="00985D19">
            <w:pPr>
              <w:jc w:val="right"/>
              <w:rPr>
                <w:rFonts w:cs="Calibri"/>
                <w:color w:val="000000"/>
                <w:sz w:val="22"/>
                <w:szCs w:val="22"/>
              </w:rPr>
            </w:pPr>
            <w:r w:rsidRPr="004577E5">
              <w:rPr>
                <w:rFonts w:cs="Calibri"/>
                <w:color w:val="000000"/>
                <w:sz w:val="22"/>
                <w:szCs w:val="22"/>
              </w:rPr>
              <w:t>176</w:t>
            </w:r>
          </w:p>
        </w:tc>
        <w:tc>
          <w:tcPr>
            <w:tcW w:w="0" w:type="auto"/>
          </w:tcPr>
          <w:p w14:paraId="070DE2E4" w14:textId="07BBEE35" w:rsidR="00985D19" w:rsidRPr="004577E5" w:rsidRDefault="00985D19" w:rsidP="00985D19">
            <w:pPr>
              <w:jc w:val="right"/>
              <w:rPr>
                <w:rFonts w:cs="Calibri"/>
                <w:color w:val="000000"/>
                <w:sz w:val="22"/>
                <w:szCs w:val="22"/>
              </w:rPr>
            </w:pPr>
            <w:r w:rsidRPr="004577E5">
              <w:rPr>
                <w:rFonts w:cs="Calibri"/>
                <w:color w:val="000000"/>
                <w:sz w:val="22"/>
                <w:szCs w:val="22"/>
              </w:rPr>
              <w:t>15</w:t>
            </w:r>
          </w:p>
        </w:tc>
        <w:tc>
          <w:tcPr>
            <w:tcW w:w="0" w:type="auto"/>
          </w:tcPr>
          <w:p w14:paraId="3AC5FF46" w14:textId="4FAE1F60" w:rsidR="00985D19" w:rsidRPr="004577E5" w:rsidRDefault="00985D19" w:rsidP="00985D19">
            <w:pPr>
              <w:jc w:val="right"/>
              <w:rPr>
                <w:rFonts w:cs="Calibri"/>
                <w:color w:val="000000"/>
                <w:sz w:val="22"/>
                <w:szCs w:val="22"/>
              </w:rPr>
            </w:pPr>
            <w:r w:rsidRPr="004577E5">
              <w:rPr>
                <w:rFonts w:cs="Calibri"/>
                <w:color w:val="000000"/>
                <w:sz w:val="22"/>
                <w:szCs w:val="22"/>
              </w:rPr>
              <w:t>8.5%</w:t>
            </w:r>
          </w:p>
        </w:tc>
        <w:tc>
          <w:tcPr>
            <w:tcW w:w="0" w:type="auto"/>
          </w:tcPr>
          <w:p w14:paraId="58DEEDFB" w14:textId="65F68196" w:rsidR="00985D19" w:rsidRDefault="00985D19" w:rsidP="00985D19">
            <w:pPr>
              <w:jc w:val="right"/>
              <w:rPr>
                <w:rFonts w:cs="Calibri"/>
                <w:color w:val="000000"/>
                <w:sz w:val="22"/>
                <w:szCs w:val="22"/>
              </w:rPr>
            </w:pPr>
            <w:r>
              <w:rPr>
                <w:rFonts w:cs="Calibri"/>
                <w:color w:val="000000"/>
                <w:sz w:val="22"/>
                <w:szCs w:val="22"/>
              </w:rPr>
              <w:t>178</w:t>
            </w:r>
          </w:p>
        </w:tc>
        <w:tc>
          <w:tcPr>
            <w:tcW w:w="0" w:type="auto"/>
          </w:tcPr>
          <w:p w14:paraId="7B5C8FF2" w14:textId="3CD63DEB" w:rsidR="00985D19" w:rsidRDefault="00985D19" w:rsidP="00985D19">
            <w:pPr>
              <w:jc w:val="right"/>
              <w:rPr>
                <w:rFonts w:cs="Calibri"/>
                <w:color w:val="000000"/>
                <w:sz w:val="22"/>
                <w:szCs w:val="22"/>
              </w:rPr>
            </w:pPr>
            <w:r>
              <w:rPr>
                <w:rFonts w:cs="Calibri"/>
                <w:color w:val="000000"/>
                <w:sz w:val="22"/>
                <w:szCs w:val="22"/>
              </w:rPr>
              <w:t>26</w:t>
            </w:r>
          </w:p>
        </w:tc>
        <w:tc>
          <w:tcPr>
            <w:tcW w:w="2320" w:type="dxa"/>
          </w:tcPr>
          <w:p w14:paraId="290B27FC" w14:textId="021245D4" w:rsidR="00985D19" w:rsidRDefault="00985D19" w:rsidP="00985D19">
            <w:pPr>
              <w:jc w:val="right"/>
              <w:rPr>
                <w:rFonts w:cs="Calibri"/>
                <w:color w:val="000000"/>
                <w:sz w:val="22"/>
                <w:szCs w:val="22"/>
              </w:rPr>
            </w:pPr>
            <w:r>
              <w:rPr>
                <w:rFonts w:cs="Calibri"/>
                <w:color w:val="000000"/>
                <w:sz w:val="22"/>
                <w:szCs w:val="22"/>
              </w:rPr>
              <w:t>14.6%</w:t>
            </w:r>
          </w:p>
        </w:tc>
      </w:tr>
      <w:tr w:rsidR="00985D19" w:rsidRPr="004577E5" w14:paraId="316FD56C" w14:textId="77777777" w:rsidTr="00FC2472">
        <w:tc>
          <w:tcPr>
            <w:tcW w:w="1590" w:type="dxa"/>
          </w:tcPr>
          <w:p w14:paraId="2D00380D" w14:textId="120D873F" w:rsidR="00985D19" w:rsidRPr="004577E5" w:rsidRDefault="00985D19" w:rsidP="00985D19">
            <w:pPr>
              <w:rPr>
                <w:rFonts w:cs="Calibri"/>
                <w:color w:val="000000"/>
                <w:sz w:val="22"/>
                <w:szCs w:val="22"/>
              </w:rPr>
            </w:pPr>
            <w:r w:rsidRPr="004577E5">
              <w:rPr>
                <w:rFonts w:cs="Calibri"/>
                <w:color w:val="000000"/>
                <w:sz w:val="22"/>
                <w:szCs w:val="22"/>
              </w:rPr>
              <w:t>National Library of Ireland</w:t>
            </w:r>
          </w:p>
        </w:tc>
        <w:tc>
          <w:tcPr>
            <w:tcW w:w="0" w:type="auto"/>
          </w:tcPr>
          <w:p w14:paraId="7C730324" w14:textId="2C0A3C54" w:rsidR="00985D19" w:rsidRPr="004577E5" w:rsidRDefault="00985D19" w:rsidP="00985D19">
            <w:pPr>
              <w:jc w:val="right"/>
              <w:rPr>
                <w:rFonts w:cs="Calibri"/>
                <w:color w:val="000000"/>
                <w:sz w:val="22"/>
                <w:szCs w:val="22"/>
              </w:rPr>
            </w:pPr>
            <w:r w:rsidRPr="004577E5">
              <w:rPr>
                <w:rFonts w:cs="Calibri"/>
                <w:color w:val="000000"/>
                <w:sz w:val="22"/>
                <w:szCs w:val="22"/>
              </w:rPr>
              <w:t>103</w:t>
            </w:r>
          </w:p>
        </w:tc>
        <w:tc>
          <w:tcPr>
            <w:tcW w:w="0" w:type="auto"/>
          </w:tcPr>
          <w:p w14:paraId="634C73A9" w14:textId="1FB93517" w:rsidR="00985D19" w:rsidRPr="004577E5" w:rsidRDefault="00985D19" w:rsidP="00985D19">
            <w:pPr>
              <w:jc w:val="right"/>
              <w:rPr>
                <w:rFonts w:cs="Calibri"/>
                <w:color w:val="000000"/>
                <w:sz w:val="22"/>
                <w:szCs w:val="22"/>
              </w:rPr>
            </w:pPr>
            <w:r w:rsidRPr="004577E5">
              <w:rPr>
                <w:rFonts w:cs="Calibri"/>
                <w:color w:val="000000"/>
                <w:sz w:val="22"/>
                <w:szCs w:val="22"/>
              </w:rPr>
              <w:t>13</w:t>
            </w:r>
          </w:p>
        </w:tc>
        <w:tc>
          <w:tcPr>
            <w:tcW w:w="0" w:type="auto"/>
          </w:tcPr>
          <w:p w14:paraId="06FE16B4" w14:textId="1F366D47" w:rsidR="00985D19" w:rsidRPr="004577E5" w:rsidRDefault="00985D19" w:rsidP="00985D19">
            <w:pPr>
              <w:jc w:val="right"/>
              <w:rPr>
                <w:rFonts w:cs="Calibri"/>
                <w:color w:val="000000"/>
                <w:sz w:val="22"/>
                <w:szCs w:val="22"/>
              </w:rPr>
            </w:pPr>
            <w:r w:rsidRPr="004577E5">
              <w:rPr>
                <w:rFonts w:cs="Calibri"/>
                <w:color w:val="000000"/>
                <w:sz w:val="22"/>
                <w:szCs w:val="22"/>
              </w:rPr>
              <w:t>12.6%</w:t>
            </w:r>
          </w:p>
        </w:tc>
        <w:tc>
          <w:tcPr>
            <w:tcW w:w="0" w:type="auto"/>
          </w:tcPr>
          <w:p w14:paraId="5CB9B7FA" w14:textId="060AFFEF" w:rsidR="00985D19" w:rsidRDefault="00985D19" w:rsidP="00985D19">
            <w:pPr>
              <w:jc w:val="right"/>
              <w:rPr>
                <w:rFonts w:cs="Calibri"/>
                <w:color w:val="000000"/>
                <w:sz w:val="22"/>
                <w:szCs w:val="22"/>
              </w:rPr>
            </w:pPr>
            <w:r>
              <w:rPr>
                <w:rFonts w:cs="Calibri"/>
                <w:color w:val="000000"/>
                <w:sz w:val="22"/>
                <w:szCs w:val="22"/>
              </w:rPr>
              <w:t>108</w:t>
            </w:r>
          </w:p>
        </w:tc>
        <w:tc>
          <w:tcPr>
            <w:tcW w:w="0" w:type="auto"/>
          </w:tcPr>
          <w:p w14:paraId="5BD3E1B0" w14:textId="6F091DB5" w:rsidR="00985D19" w:rsidRDefault="00985D19" w:rsidP="00985D19">
            <w:pPr>
              <w:jc w:val="right"/>
              <w:rPr>
                <w:rFonts w:cs="Calibri"/>
                <w:color w:val="000000"/>
                <w:sz w:val="22"/>
                <w:szCs w:val="22"/>
              </w:rPr>
            </w:pPr>
            <w:r>
              <w:rPr>
                <w:rFonts w:cs="Calibri"/>
                <w:color w:val="000000"/>
                <w:sz w:val="22"/>
                <w:szCs w:val="22"/>
              </w:rPr>
              <w:t>14</w:t>
            </w:r>
          </w:p>
        </w:tc>
        <w:tc>
          <w:tcPr>
            <w:tcW w:w="2320" w:type="dxa"/>
          </w:tcPr>
          <w:p w14:paraId="6A85FE0B" w14:textId="4BC59733" w:rsidR="00985D19" w:rsidRDefault="00985D19" w:rsidP="00985D19">
            <w:pPr>
              <w:jc w:val="right"/>
              <w:rPr>
                <w:rFonts w:cs="Calibri"/>
                <w:color w:val="000000"/>
                <w:sz w:val="22"/>
                <w:szCs w:val="22"/>
              </w:rPr>
            </w:pPr>
            <w:r>
              <w:rPr>
                <w:rFonts w:cs="Calibri"/>
                <w:color w:val="000000"/>
                <w:sz w:val="22"/>
                <w:szCs w:val="22"/>
              </w:rPr>
              <w:t>13.0%</w:t>
            </w:r>
          </w:p>
        </w:tc>
      </w:tr>
      <w:tr w:rsidR="00985D19" w:rsidRPr="004577E5" w14:paraId="63301CD1" w14:textId="77777777" w:rsidTr="00FC2472">
        <w:tc>
          <w:tcPr>
            <w:tcW w:w="1590" w:type="dxa"/>
          </w:tcPr>
          <w:p w14:paraId="40BCD072" w14:textId="76464F79" w:rsidR="00985D19" w:rsidRPr="004577E5" w:rsidRDefault="00985D19" w:rsidP="00985D19">
            <w:pPr>
              <w:rPr>
                <w:rFonts w:cs="Calibri"/>
                <w:color w:val="000000"/>
                <w:sz w:val="22"/>
                <w:szCs w:val="22"/>
              </w:rPr>
            </w:pPr>
            <w:r w:rsidRPr="004577E5">
              <w:rPr>
                <w:rFonts w:cs="Calibri"/>
                <w:color w:val="000000"/>
                <w:sz w:val="22"/>
                <w:szCs w:val="22"/>
              </w:rPr>
              <w:t>National Museum of Ireland</w:t>
            </w:r>
          </w:p>
        </w:tc>
        <w:tc>
          <w:tcPr>
            <w:tcW w:w="0" w:type="auto"/>
          </w:tcPr>
          <w:p w14:paraId="26956B79" w14:textId="0263CDE5" w:rsidR="00985D19" w:rsidRPr="004577E5" w:rsidRDefault="00985D19" w:rsidP="00985D19">
            <w:pPr>
              <w:jc w:val="right"/>
              <w:rPr>
                <w:rFonts w:cs="Calibri"/>
                <w:color w:val="000000"/>
                <w:sz w:val="22"/>
                <w:szCs w:val="22"/>
              </w:rPr>
            </w:pPr>
            <w:r w:rsidRPr="004577E5">
              <w:rPr>
                <w:rFonts w:cs="Calibri"/>
                <w:color w:val="000000"/>
                <w:sz w:val="22"/>
                <w:szCs w:val="22"/>
              </w:rPr>
              <w:t>175</w:t>
            </w:r>
          </w:p>
        </w:tc>
        <w:tc>
          <w:tcPr>
            <w:tcW w:w="0" w:type="auto"/>
          </w:tcPr>
          <w:p w14:paraId="4D48D46D" w14:textId="49DE8443" w:rsidR="00985D19" w:rsidRPr="004577E5" w:rsidRDefault="00985D19" w:rsidP="00985D19">
            <w:pPr>
              <w:jc w:val="right"/>
              <w:rPr>
                <w:rFonts w:cs="Calibri"/>
                <w:color w:val="000000"/>
                <w:sz w:val="22"/>
                <w:szCs w:val="22"/>
              </w:rPr>
            </w:pPr>
            <w:r w:rsidRPr="004577E5">
              <w:rPr>
                <w:rFonts w:cs="Calibri"/>
                <w:color w:val="000000"/>
                <w:sz w:val="22"/>
                <w:szCs w:val="22"/>
              </w:rPr>
              <w:t>12</w:t>
            </w:r>
          </w:p>
        </w:tc>
        <w:tc>
          <w:tcPr>
            <w:tcW w:w="0" w:type="auto"/>
          </w:tcPr>
          <w:p w14:paraId="7E0A40C5" w14:textId="7884CF69" w:rsidR="00985D19" w:rsidRPr="004577E5" w:rsidRDefault="00985D19" w:rsidP="00985D19">
            <w:pPr>
              <w:jc w:val="right"/>
              <w:rPr>
                <w:rFonts w:cs="Calibri"/>
                <w:color w:val="000000"/>
                <w:sz w:val="22"/>
                <w:szCs w:val="22"/>
              </w:rPr>
            </w:pPr>
            <w:r w:rsidRPr="004577E5">
              <w:rPr>
                <w:rFonts w:cs="Calibri"/>
                <w:color w:val="000000"/>
                <w:sz w:val="22"/>
                <w:szCs w:val="22"/>
              </w:rPr>
              <w:t>6.9%</w:t>
            </w:r>
          </w:p>
        </w:tc>
        <w:tc>
          <w:tcPr>
            <w:tcW w:w="0" w:type="auto"/>
          </w:tcPr>
          <w:p w14:paraId="6A63CA56" w14:textId="1A15F485" w:rsidR="00985D19" w:rsidRDefault="00985D19" w:rsidP="00985D19">
            <w:pPr>
              <w:jc w:val="right"/>
              <w:rPr>
                <w:rFonts w:cs="Calibri"/>
                <w:color w:val="000000"/>
                <w:sz w:val="22"/>
                <w:szCs w:val="22"/>
              </w:rPr>
            </w:pPr>
            <w:r>
              <w:rPr>
                <w:rFonts w:cs="Calibri"/>
                <w:color w:val="000000"/>
                <w:sz w:val="22"/>
                <w:szCs w:val="22"/>
              </w:rPr>
              <w:t>181</w:t>
            </w:r>
          </w:p>
        </w:tc>
        <w:tc>
          <w:tcPr>
            <w:tcW w:w="0" w:type="auto"/>
          </w:tcPr>
          <w:p w14:paraId="1156405A" w14:textId="57525214" w:rsidR="00985D19" w:rsidRDefault="00985D19" w:rsidP="00985D19">
            <w:pPr>
              <w:jc w:val="right"/>
              <w:rPr>
                <w:rFonts w:cs="Calibri"/>
                <w:color w:val="000000"/>
                <w:sz w:val="22"/>
                <w:szCs w:val="22"/>
              </w:rPr>
            </w:pPr>
            <w:r>
              <w:rPr>
                <w:rFonts w:cs="Calibri"/>
                <w:color w:val="000000"/>
                <w:sz w:val="22"/>
                <w:szCs w:val="22"/>
              </w:rPr>
              <w:t>12</w:t>
            </w:r>
          </w:p>
        </w:tc>
        <w:tc>
          <w:tcPr>
            <w:tcW w:w="2320" w:type="dxa"/>
          </w:tcPr>
          <w:p w14:paraId="34EF80E2" w14:textId="0C23B936" w:rsidR="00985D19" w:rsidRDefault="00985D19" w:rsidP="00985D19">
            <w:pPr>
              <w:jc w:val="right"/>
              <w:rPr>
                <w:rFonts w:cs="Calibri"/>
                <w:color w:val="000000"/>
                <w:sz w:val="22"/>
                <w:szCs w:val="22"/>
              </w:rPr>
            </w:pPr>
            <w:r>
              <w:rPr>
                <w:rFonts w:cs="Calibri"/>
                <w:color w:val="000000"/>
                <w:sz w:val="22"/>
                <w:szCs w:val="22"/>
              </w:rPr>
              <w:t>6.6%</w:t>
            </w:r>
          </w:p>
        </w:tc>
      </w:tr>
      <w:tr w:rsidR="00985D19" w:rsidRPr="004577E5" w14:paraId="4E06A716" w14:textId="77777777" w:rsidTr="00FC2472">
        <w:tc>
          <w:tcPr>
            <w:tcW w:w="1590" w:type="dxa"/>
          </w:tcPr>
          <w:p w14:paraId="1A2B4C5C" w14:textId="51850E54" w:rsidR="00985D19" w:rsidRPr="004577E5" w:rsidRDefault="00985D19" w:rsidP="00985D19">
            <w:pPr>
              <w:rPr>
                <w:rFonts w:cs="Calibri"/>
                <w:color w:val="000000"/>
                <w:sz w:val="22"/>
                <w:szCs w:val="22"/>
              </w:rPr>
            </w:pPr>
            <w:r w:rsidRPr="004577E5">
              <w:rPr>
                <w:rFonts w:cs="Calibri"/>
                <w:color w:val="000000"/>
                <w:sz w:val="22"/>
                <w:szCs w:val="22"/>
              </w:rPr>
              <w:lastRenderedPageBreak/>
              <w:t>Raidió Teilifís Éireann (RTÉ)</w:t>
            </w:r>
          </w:p>
        </w:tc>
        <w:tc>
          <w:tcPr>
            <w:tcW w:w="0" w:type="auto"/>
          </w:tcPr>
          <w:p w14:paraId="0A1D26D7" w14:textId="788391D1" w:rsidR="00985D19" w:rsidRPr="004577E5" w:rsidRDefault="00985D19" w:rsidP="00985D19">
            <w:pPr>
              <w:jc w:val="right"/>
              <w:rPr>
                <w:rFonts w:cs="Calibri"/>
                <w:color w:val="000000"/>
                <w:sz w:val="22"/>
                <w:szCs w:val="22"/>
              </w:rPr>
            </w:pPr>
            <w:r w:rsidRPr="004577E5">
              <w:rPr>
                <w:rFonts w:cs="Calibri"/>
                <w:color w:val="000000"/>
                <w:sz w:val="22"/>
                <w:szCs w:val="22"/>
              </w:rPr>
              <w:t>1,871</w:t>
            </w:r>
          </w:p>
        </w:tc>
        <w:tc>
          <w:tcPr>
            <w:tcW w:w="0" w:type="auto"/>
          </w:tcPr>
          <w:p w14:paraId="1B67A92D" w14:textId="6A7DEEF1" w:rsidR="00985D19" w:rsidRPr="004577E5" w:rsidRDefault="00985D19" w:rsidP="00985D19">
            <w:pPr>
              <w:jc w:val="right"/>
              <w:rPr>
                <w:rFonts w:cs="Calibri"/>
                <w:color w:val="000000"/>
                <w:sz w:val="22"/>
                <w:szCs w:val="22"/>
              </w:rPr>
            </w:pPr>
            <w:r w:rsidRPr="004577E5">
              <w:rPr>
                <w:rFonts w:cs="Calibri"/>
                <w:color w:val="000000"/>
                <w:sz w:val="22"/>
                <w:szCs w:val="22"/>
              </w:rPr>
              <w:t>113</w:t>
            </w:r>
          </w:p>
        </w:tc>
        <w:tc>
          <w:tcPr>
            <w:tcW w:w="0" w:type="auto"/>
          </w:tcPr>
          <w:p w14:paraId="72D1D71F" w14:textId="7C4482AB" w:rsidR="00985D19" w:rsidRPr="004577E5" w:rsidRDefault="00985D19" w:rsidP="00985D19">
            <w:pPr>
              <w:jc w:val="right"/>
              <w:rPr>
                <w:rFonts w:cs="Calibri"/>
                <w:color w:val="000000"/>
                <w:sz w:val="22"/>
                <w:szCs w:val="22"/>
              </w:rPr>
            </w:pPr>
            <w:r w:rsidRPr="004577E5">
              <w:rPr>
                <w:rFonts w:cs="Calibri"/>
                <w:color w:val="000000"/>
                <w:sz w:val="22"/>
                <w:szCs w:val="22"/>
              </w:rPr>
              <w:t>6.0%</w:t>
            </w:r>
          </w:p>
        </w:tc>
        <w:tc>
          <w:tcPr>
            <w:tcW w:w="0" w:type="auto"/>
          </w:tcPr>
          <w:p w14:paraId="7736ADCE" w14:textId="6B55C245" w:rsidR="00985D19" w:rsidRDefault="00985D19" w:rsidP="00985D19">
            <w:pPr>
              <w:jc w:val="right"/>
              <w:rPr>
                <w:rFonts w:cs="Calibri"/>
                <w:color w:val="000000"/>
                <w:sz w:val="22"/>
                <w:szCs w:val="22"/>
              </w:rPr>
            </w:pPr>
            <w:r>
              <w:rPr>
                <w:rFonts w:cs="Calibri"/>
                <w:color w:val="000000"/>
                <w:sz w:val="22"/>
                <w:szCs w:val="22"/>
              </w:rPr>
              <w:t>1868</w:t>
            </w:r>
          </w:p>
        </w:tc>
        <w:tc>
          <w:tcPr>
            <w:tcW w:w="0" w:type="auto"/>
          </w:tcPr>
          <w:p w14:paraId="07B6A742" w14:textId="540ABD7D" w:rsidR="00985D19" w:rsidRDefault="00985D19" w:rsidP="00985D19">
            <w:pPr>
              <w:jc w:val="right"/>
              <w:rPr>
                <w:rFonts w:cs="Calibri"/>
                <w:color w:val="000000"/>
                <w:sz w:val="22"/>
                <w:szCs w:val="22"/>
              </w:rPr>
            </w:pPr>
            <w:r>
              <w:rPr>
                <w:rFonts w:cs="Calibri"/>
                <w:color w:val="000000"/>
                <w:sz w:val="22"/>
                <w:szCs w:val="22"/>
              </w:rPr>
              <w:t>117</w:t>
            </w:r>
          </w:p>
        </w:tc>
        <w:tc>
          <w:tcPr>
            <w:tcW w:w="2320" w:type="dxa"/>
          </w:tcPr>
          <w:p w14:paraId="053B465A" w14:textId="3B1437F5" w:rsidR="00985D19" w:rsidRDefault="00985D19" w:rsidP="00985D19">
            <w:pPr>
              <w:jc w:val="right"/>
              <w:rPr>
                <w:rFonts w:cs="Calibri"/>
                <w:color w:val="000000"/>
                <w:sz w:val="22"/>
                <w:szCs w:val="22"/>
              </w:rPr>
            </w:pPr>
            <w:r>
              <w:rPr>
                <w:rFonts w:cs="Calibri"/>
                <w:color w:val="000000"/>
                <w:sz w:val="22"/>
                <w:szCs w:val="22"/>
              </w:rPr>
              <w:t>6.3%</w:t>
            </w:r>
          </w:p>
        </w:tc>
      </w:tr>
      <w:tr w:rsidR="00985D19" w:rsidRPr="004577E5" w14:paraId="0239C1AB" w14:textId="77777777" w:rsidTr="00FC2472">
        <w:tc>
          <w:tcPr>
            <w:tcW w:w="1590" w:type="dxa"/>
          </w:tcPr>
          <w:p w14:paraId="3E7559E2" w14:textId="11B379CA" w:rsidR="00985D19" w:rsidRPr="004577E5" w:rsidRDefault="00985D19" w:rsidP="00985D19">
            <w:pPr>
              <w:rPr>
                <w:rFonts w:cs="Calibri"/>
                <w:color w:val="000000"/>
                <w:sz w:val="22"/>
                <w:szCs w:val="22"/>
              </w:rPr>
            </w:pPr>
            <w:r w:rsidRPr="004577E5">
              <w:rPr>
                <w:rFonts w:cs="Calibri"/>
                <w:color w:val="000000"/>
                <w:sz w:val="22"/>
                <w:szCs w:val="22"/>
              </w:rPr>
              <w:t>Screen Ireland</w:t>
            </w:r>
          </w:p>
        </w:tc>
        <w:tc>
          <w:tcPr>
            <w:tcW w:w="0" w:type="auto"/>
          </w:tcPr>
          <w:p w14:paraId="3705F869" w14:textId="2D53EE4F" w:rsidR="00985D19" w:rsidRPr="004577E5" w:rsidRDefault="00985D19" w:rsidP="00985D19">
            <w:pPr>
              <w:jc w:val="right"/>
              <w:rPr>
                <w:rFonts w:cs="Calibri"/>
                <w:color w:val="000000"/>
                <w:sz w:val="22"/>
                <w:szCs w:val="22"/>
              </w:rPr>
            </w:pPr>
            <w:r w:rsidRPr="004577E5">
              <w:rPr>
                <w:rFonts w:cs="Calibri"/>
                <w:color w:val="000000"/>
                <w:sz w:val="22"/>
                <w:szCs w:val="22"/>
              </w:rPr>
              <w:t>35</w:t>
            </w:r>
          </w:p>
        </w:tc>
        <w:tc>
          <w:tcPr>
            <w:tcW w:w="0" w:type="auto"/>
          </w:tcPr>
          <w:p w14:paraId="7B17AEA8" w14:textId="07EA21D2" w:rsidR="00985D19" w:rsidRPr="004577E5" w:rsidRDefault="00985D19" w:rsidP="00985D19">
            <w:pPr>
              <w:jc w:val="right"/>
              <w:rPr>
                <w:rFonts w:cs="Calibri"/>
                <w:color w:val="000000"/>
                <w:sz w:val="22"/>
                <w:szCs w:val="22"/>
              </w:rPr>
            </w:pPr>
            <w:r w:rsidRPr="004577E5">
              <w:rPr>
                <w:rFonts w:cs="Calibri"/>
                <w:color w:val="000000"/>
                <w:sz w:val="22"/>
                <w:szCs w:val="22"/>
              </w:rPr>
              <w:t>7</w:t>
            </w:r>
          </w:p>
        </w:tc>
        <w:tc>
          <w:tcPr>
            <w:tcW w:w="0" w:type="auto"/>
          </w:tcPr>
          <w:p w14:paraId="56944D0E" w14:textId="3C2035F4" w:rsidR="00985D19" w:rsidRPr="004577E5" w:rsidRDefault="00985D19" w:rsidP="00985D19">
            <w:pPr>
              <w:jc w:val="right"/>
              <w:rPr>
                <w:rFonts w:cs="Calibri"/>
                <w:color w:val="000000"/>
                <w:sz w:val="22"/>
                <w:szCs w:val="22"/>
              </w:rPr>
            </w:pPr>
            <w:r w:rsidRPr="004577E5">
              <w:rPr>
                <w:rFonts w:cs="Calibri"/>
                <w:color w:val="000000"/>
                <w:sz w:val="22"/>
                <w:szCs w:val="22"/>
              </w:rPr>
              <w:t>20.0%</w:t>
            </w:r>
          </w:p>
        </w:tc>
        <w:tc>
          <w:tcPr>
            <w:tcW w:w="0" w:type="auto"/>
          </w:tcPr>
          <w:p w14:paraId="125CECD4" w14:textId="3AC2A21D" w:rsidR="00985D19" w:rsidRDefault="00985D19" w:rsidP="00985D19">
            <w:pPr>
              <w:jc w:val="right"/>
              <w:rPr>
                <w:rFonts w:cs="Calibri"/>
                <w:color w:val="000000"/>
                <w:sz w:val="22"/>
                <w:szCs w:val="22"/>
              </w:rPr>
            </w:pPr>
            <w:r>
              <w:rPr>
                <w:rFonts w:cs="Calibri"/>
                <w:color w:val="000000"/>
                <w:sz w:val="22"/>
                <w:szCs w:val="22"/>
              </w:rPr>
              <w:t>38</w:t>
            </w:r>
          </w:p>
        </w:tc>
        <w:tc>
          <w:tcPr>
            <w:tcW w:w="0" w:type="auto"/>
          </w:tcPr>
          <w:p w14:paraId="11F63339" w14:textId="57D20F85" w:rsidR="00985D19" w:rsidRDefault="00985D19" w:rsidP="00985D19">
            <w:pPr>
              <w:jc w:val="right"/>
              <w:rPr>
                <w:rFonts w:cs="Calibri"/>
                <w:color w:val="000000"/>
                <w:sz w:val="22"/>
                <w:szCs w:val="22"/>
              </w:rPr>
            </w:pPr>
            <w:r>
              <w:rPr>
                <w:rFonts w:cs="Calibri"/>
                <w:color w:val="000000"/>
                <w:sz w:val="22"/>
                <w:szCs w:val="22"/>
              </w:rPr>
              <w:t>8</w:t>
            </w:r>
          </w:p>
        </w:tc>
        <w:tc>
          <w:tcPr>
            <w:tcW w:w="2320" w:type="dxa"/>
          </w:tcPr>
          <w:p w14:paraId="2D17B9A5" w14:textId="30AA4B1E" w:rsidR="00985D19" w:rsidRDefault="00985D19" w:rsidP="00985D19">
            <w:pPr>
              <w:jc w:val="right"/>
              <w:rPr>
                <w:rFonts w:cs="Calibri"/>
                <w:color w:val="000000"/>
                <w:sz w:val="22"/>
                <w:szCs w:val="22"/>
              </w:rPr>
            </w:pPr>
            <w:r>
              <w:rPr>
                <w:rFonts w:cs="Calibri"/>
                <w:color w:val="000000"/>
                <w:sz w:val="22"/>
                <w:szCs w:val="22"/>
              </w:rPr>
              <w:t>21.1%</w:t>
            </w:r>
          </w:p>
        </w:tc>
      </w:tr>
      <w:tr w:rsidR="00985D19" w:rsidRPr="004577E5" w14:paraId="28E06618" w14:textId="77777777" w:rsidTr="00FC2472">
        <w:tc>
          <w:tcPr>
            <w:tcW w:w="1590" w:type="dxa"/>
          </w:tcPr>
          <w:p w14:paraId="35195391" w14:textId="65416AF8" w:rsidR="00985D19" w:rsidRPr="004577E5" w:rsidRDefault="00985D19" w:rsidP="00985D19">
            <w:pPr>
              <w:rPr>
                <w:sz w:val="22"/>
                <w:szCs w:val="22"/>
              </w:rPr>
            </w:pPr>
            <w:r w:rsidRPr="004577E5">
              <w:rPr>
                <w:rFonts w:cs="Calibri"/>
                <w:color w:val="000000"/>
                <w:sz w:val="22"/>
                <w:szCs w:val="22"/>
              </w:rPr>
              <w:t>Sport Ireland</w:t>
            </w:r>
          </w:p>
        </w:tc>
        <w:tc>
          <w:tcPr>
            <w:tcW w:w="0" w:type="auto"/>
          </w:tcPr>
          <w:p w14:paraId="27A7A33D" w14:textId="495874AB" w:rsidR="00985D19" w:rsidRPr="004577E5" w:rsidRDefault="00985D19" w:rsidP="00985D19">
            <w:pPr>
              <w:jc w:val="right"/>
              <w:rPr>
                <w:sz w:val="22"/>
                <w:szCs w:val="22"/>
              </w:rPr>
            </w:pPr>
            <w:r w:rsidRPr="004577E5">
              <w:rPr>
                <w:rFonts w:cs="Calibri"/>
                <w:color w:val="000000"/>
                <w:sz w:val="22"/>
                <w:szCs w:val="22"/>
              </w:rPr>
              <w:t>54</w:t>
            </w:r>
          </w:p>
        </w:tc>
        <w:tc>
          <w:tcPr>
            <w:tcW w:w="0" w:type="auto"/>
          </w:tcPr>
          <w:p w14:paraId="652E3286" w14:textId="20FBD83A" w:rsidR="00985D19" w:rsidRPr="004577E5" w:rsidRDefault="00985D19" w:rsidP="00985D19">
            <w:pPr>
              <w:jc w:val="right"/>
              <w:rPr>
                <w:sz w:val="22"/>
                <w:szCs w:val="22"/>
              </w:rPr>
            </w:pPr>
            <w:r w:rsidRPr="004577E5">
              <w:rPr>
                <w:rFonts w:cs="Calibri"/>
                <w:color w:val="000000"/>
                <w:sz w:val="22"/>
                <w:szCs w:val="22"/>
              </w:rPr>
              <w:t>2</w:t>
            </w:r>
          </w:p>
        </w:tc>
        <w:tc>
          <w:tcPr>
            <w:tcW w:w="0" w:type="auto"/>
          </w:tcPr>
          <w:p w14:paraId="385536F1" w14:textId="1E2F934A" w:rsidR="00985D19" w:rsidRPr="004577E5" w:rsidRDefault="00985D19" w:rsidP="00985D19">
            <w:pPr>
              <w:jc w:val="right"/>
              <w:rPr>
                <w:sz w:val="22"/>
                <w:szCs w:val="22"/>
              </w:rPr>
            </w:pPr>
            <w:r w:rsidRPr="004577E5">
              <w:rPr>
                <w:rFonts w:cs="Calibri"/>
                <w:color w:val="000000"/>
                <w:sz w:val="22"/>
                <w:szCs w:val="22"/>
              </w:rPr>
              <w:t>3.7%</w:t>
            </w:r>
          </w:p>
        </w:tc>
        <w:tc>
          <w:tcPr>
            <w:tcW w:w="0" w:type="auto"/>
          </w:tcPr>
          <w:p w14:paraId="3829837C" w14:textId="70A2F56D" w:rsidR="00985D19" w:rsidRPr="004577E5" w:rsidRDefault="00985D19" w:rsidP="00985D19">
            <w:pPr>
              <w:jc w:val="right"/>
              <w:rPr>
                <w:sz w:val="22"/>
                <w:szCs w:val="22"/>
              </w:rPr>
            </w:pPr>
            <w:r>
              <w:rPr>
                <w:rFonts w:cs="Calibri"/>
                <w:color w:val="000000"/>
                <w:sz w:val="22"/>
                <w:szCs w:val="22"/>
              </w:rPr>
              <w:t>54</w:t>
            </w:r>
          </w:p>
        </w:tc>
        <w:tc>
          <w:tcPr>
            <w:tcW w:w="0" w:type="auto"/>
          </w:tcPr>
          <w:p w14:paraId="2BA5EDE9" w14:textId="14C1671B" w:rsidR="00985D19" w:rsidRPr="004577E5" w:rsidRDefault="00985D19" w:rsidP="00985D19">
            <w:pPr>
              <w:jc w:val="right"/>
              <w:rPr>
                <w:sz w:val="22"/>
                <w:szCs w:val="22"/>
              </w:rPr>
            </w:pPr>
            <w:r>
              <w:rPr>
                <w:rFonts w:cs="Calibri"/>
                <w:color w:val="000000"/>
                <w:sz w:val="22"/>
                <w:szCs w:val="22"/>
              </w:rPr>
              <w:t>2</w:t>
            </w:r>
          </w:p>
        </w:tc>
        <w:tc>
          <w:tcPr>
            <w:tcW w:w="2320" w:type="dxa"/>
          </w:tcPr>
          <w:p w14:paraId="17A4D086" w14:textId="1C013E3C" w:rsidR="00985D19" w:rsidRPr="004577E5" w:rsidRDefault="00985D19" w:rsidP="00985D19">
            <w:pPr>
              <w:jc w:val="right"/>
              <w:rPr>
                <w:sz w:val="22"/>
                <w:szCs w:val="22"/>
              </w:rPr>
            </w:pPr>
            <w:r>
              <w:rPr>
                <w:rFonts w:cs="Calibri"/>
                <w:color w:val="000000"/>
                <w:sz w:val="22"/>
                <w:szCs w:val="22"/>
              </w:rPr>
              <w:t>3.7%</w:t>
            </w:r>
          </w:p>
        </w:tc>
      </w:tr>
      <w:tr w:rsidR="00985D19" w:rsidRPr="004577E5" w14:paraId="2111FAE9" w14:textId="77777777" w:rsidTr="00FC2472">
        <w:tc>
          <w:tcPr>
            <w:tcW w:w="1590" w:type="dxa"/>
          </w:tcPr>
          <w:p w14:paraId="24C156FE" w14:textId="4F627A55" w:rsidR="00985D19" w:rsidRPr="004577E5" w:rsidRDefault="00985D19" w:rsidP="00985D19">
            <w:pPr>
              <w:rPr>
                <w:sz w:val="22"/>
                <w:szCs w:val="22"/>
              </w:rPr>
            </w:pPr>
            <w:r w:rsidRPr="004577E5">
              <w:rPr>
                <w:rFonts w:cs="Calibri"/>
                <w:color w:val="000000"/>
                <w:sz w:val="22"/>
                <w:szCs w:val="22"/>
              </w:rPr>
              <w:t>TG4</w:t>
            </w:r>
          </w:p>
        </w:tc>
        <w:tc>
          <w:tcPr>
            <w:tcW w:w="0" w:type="auto"/>
          </w:tcPr>
          <w:p w14:paraId="283311A3" w14:textId="7AECE478" w:rsidR="00985D19" w:rsidRPr="004577E5" w:rsidRDefault="00985D19" w:rsidP="00985D19">
            <w:pPr>
              <w:jc w:val="right"/>
              <w:rPr>
                <w:sz w:val="22"/>
                <w:szCs w:val="22"/>
              </w:rPr>
            </w:pPr>
            <w:r w:rsidRPr="004577E5">
              <w:rPr>
                <w:rFonts w:cs="Calibri"/>
                <w:color w:val="000000"/>
                <w:sz w:val="22"/>
                <w:szCs w:val="22"/>
              </w:rPr>
              <w:t>95</w:t>
            </w:r>
          </w:p>
        </w:tc>
        <w:tc>
          <w:tcPr>
            <w:tcW w:w="0" w:type="auto"/>
          </w:tcPr>
          <w:p w14:paraId="4A387002" w14:textId="12E4D827" w:rsidR="00985D19" w:rsidRPr="004577E5" w:rsidRDefault="00985D19" w:rsidP="00985D19">
            <w:pPr>
              <w:jc w:val="right"/>
              <w:rPr>
                <w:sz w:val="22"/>
                <w:szCs w:val="22"/>
              </w:rPr>
            </w:pPr>
            <w:r w:rsidRPr="004577E5">
              <w:rPr>
                <w:rFonts w:cs="Calibri"/>
                <w:color w:val="000000"/>
                <w:sz w:val="22"/>
                <w:szCs w:val="22"/>
              </w:rPr>
              <w:t>6</w:t>
            </w:r>
          </w:p>
        </w:tc>
        <w:tc>
          <w:tcPr>
            <w:tcW w:w="0" w:type="auto"/>
          </w:tcPr>
          <w:p w14:paraId="722DD5BD" w14:textId="2413D252" w:rsidR="00985D19" w:rsidRPr="004577E5" w:rsidRDefault="00985D19" w:rsidP="00985D19">
            <w:pPr>
              <w:jc w:val="right"/>
              <w:rPr>
                <w:sz w:val="22"/>
                <w:szCs w:val="22"/>
              </w:rPr>
            </w:pPr>
            <w:r w:rsidRPr="004577E5">
              <w:rPr>
                <w:rFonts w:cs="Calibri"/>
                <w:color w:val="000000"/>
                <w:sz w:val="22"/>
                <w:szCs w:val="22"/>
              </w:rPr>
              <w:t>6.3%</w:t>
            </w:r>
          </w:p>
        </w:tc>
        <w:tc>
          <w:tcPr>
            <w:tcW w:w="0" w:type="auto"/>
          </w:tcPr>
          <w:p w14:paraId="636DABC5" w14:textId="36AE38E8" w:rsidR="00985D19" w:rsidRPr="004577E5" w:rsidRDefault="00985D19" w:rsidP="00985D19">
            <w:pPr>
              <w:jc w:val="right"/>
              <w:rPr>
                <w:sz w:val="22"/>
                <w:szCs w:val="22"/>
              </w:rPr>
            </w:pPr>
            <w:r>
              <w:rPr>
                <w:rFonts w:cs="Calibri"/>
                <w:color w:val="000000"/>
                <w:sz w:val="22"/>
                <w:szCs w:val="22"/>
              </w:rPr>
              <w:t>108</w:t>
            </w:r>
          </w:p>
        </w:tc>
        <w:tc>
          <w:tcPr>
            <w:tcW w:w="0" w:type="auto"/>
          </w:tcPr>
          <w:p w14:paraId="01638501" w14:textId="5A9D4016" w:rsidR="00985D19" w:rsidRPr="004577E5" w:rsidRDefault="00985D19" w:rsidP="00985D19">
            <w:pPr>
              <w:jc w:val="right"/>
              <w:rPr>
                <w:sz w:val="22"/>
                <w:szCs w:val="22"/>
              </w:rPr>
            </w:pPr>
            <w:r>
              <w:rPr>
                <w:rFonts w:cs="Calibri"/>
                <w:color w:val="000000"/>
                <w:sz w:val="22"/>
                <w:szCs w:val="22"/>
              </w:rPr>
              <w:t>7</w:t>
            </w:r>
          </w:p>
        </w:tc>
        <w:tc>
          <w:tcPr>
            <w:tcW w:w="2320" w:type="dxa"/>
          </w:tcPr>
          <w:p w14:paraId="61F22212" w14:textId="76BD49B4" w:rsidR="00985D19" w:rsidRPr="004577E5" w:rsidRDefault="00985D19" w:rsidP="00985D19">
            <w:pPr>
              <w:jc w:val="right"/>
              <w:rPr>
                <w:sz w:val="22"/>
                <w:szCs w:val="22"/>
              </w:rPr>
            </w:pPr>
            <w:r>
              <w:rPr>
                <w:rFonts w:cs="Calibri"/>
                <w:color w:val="000000"/>
                <w:sz w:val="22"/>
                <w:szCs w:val="22"/>
              </w:rPr>
              <w:t>6.5%</w:t>
            </w:r>
          </w:p>
        </w:tc>
      </w:tr>
      <w:tr w:rsidR="00985D19" w:rsidRPr="004577E5" w14:paraId="558B936A" w14:textId="77777777" w:rsidTr="00FC2472">
        <w:tc>
          <w:tcPr>
            <w:tcW w:w="1590" w:type="dxa"/>
          </w:tcPr>
          <w:p w14:paraId="47DE6AFC" w14:textId="51070AE4" w:rsidR="00985D19" w:rsidRPr="004577E5" w:rsidRDefault="00985D19" w:rsidP="00985D19">
            <w:pPr>
              <w:rPr>
                <w:sz w:val="22"/>
                <w:szCs w:val="22"/>
              </w:rPr>
            </w:pPr>
            <w:r w:rsidRPr="004577E5">
              <w:rPr>
                <w:rFonts w:cs="Calibri"/>
                <w:color w:val="000000"/>
                <w:sz w:val="22"/>
                <w:szCs w:val="22"/>
              </w:rPr>
              <w:t>Tourism Ireland</w:t>
            </w:r>
          </w:p>
        </w:tc>
        <w:tc>
          <w:tcPr>
            <w:tcW w:w="0" w:type="auto"/>
          </w:tcPr>
          <w:p w14:paraId="3ABB247B" w14:textId="4EEDAF5F" w:rsidR="00985D19" w:rsidRPr="004577E5" w:rsidRDefault="00985D19" w:rsidP="00985D19">
            <w:pPr>
              <w:jc w:val="right"/>
              <w:rPr>
                <w:sz w:val="22"/>
                <w:szCs w:val="22"/>
              </w:rPr>
            </w:pPr>
            <w:r w:rsidRPr="004577E5">
              <w:rPr>
                <w:rFonts w:cs="Calibri"/>
                <w:color w:val="000000"/>
                <w:sz w:val="22"/>
                <w:szCs w:val="22"/>
              </w:rPr>
              <w:t>164</w:t>
            </w:r>
          </w:p>
        </w:tc>
        <w:tc>
          <w:tcPr>
            <w:tcW w:w="0" w:type="auto"/>
          </w:tcPr>
          <w:p w14:paraId="387361D8" w14:textId="7D686EF7" w:rsidR="00985D19" w:rsidRPr="004577E5" w:rsidRDefault="00985D19" w:rsidP="00985D19">
            <w:pPr>
              <w:jc w:val="right"/>
              <w:rPr>
                <w:sz w:val="22"/>
                <w:szCs w:val="22"/>
              </w:rPr>
            </w:pPr>
            <w:r w:rsidRPr="004577E5">
              <w:rPr>
                <w:rFonts w:cs="Calibri"/>
                <w:color w:val="000000"/>
                <w:sz w:val="22"/>
                <w:szCs w:val="22"/>
              </w:rPr>
              <w:t>13</w:t>
            </w:r>
          </w:p>
        </w:tc>
        <w:tc>
          <w:tcPr>
            <w:tcW w:w="0" w:type="auto"/>
          </w:tcPr>
          <w:p w14:paraId="3D7D692B" w14:textId="0CF08155" w:rsidR="00985D19" w:rsidRPr="004577E5" w:rsidRDefault="00985D19" w:rsidP="00985D19">
            <w:pPr>
              <w:jc w:val="right"/>
              <w:rPr>
                <w:sz w:val="22"/>
                <w:szCs w:val="22"/>
              </w:rPr>
            </w:pPr>
            <w:r w:rsidRPr="004577E5">
              <w:rPr>
                <w:rFonts w:cs="Calibri"/>
                <w:color w:val="000000"/>
                <w:sz w:val="22"/>
                <w:szCs w:val="22"/>
              </w:rPr>
              <w:t>7.9%</w:t>
            </w:r>
          </w:p>
        </w:tc>
        <w:tc>
          <w:tcPr>
            <w:tcW w:w="0" w:type="auto"/>
          </w:tcPr>
          <w:p w14:paraId="0F387E53" w14:textId="54C9DBBF" w:rsidR="00985D19" w:rsidRPr="004577E5" w:rsidRDefault="00985D19" w:rsidP="00985D19">
            <w:pPr>
              <w:jc w:val="right"/>
              <w:rPr>
                <w:sz w:val="22"/>
                <w:szCs w:val="22"/>
              </w:rPr>
            </w:pPr>
            <w:r>
              <w:rPr>
                <w:rFonts w:cs="Calibri"/>
                <w:color w:val="000000"/>
                <w:sz w:val="22"/>
                <w:szCs w:val="22"/>
              </w:rPr>
              <w:t>165</w:t>
            </w:r>
          </w:p>
        </w:tc>
        <w:tc>
          <w:tcPr>
            <w:tcW w:w="0" w:type="auto"/>
          </w:tcPr>
          <w:p w14:paraId="0552F89E" w14:textId="5DB07E8E" w:rsidR="00985D19" w:rsidRPr="004577E5" w:rsidRDefault="00985D19" w:rsidP="00985D19">
            <w:pPr>
              <w:jc w:val="right"/>
              <w:rPr>
                <w:sz w:val="22"/>
                <w:szCs w:val="22"/>
              </w:rPr>
            </w:pPr>
            <w:r>
              <w:rPr>
                <w:rFonts w:cs="Calibri"/>
                <w:color w:val="000000"/>
                <w:sz w:val="22"/>
                <w:szCs w:val="22"/>
              </w:rPr>
              <w:t>18</w:t>
            </w:r>
          </w:p>
        </w:tc>
        <w:tc>
          <w:tcPr>
            <w:tcW w:w="2320" w:type="dxa"/>
          </w:tcPr>
          <w:p w14:paraId="5B187D4B" w14:textId="56C16A49" w:rsidR="00985D19" w:rsidRPr="004577E5" w:rsidRDefault="00985D19" w:rsidP="00985D19">
            <w:pPr>
              <w:jc w:val="right"/>
              <w:rPr>
                <w:sz w:val="22"/>
                <w:szCs w:val="22"/>
              </w:rPr>
            </w:pPr>
            <w:r>
              <w:rPr>
                <w:rFonts w:cs="Calibri"/>
                <w:color w:val="000000"/>
                <w:sz w:val="22"/>
                <w:szCs w:val="22"/>
              </w:rPr>
              <w:t>10.9%</w:t>
            </w:r>
          </w:p>
        </w:tc>
      </w:tr>
      <w:tr w:rsidR="00985D19" w:rsidRPr="004577E5" w14:paraId="3936D5E0" w14:textId="77777777" w:rsidTr="00FC2472">
        <w:tc>
          <w:tcPr>
            <w:tcW w:w="1590" w:type="dxa"/>
          </w:tcPr>
          <w:p w14:paraId="71064BD6" w14:textId="3D11FBEA" w:rsidR="00985D19" w:rsidRPr="004577E5" w:rsidRDefault="00985D19" w:rsidP="00985D19">
            <w:pPr>
              <w:rPr>
                <w:sz w:val="22"/>
                <w:szCs w:val="22"/>
              </w:rPr>
            </w:pPr>
            <w:r w:rsidRPr="004577E5">
              <w:rPr>
                <w:rFonts w:cs="Calibri"/>
                <w:color w:val="000000"/>
                <w:sz w:val="22"/>
                <w:szCs w:val="22"/>
              </w:rPr>
              <w:t>Údarás Na Gaeltachta</w:t>
            </w:r>
          </w:p>
        </w:tc>
        <w:tc>
          <w:tcPr>
            <w:tcW w:w="0" w:type="auto"/>
          </w:tcPr>
          <w:p w14:paraId="19985272" w14:textId="2F472209" w:rsidR="00985D19" w:rsidRPr="004577E5" w:rsidRDefault="00985D19" w:rsidP="00985D19">
            <w:pPr>
              <w:jc w:val="right"/>
              <w:rPr>
                <w:sz w:val="22"/>
                <w:szCs w:val="22"/>
              </w:rPr>
            </w:pPr>
            <w:r w:rsidRPr="004577E5">
              <w:rPr>
                <w:rFonts w:cs="Calibri"/>
                <w:color w:val="000000"/>
                <w:sz w:val="22"/>
                <w:szCs w:val="22"/>
              </w:rPr>
              <w:t>87</w:t>
            </w:r>
          </w:p>
        </w:tc>
        <w:tc>
          <w:tcPr>
            <w:tcW w:w="0" w:type="auto"/>
          </w:tcPr>
          <w:p w14:paraId="039FA314" w14:textId="0AE7B20C" w:rsidR="00985D19" w:rsidRPr="004577E5" w:rsidRDefault="00985D19" w:rsidP="00985D19">
            <w:pPr>
              <w:jc w:val="right"/>
              <w:rPr>
                <w:sz w:val="22"/>
                <w:szCs w:val="22"/>
              </w:rPr>
            </w:pPr>
            <w:r w:rsidRPr="004577E5">
              <w:rPr>
                <w:rFonts w:cs="Calibri"/>
                <w:color w:val="000000"/>
                <w:sz w:val="22"/>
                <w:szCs w:val="22"/>
              </w:rPr>
              <w:t>5</w:t>
            </w:r>
          </w:p>
        </w:tc>
        <w:tc>
          <w:tcPr>
            <w:tcW w:w="0" w:type="auto"/>
          </w:tcPr>
          <w:p w14:paraId="1E3FEA91" w14:textId="05154C18" w:rsidR="00985D19" w:rsidRPr="004577E5" w:rsidRDefault="00985D19" w:rsidP="00985D19">
            <w:pPr>
              <w:jc w:val="right"/>
              <w:rPr>
                <w:sz w:val="22"/>
                <w:szCs w:val="22"/>
              </w:rPr>
            </w:pPr>
            <w:r w:rsidRPr="004577E5">
              <w:rPr>
                <w:rFonts w:cs="Calibri"/>
                <w:color w:val="000000"/>
                <w:sz w:val="22"/>
                <w:szCs w:val="22"/>
              </w:rPr>
              <w:t>5.7%</w:t>
            </w:r>
          </w:p>
        </w:tc>
        <w:tc>
          <w:tcPr>
            <w:tcW w:w="0" w:type="auto"/>
          </w:tcPr>
          <w:p w14:paraId="15168E47" w14:textId="5F000274" w:rsidR="00985D19" w:rsidRPr="004577E5" w:rsidRDefault="00985D19" w:rsidP="00985D19">
            <w:pPr>
              <w:jc w:val="right"/>
              <w:rPr>
                <w:sz w:val="22"/>
                <w:szCs w:val="22"/>
              </w:rPr>
            </w:pPr>
            <w:r>
              <w:rPr>
                <w:rFonts w:cs="Calibri"/>
                <w:color w:val="000000"/>
                <w:sz w:val="22"/>
                <w:szCs w:val="22"/>
              </w:rPr>
              <w:t>98</w:t>
            </w:r>
          </w:p>
        </w:tc>
        <w:tc>
          <w:tcPr>
            <w:tcW w:w="0" w:type="auto"/>
          </w:tcPr>
          <w:p w14:paraId="1D5CE5DA" w14:textId="56F4035F" w:rsidR="00985D19" w:rsidRPr="004577E5" w:rsidRDefault="00985D19" w:rsidP="00985D19">
            <w:pPr>
              <w:jc w:val="right"/>
              <w:rPr>
                <w:sz w:val="22"/>
                <w:szCs w:val="22"/>
              </w:rPr>
            </w:pPr>
            <w:r>
              <w:rPr>
                <w:rFonts w:cs="Calibri"/>
                <w:color w:val="000000"/>
                <w:sz w:val="22"/>
                <w:szCs w:val="22"/>
              </w:rPr>
              <w:t>4</w:t>
            </w:r>
          </w:p>
        </w:tc>
        <w:tc>
          <w:tcPr>
            <w:tcW w:w="2320" w:type="dxa"/>
          </w:tcPr>
          <w:p w14:paraId="0FEAAE8B" w14:textId="551761F0" w:rsidR="00985D19" w:rsidRPr="004577E5" w:rsidRDefault="00985D19" w:rsidP="00985D19">
            <w:pPr>
              <w:jc w:val="right"/>
              <w:rPr>
                <w:sz w:val="22"/>
                <w:szCs w:val="22"/>
              </w:rPr>
            </w:pPr>
            <w:r>
              <w:rPr>
                <w:rFonts w:cs="Calibri"/>
                <w:color w:val="000000"/>
                <w:sz w:val="22"/>
                <w:szCs w:val="22"/>
              </w:rPr>
              <w:t>4.1%</w:t>
            </w:r>
          </w:p>
        </w:tc>
      </w:tr>
      <w:tr w:rsidR="00985D19" w:rsidRPr="004577E5" w14:paraId="11F46154" w14:textId="77777777" w:rsidTr="00FC2472">
        <w:tc>
          <w:tcPr>
            <w:tcW w:w="1590" w:type="dxa"/>
          </w:tcPr>
          <w:p w14:paraId="1EC0166D" w14:textId="15657B07" w:rsidR="00985D19" w:rsidRPr="004577E5" w:rsidRDefault="00985D19" w:rsidP="00985D19">
            <w:pPr>
              <w:rPr>
                <w:sz w:val="22"/>
                <w:szCs w:val="22"/>
              </w:rPr>
            </w:pPr>
            <w:r w:rsidRPr="004577E5">
              <w:rPr>
                <w:rFonts w:cs="Calibri"/>
                <w:color w:val="000000"/>
                <w:sz w:val="22"/>
                <w:szCs w:val="22"/>
              </w:rPr>
              <w:t>Ulster-Scots Agency</w:t>
            </w:r>
          </w:p>
        </w:tc>
        <w:tc>
          <w:tcPr>
            <w:tcW w:w="0" w:type="auto"/>
          </w:tcPr>
          <w:p w14:paraId="4A292259" w14:textId="48C8B90E" w:rsidR="00985D19" w:rsidRPr="004577E5" w:rsidRDefault="00985D19" w:rsidP="00985D19">
            <w:pPr>
              <w:jc w:val="right"/>
              <w:rPr>
                <w:sz w:val="22"/>
                <w:szCs w:val="22"/>
              </w:rPr>
            </w:pPr>
            <w:r w:rsidRPr="004577E5">
              <w:rPr>
                <w:rFonts w:cs="Calibri"/>
                <w:color w:val="000000"/>
                <w:sz w:val="22"/>
                <w:szCs w:val="22"/>
              </w:rPr>
              <w:t>12</w:t>
            </w:r>
          </w:p>
        </w:tc>
        <w:tc>
          <w:tcPr>
            <w:tcW w:w="0" w:type="auto"/>
          </w:tcPr>
          <w:p w14:paraId="27178680" w14:textId="072564D7" w:rsidR="00985D19" w:rsidRPr="004577E5" w:rsidRDefault="00985D19" w:rsidP="00985D19">
            <w:pPr>
              <w:jc w:val="right"/>
              <w:rPr>
                <w:sz w:val="22"/>
                <w:szCs w:val="22"/>
              </w:rPr>
            </w:pPr>
            <w:r w:rsidRPr="004577E5">
              <w:rPr>
                <w:rFonts w:cs="Calibri"/>
                <w:color w:val="000000"/>
                <w:sz w:val="22"/>
                <w:szCs w:val="22"/>
              </w:rPr>
              <w:t>1</w:t>
            </w:r>
          </w:p>
        </w:tc>
        <w:tc>
          <w:tcPr>
            <w:tcW w:w="0" w:type="auto"/>
          </w:tcPr>
          <w:p w14:paraId="4C8FB1FE" w14:textId="7749D706" w:rsidR="00985D19" w:rsidRPr="004577E5" w:rsidRDefault="00985D19" w:rsidP="00985D19">
            <w:pPr>
              <w:jc w:val="right"/>
              <w:rPr>
                <w:sz w:val="22"/>
                <w:szCs w:val="22"/>
              </w:rPr>
            </w:pPr>
            <w:r w:rsidRPr="004577E5">
              <w:rPr>
                <w:rFonts w:cs="Calibri"/>
                <w:color w:val="000000"/>
                <w:sz w:val="22"/>
                <w:szCs w:val="22"/>
              </w:rPr>
              <w:t>8.3%</w:t>
            </w:r>
          </w:p>
        </w:tc>
        <w:tc>
          <w:tcPr>
            <w:tcW w:w="0" w:type="auto"/>
          </w:tcPr>
          <w:p w14:paraId="3FAC40C7" w14:textId="1E6B14B4" w:rsidR="00985D19" w:rsidRPr="004577E5" w:rsidRDefault="00985D19" w:rsidP="00985D19">
            <w:pPr>
              <w:jc w:val="right"/>
              <w:rPr>
                <w:sz w:val="22"/>
                <w:szCs w:val="22"/>
              </w:rPr>
            </w:pPr>
            <w:r>
              <w:rPr>
                <w:rFonts w:cs="Calibri"/>
                <w:color w:val="000000"/>
                <w:sz w:val="22"/>
                <w:szCs w:val="22"/>
              </w:rPr>
              <w:t>13</w:t>
            </w:r>
          </w:p>
        </w:tc>
        <w:tc>
          <w:tcPr>
            <w:tcW w:w="0" w:type="auto"/>
          </w:tcPr>
          <w:p w14:paraId="4E3DF486" w14:textId="6A324207" w:rsidR="00985D19" w:rsidRPr="004577E5" w:rsidRDefault="00985D19" w:rsidP="00985D19">
            <w:pPr>
              <w:jc w:val="right"/>
              <w:rPr>
                <w:sz w:val="22"/>
                <w:szCs w:val="22"/>
              </w:rPr>
            </w:pPr>
            <w:r>
              <w:rPr>
                <w:rFonts w:cs="Calibri"/>
                <w:color w:val="000000"/>
                <w:sz w:val="22"/>
                <w:szCs w:val="22"/>
              </w:rPr>
              <w:t>4</w:t>
            </w:r>
          </w:p>
        </w:tc>
        <w:tc>
          <w:tcPr>
            <w:tcW w:w="2320" w:type="dxa"/>
          </w:tcPr>
          <w:p w14:paraId="39DA978A" w14:textId="7D1511D8" w:rsidR="00985D19" w:rsidRPr="004577E5" w:rsidRDefault="00985D19" w:rsidP="00985D19">
            <w:pPr>
              <w:jc w:val="right"/>
              <w:rPr>
                <w:sz w:val="22"/>
                <w:szCs w:val="22"/>
              </w:rPr>
            </w:pPr>
            <w:r>
              <w:rPr>
                <w:rFonts w:cs="Calibri"/>
                <w:color w:val="000000"/>
                <w:sz w:val="22"/>
                <w:szCs w:val="22"/>
              </w:rPr>
              <w:t>30.8%</w:t>
            </w:r>
          </w:p>
        </w:tc>
      </w:tr>
      <w:tr w:rsidR="00985D19" w:rsidRPr="004577E5" w14:paraId="7870CA38" w14:textId="77777777" w:rsidTr="00FC2472">
        <w:trPr>
          <w:trHeight w:val="455"/>
        </w:trPr>
        <w:tc>
          <w:tcPr>
            <w:tcW w:w="1590" w:type="dxa"/>
          </w:tcPr>
          <w:p w14:paraId="710D63F5" w14:textId="4FE5CBBD" w:rsidR="00985D19" w:rsidRPr="004577E5" w:rsidRDefault="00985D19" w:rsidP="00985D19">
            <w:pPr>
              <w:spacing w:after="0"/>
              <w:rPr>
                <w:sz w:val="22"/>
                <w:szCs w:val="22"/>
              </w:rPr>
            </w:pPr>
            <w:r w:rsidRPr="004577E5">
              <w:rPr>
                <w:b/>
                <w:sz w:val="22"/>
                <w:szCs w:val="22"/>
              </w:rPr>
              <w:t>Grand Total</w:t>
            </w:r>
          </w:p>
        </w:tc>
        <w:tc>
          <w:tcPr>
            <w:tcW w:w="0" w:type="auto"/>
          </w:tcPr>
          <w:p w14:paraId="13E16B49" w14:textId="77777777" w:rsidR="00985D19" w:rsidRPr="004577E5" w:rsidRDefault="00985D19" w:rsidP="00985D19">
            <w:pPr>
              <w:spacing w:after="0"/>
              <w:jc w:val="right"/>
              <w:rPr>
                <w:rFonts w:cs="Calibri"/>
                <w:b/>
                <w:bCs/>
                <w:color w:val="000000"/>
                <w:sz w:val="22"/>
                <w:szCs w:val="22"/>
                <w:lang w:eastAsia="en-IE"/>
              </w:rPr>
            </w:pPr>
            <w:r w:rsidRPr="004577E5">
              <w:rPr>
                <w:rFonts w:cs="Calibri"/>
                <w:b/>
                <w:bCs/>
                <w:color w:val="000000"/>
                <w:sz w:val="22"/>
                <w:szCs w:val="22"/>
              </w:rPr>
              <w:t>3,609</w:t>
            </w:r>
          </w:p>
          <w:p w14:paraId="29C0A30B" w14:textId="66CAF9E3" w:rsidR="00985D19" w:rsidRPr="004577E5" w:rsidRDefault="00985D19" w:rsidP="00985D19">
            <w:pPr>
              <w:spacing w:after="0"/>
              <w:jc w:val="right"/>
              <w:rPr>
                <w:b/>
                <w:sz w:val="22"/>
                <w:szCs w:val="22"/>
              </w:rPr>
            </w:pPr>
          </w:p>
        </w:tc>
        <w:tc>
          <w:tcPr>
            <w:tcW w:w="0" w:type="auto"/>
          </w:tcPr>
          <w:p w14:paraId="49DD7FA0" w14:textId="77777777" w:rsidR="00985D19" w:rsidRPr="004577E5" w:rsidRDefault="00985D19" w:rsidP="00985D19">
            <w:pPr>
              <w:spacing w:after="0"/>
              <w:jc w:val="right"/>
              <w:rPr>
                <w:rFonts w:cs="Calibri"/>
                <w:b/>
                <w:bCs/>
                <w:color w:val="000000"/>
                <w:sz w:val="22"/>
                <w:szCs w:val="22"/>
                <w:lang w:eastAsia="en-IE"/>
              </w:rPr>
            </w:pPr>
            <w:r w:rsidRPr="004577E5">
              <w:rPr>
                <w:rFonts w:cs="Calibri"/>
                <w:b/>
                <w:bCs/>
                <w:color w:val="000000"/>
                <w:sz w:val="22"/>
                <w:szCs w:val="22"/>
              </w:rPr>
              <w:t>227</w:t>
            </w:r>
          </w:p>
          <w:p w14:paraId="5E3BAC58" w14:textId="78E2EA45" w:rsidR="00985D19" w:rsidRPr="004577E5" w:rsidRDefault="00985D19" w:rsidP="00985D19">
            <w:pPr>
              <w:spacing w:after="0"/>
              <w:jc w:val="right"/>
              <w:rPr>
                <w:b/>
                <w:sz w:val="22"/>
                <w:szCs w:val="22"/>
              </w:rPr>
            </w:pPr>
          </w:p>
        </w:tc>
        <w:tc>
          <w:tcPr>
            <w:tcW w:w="0" w:type="auto"/>
          </w:tcPr>
          <w:p w14:paraId="324F9385" w14:textId="33570D03" w:rsidR="00985D19" w:rsidRPr="004577E5" w:rsidRDefault="00985D19" w:rsidP="00985D19">
            <w:pPr>
              <w:spacing w:after="0"/>
              <w:jc w:val="right"/>
              <w:rPr>
                <w:b/>
                <w:sz w:val="22"/>
                <w:szCs w:val="22"/>
              </w:rPr>
            </w:pPr>
            <w:r w:rsidRPr="004577E5">
              <w:rPr>
                <w:b/>
                <w:sz w:val="22"/>
                <w:szCs w:val="22"/>
              </w:rPr>
              <w:t>6.3%</w:t>
            </w:r>
          </w:p>
        </w:tc>
        <w:tc>
          <w:tcPr>
            <w:tcW w:w="0" w:type="auto"/>
          </w:tcPr>
          <w:p w14:paraId="080C9BE3" w14:textId="77777777" w:rsidR="00985D19" w:rsidRDefault="00985D19" w:rsidP="00985D19">
            <w:pPr>
              <w:spacing w:after="0"/>
              <w:jc w:val="right"/>
              <w:rPr>
                <w:rFonts w:cs="Calibri"/>
                <w:b/>
                <w:bCs/>
                <w:color w:val="000000"/>
                <w:sz w:val="22"/>
                <w:szCs w:val="22"/>
                <w:lang w:eastAsia="en-IE"/>
              </w:rPr>
            </w:pPr>
            <w:r>
              <w:rPr>
                <w:rFonts w:cs="Calibri"/>
                <w:b/>
                <w:bCs/>
                <w:color w:val="000000"/>
                <w:sz w:val="22"/>
                <w:szCs w:val="22"/>
              </w:rPr>
              <w:t>3670</w:t>
            </w:r>
          </w:p>
          <w:p w14:paraId="31DB3035" w14:textId="5B8673FE" w:rsidR="00985D19" w:rsidRPr="004577E5" w:rsidRDefault="00985D19" w:rsidP="00985D19">
            <w:pPr>
              <w:spacing w:after="0"/>
              <w:jc w:val="right"/>
              <w:rPr>
                <w:b/>
                <w:sz w:val="22"/>
                <w:szCs w:val="22"/>
              </w:rPr>
            </w:pPr>
          </w:p>
        </w:tc>
        <w:tc>
          <w:tcPr>
            <w:tcW w:w="0" w:type="auto"/>
          </w:tcPr>
          <w:p w14:paraId="3E504F9F" w14:textId="77777777" w:rsidR="00985D19" w:rsidRDefault="00985D19" w:rsidP="00985D19">
            <w:pPr>
              <w:spacing w:after="0"/>
              <w:jc w:val="right"/>
              <w:rPr>
                <w:rFonts w:cs="Calibri"/>
                <w:b/>
                <w:bCs/>
                <w:color w:val="000000"/>
                <w:sz w:val="22"/>
                <w:szCs w:val="22"/>
                <w:lang w:eastAsia="en-IE"/>
              </w:rPr>
            </w:pPr>
            <w:r>
              <w:rPr>
                <w:rFonts w:cs="Calibri"/>
                <w:b/>
                <w:bCs/>
                <w:color w:val="000000"/>
                <w:sz w:val="22"/>
                <w:szCs w:val="22"/>
              </w:rPr>
              <w:t>271</w:t>
            </w:r>
          </w:p>
          <w:p w14:paraId="40D52165" w14:textId="04F8E56F" w:rsidR="00985D19" w:rsidRPr="004577E5" w:rsidRDefault="00985D19" w:rsidP="00985D19">
            <w:pPr>
              <w:spacing w:after="0"/>
              <w:jc w:val="right"/>
              <w:rPr>
                <w:b/>
                <w:sz w:val="22"/>
                <w:szCs w:val="22"/>
              </w:rPr>
            </w:pPr>
          </w:p>
        </w:tc>
        <w:tc>
          <w:tcPr>
            <w:tcW w:w="2320" w:type="dxa"/>
          </w:tcPr>
          <w:p w14:paraId="2F2D016E" w14:textId="77777777" w:rsidR="00985D19" w:rsidRDefault="00985D19" w:rsidP="00985D19">
            <w:pPr>
              <w:spacing w:after="0"/>
              <w:jc w:val="right"/>
              <w:rPr>
                <w:rFonts w:cs="Calibri"/>
                <w:b/>
                <w:bCs/>
                <w:color w:val="000000"/>
                <w:sz w:val="22"/>
                <w:szCs w:val="22"/>
                <w:lang w:eastAsia="en-IE"/>
              </w:rPr>
            </w:pPr>
            <w:r>
              <w:rPr>
                <w:rFonts w:cs="Calibri"/>
                <w:b/>
                <w:bCs/>
                <w:color w:val="000000"/>
                <w:sz w:val="22"/>
                <w:szCs w:val="22"/>
              </w:rPr>
              <w:t>7.4%</w:t>
            </w:r>
          </w:p>
          <w:p w14:paraId="4B6EE5C0" w14:textId="5FE54FD4" w:rsidR="00985D19" w:rsidRPr="004577E5" w:rsidRDefault="00985D19" w:rsidP="00985D19">
            <w:pPr>
              <w:spacing w:after="0"/>
              <w:jc w:val="right"/>
              <w:rPr>
                <w:b/>
                <w:sz w:val="22"/>
                <w:szCs w:val="22"/>
              </w:rPr>
            </w:pPr>
          </w:p>
        </w:tc>
      </w:tr>
    </w:tbl>
    <w:p w14:paraId="72BBB24B" w14:textId="3A14A238" w:rsidR="009D42EA" w:rsidRPr="004577E5" w:rsidRDefault="009D42EA" w:rsidP="00D556A0">
      <w:pPr>
        <w:rPr>
          <w:rFonts w:cs="Arial"/>
          <w:b/>
          <w:lang w:eastAsia="en-IE"/>
        </w:rPr>
      </w:pPr>
    </w:p>
    <w:p w14:paraId="44A012A3" w14:textId="1AF7D464" w:rsidR="009D42EA" w:rsidRPr="00611BF3" w:rsidRDefault="009D42EA">
      <w:pPr>
        <w:spacing w:after="0"/>
        <w:rPr>
          <w:rFonts w:cs="Arial"/>
          <w:b/>
          <w:highlight w:val="green"/>
          <w:lang w:eastAsia="en-IE"/>
        </w:rPr>
      </w:pPr>
      <w:r w:rsidRPr="00611BF3">
        <w:rPr>
          <w:rFonts w:cs="Arial"/>
          <w:b/>
          <w:highlight w:val="green"/>
          <w:lang w:eastAsia="en-IE"/>
        </w:rPr>
        <w:br w:type="page"/>
      </w:r>
    </w:p>
    <w:p w14:paraId="6501D03E" w14:textId="669E7FB1" w:rsidR="00D556A0" w:rsidRPr="004D53C3" w:rsidRDefault="00D556A0" w:rsidP="001624B2">
      <w:pPr>
        <w:pStyle w:val="Heading2"/>
        <w:jc w:val="center"/>
        <w:rPr>
          <w:color w:val="000000" w:themeColor="text1"/>
          <w:lang w:eastAsia="en-IE"/>
        </w:rPr>
      </w:pPr>
      <w:bookmarkStart w:id="85" w:name="_Toc146113888"/>
      <w:r w:rsidRPr="004D53C3">
        <w:rPr>
          <w:color w:val="000000" w:themeColor="text1"/>
          <w:lang w:eastAsia="en-IE"/>
        </w:rPr>
        <w:lastRenderedPageBreak/>
        <w:t>Dep</w:t>
      </w:r>
      <w:r w:rsidR="00E31327" w:rsidRPr="004D53C3">
        <w:rPr>
          <w:color w:val="000000" w:themeColor="text1"/>
          <w:lang w:eastAsia="en-IE"/>
        </w:rPr>
        <w:t>artment of Transport</w:t>
      </w:r>
      <w:bookmarkEnd w:id="85"/>
    </w:p>
    <w:p w14:paraId="2AF451CA" w14:textId="77777777" w:rsidR="001D6F34" w:rsidRPr="004D53C3" w:rsidRDefault="001D6F34" w:rsidP="001D6F34">
      <w:pPr>
        <w:rPr>
          <w:sz w:val="6"/>
          <w:szCs w:val="6"/>
          <w:lang w:eastAsia="en-IE"/>
        </w:rPr>
      </w:pPr>
    </w:p>
    <w:tbl>
      <w:tblPr>
        <w:tblStyle w:val="TableGrid"/>
        <w:tblW w:w="10490" w:type="dxa"/>
        <w:tblInd w:w="-856" w:type="dxa"/>
        <w:tblLook w:val="0020" w:firstRow="1" w:lastRow="0" w:firstColumn="0" w:lastColumn="0" w:noHBand="0" w:noVBand="0"/>
      </w:tblPr>
      <w:tblGrid>
        <w:gridCol w:w="1729"/>
        <w:gridCol w:w="1316"/>
        <w:gridCol w:w="1316"/>
        <w:gridCol w:w="1316"/>
        <w:gridCol w:w="1316"/>
        <w:gridCol w:w="1316"/>
        <w:gridCol w:w="2181"/>
      </w:tblGrid>
      <w:tr w:rsidR="00C77EBD" w:rsidRPr="004D53C3" w14:paraId="4F00C04D" w14:textId="77777777" w:rsidTr="00FC2472">
        <w:trPr>
          <w:tblHeader/>
        </w:trPr>
        <w:tc>
          <w:tcPr>
            <w:tcW w:w="1729" w:type="dxa"/>
          </w:tcPr>
          <w:p w14:paraId="54AC79F8" w14:textId="77777777" w:rsidR="00C77EBD" w:rsidRPr="004D53C3" w:rsidRDefault="00C77EBD" w:rsidP="00F11BF2">
            <w:pPr>
              <w:rPr>
                <w:b/>
                <w:sz w:val="22"/>
                <w:szCs w:val="22"/>
              </w:rPr>
            </w:pPr>
            <w:r w:rsidRPr="004D53C3">
              <w:rPr>
                <w:b/>
                <w:sz w:val="22"/>
                <w:szCs w:val="22"/>
              </w:rPr>
              <w:t>Public Body</w:t>
            </w:r>
          </w:p>
        </w:tc>
        <w:tc>
          <w:tcPr>
            <w:tcW w:w="0" w:type="auto"/>
          </w:tcPr>
          <w:p w14:paraId="50BEE0E2" w14:textId="77777777" w:rsidR="001530F1" w:rsidRPr="004D53C3" w:rsidRDefault="00844749" w:rsidP="001530F1">
            <w:pPr>
              <w:spacing w:after="0"/>
              <w:rPr>
                <w:b/>
                <w:sz w:val="22"/>
                <w:szCs w:val="22"/>
              </w:rPr>
            </w:pPr>
            <w:r w:rsidRPr="004D53C3">
              <w:rPr>
                <w:b/>
                <w:sz w:val="22"/>
                <w:szCs w:val="22"/>
              </w:rPr>
              <w:t xml:space="preserve">Total </w:t>
            </w:r>
          </w:p>
          <w:p w14:paraId="3EB7FC6B" w14:textId="77777777" w:rsidR="001530F1" w:rsidRPr="004D53C3" w:rsidRDefault="00844749" w:rsidP="001530F1">
            <w:pPr>
              <w:spacing w:after="0"/>
              <w:rPr>
                <w:b/>
                <w:sz w:val="22"/>
                <w:szCs w:val="22"/>
              </w:rPr>
            </w:pPr>
            <w:r w:rsidRPr="004D53C3">
              <w:rPr>
                <w:b/>
                <w:sz w:val="22"/>
                <w:szCs w:val="22"/>
              </w:rPr>
              <w:t xml:space="preserve">number </w:t>
            </w:r>
          </w:p>
          <w:p w14:paraId="084C7C87" w14:textId="77777777" w:rsidR="001530F1" w:rsidRPr="004D53C3" w:rsidRDefault="00844749" w:rsidP="001530F1">
            <w:pPr>
              <w:spacing w:after="0"/>
              <w:rPr>
                <w:b/>
                <w:sz w:val="22"/>
                <w:szCs w:val="22"/>
              </w:rPr>
            </w:pPr>
            <w:r w:rsidRPr="004D53C3">
              <w:rPr>
                <w:b/>
                <w:sz w:val="22"/>
                <w:szCs w:val="22"/>
              </w:rPr>
              <w:t xml:space="preserve">of </w:t>
            </w:r>
          </w:p>
          <w:p w14:paraId="77D00AD6" w14:textId="6F455623" w:rsidR="00C77EBD" w:rsidRPr="004D53C3" w:rsidRDefault="00844749" w:rsidP="001530F1">
            <w:pPr>
              <w:spacing w:after="0"/>
              <w:rPr>
                <w:b/>
                <w:sz w:val="22"/>
                <w:szCs w:val="22"/>
              </w:rPr>
            </w:pPr>
            <w:r w:rsidRPr="004D53C3">
              <w:rPr>
                <w:b/>
                <w:sz w:val="22"/>
                <w:szCs w:val="22"/>
              </w:rPr>
              <w:t>employees 202</w:t>
            </w:r>
            <w:r w:rsidR="004D53C3">
              <w:rPr>
                <w:b/>
                <w:sz w:val="22"/>
                <w:szCs w:val="22"/>
              </w:rPr>
              <w:t>1</w:t>
            </w:r>
          </w:p>
        </w:tc>
        <w:tc>
          <w:tcPr>
            <w:tcW w:w="0" w:type="auto"/>
          </w:tcPr>
          <w:p w14:paraId="54AB7BA2" w14:textId="77777777" w:rsidR="00820A9E" w:rsidRPr="004D53C3" w:rsidRDefault="00C77EBD" w:rsidP="00820A9E">
            <w:pPr>
              <w:spacing w:after="0"/>
              <w:rPr>
                <w:b/>
                <w:sz w:val="22"/>
                <w:szCs w:val="22"/>
              </w:rPr>
            </w:pPr>
            <w:r w:rsidRPr="004D53C3">
              <w:rPr>
                <w:b/>
                <w:sz w:val="22"/>
                <w:szCs w:val="22"/>
              </w:rPr>
              <w:t xml:space="preserve">Number </w:t>
            </w:r>
            <w:r w:rsidR="009112F8" w:rsidRPr="004D53C3">
              <w:rPr>
                <w:b/>
                <w:sz w:val="22"/>
                <w:szCs w:val="22"/>
              </w:rPr>
              <w:t xml:space="preserve">of </w:t>
            </w:r>
            <w:r w:rsidRPr="004D53C3">
              <w:rPr>
                <w:b/>
                <w:sz w:val="22"/>
                <w:szCs w:val="22"/>
              </w:rPr>
              <w:t>emplo</w:t>
            </w:r>
            <w:r w:rsidR="00844749" w:rsidRPr="004D53C3">
              <w:rPr>
                <w:b/>
                <w:sz w:val="22"/>
                <w:szCs w:val="22"/>
              </w:rPr>
              <w:t xml:space="preserve">yees reporting a disability </w:t>
            </w:r>
          </w:p>
          <w:p w14:paraId="033CBB97" w14:textId="597548D9" w:rsidR="00C77EBD" w:rsidRPr="004D53C3" w:rsidRDefault="00844749" w:rsidP="00F11BF2">
            <w:pPr>
              <w:rPr>
                <w:b/>
                <w:sz w:val="22"/>
                <w:szCs w:val="22"/>
              </w:rPr>
            </w:pPr>
            <w:r w:rsidRPr="004D53C3">
              <w:rPr>
                <w:b/>
                <w:sz w:val="22"/>
                <w:szCs w:val="22"/>
              </w:rPr>
              <w:t>202</w:t>
            </w:r>
            <w:r w:rsidR="004D53C3">
              <w:rPr>
                <w:b/>
                <w:sz w:val="22"/>
                <w:szCs w:val="22"/>
              </w:rPr>
              <w:t>1</w:t>
            </w:r>
          </w:p>
        </w:tc>
        <w:tc>
          <w:tcPr>
            <w:tcW w:w="0" w:type="auto"/>
          </w:tcPr>
          <w:p w14:paraId="4BF54F78" w14:textId="429F5CF9" w:rsidR="00C77EBD" w:rsidRPr="004D53C3" w:rsidRDefault="00C77EBD" w:rsidP="00F11BF2">
            <w:pPr>
              <w:rPr>
                <w:b/>
                <w:sz w:val="22"/>
                <w:szCs w:val="22"/>
              </w:rPr>
            </w:pPr>
            <w:r w:rsidRPr="004D53C3">
              <w:rPr>
                <w:b/>
                <w:sz w:val="22"/>
                <w:szCs w:val="22"/>
              </w:rPr>
              <w:t>% of employ</w:t>
            </w:r>
            <w:r w:rsidR="00844749" w:rsidRPr="004D53C3">
              <w:rPr>
                <w:b/>
                <w:sz w:val="22"/>
                <w:szCs w:val="22"/>
              </w:rPr>
              <w:t>ees  reporting a disability 202</w:t>
            </w:r>
            <w:r w:rsidR="004D53C3">
              <w:rPr>
                <w:b/>
                <w:sz w:val="22"/>
                <w:szCs w:val="22"/>
              </w:rPr>
              <w:t>1</w:t>
            </w:r>
          </w:p>
        </w:tc>
        <w:tc>
          <w:tcPr>
            <w:tcW w:w="0" w:type="auto"/>
          </w:tcPr>
          <w:p w14:paraId="3946ABCF" w14:textId="77777777" w:rsidR="001530F1" w:rsidRPr="004D53C3" w:rsidRDefault="00C77EBD" w:rsidP="001530F1">
            <w:pPr>
              <w:spacing w:after="0"/>
              <w:rPr>
                <w:b/>
                <w:sz w:val="22"/>
                <w:szCs w:val="22"/>
              </w:rPr>
            </w:pPr>
            <w:r w:rsidRPr="004D53C3">
              <w:rPr>
                <w:b/>
                <w:sz w:val="22"/>
                <w:szCs w:val="22"/>
              </w:rPr>
              <w:t xml:space="preserve">Total number </w:t>
            </w:r>
          </w:p>
          <w:p w14:paraId="373F45BB" w14:textId="77777777" w:rsidR="001530F1" w:rsidRPr="004D53C3" w:rsidRDefault="00C77EBD" w:rsidP="001530F1">
            <w:pPr>
              <w:spacing w:after="0"/>
              <w:rPr>
                <w:b/>
                <w:sz w:val="22"/>
                <w:szCs w:val="22"/>
              </w:rPr>
            </w:pPr>
            <w:r w:rsidRPr="004D53C3">
              <w:rPr>
                <w:b/>
                <w:sz w:val="22"/>
                <w:szCs w:val="22"/>
              </w:rPr>
              <w:t>of employees</w:t>
            </w:r>
          </w:p>
          <w:p w14:paraId="1CF6909B" w14:textId="0AAC7B5C" w:rsidR="00C77EBD" w:rsidRPr="004D53C3" w:rsidRDefault="001530F1" w:rsidP="001530F1">
            <w:pPr>
              <w:spacing w:after="0"/>
              <w:rPr>
                <w:b/>
                <w:sz w:val="22"/>
                <w:szCs w:val="22"/>
              </w:rPr>
            </w:pPr>
            <w:r w:rsidRPr="004D53C3">
              <w:rPr>
                <w:b/>
                <w:sz w:val="22"/>
                <w:szCs w:val="22"/>
              </w:rPr>
              <w:t>20</w:t>
            </w:r>
            <w:r w:rsidR="00844749" w:rsidRPr="004D53C3">
              <w:rPr>
                <w:b/>
                <w:sz w:val="22"/>
                <w:szCs w:val="22"/>
              </w:rPr>
              <w:t>2</w:t>
            </w:r>
            <w:r w:rsidR="004D53C3">
              <w:rPr>
                <w:b/>
                <w:sz w:val="22"/>
                <w:szCs w:val="22"/>
              </w:rPr>
              <w:t>2</w:t>
            </w:r>
          </w:p>
        </w:tc>
        <w:tc>
          <w:tcPr>
            <w:tcW w:w="0" w:type="auto"/>
          </w:tcPr>
          <w:p w14:paraId="3A1644E7" w14:textId="601E6077" w:rsidR="00C77EBD" w:rsidRPr="004D53C3" w:rsidRDefault="00C77EBD" w:rsidP="00F11BF2">
            <w:pPr>
              <w:rPr>
                <w:b/>
                <w:sz w:val="22"/>
                <w:szCs w:val="22"/>
              </w:rPr>
            </w:pPr>
            <w:r w:rsidRPr="004D53C3">
              <w:rPr>
                <w:b/>
                <w:sz w:val="22"/>
                <w:szCs w:val="22"/>
              </w:rPr>
              <w:t xml:space="preserve">Number </w:t>
            </w:r>
            <w:r w:rsidR="009112F8" w:rsidRPr="004D53C3">
              <w:rPr>
                <w:b/>
                <w:sz w:val="22"/>
                <w:szCs w:val="22"/>
              </w:rPr>
              <w:t xml:space="preserve">of </w:t>
            </w:r>
            <w:r w:rsidRPr="004D53C3">
              <w:rPr>
                <w:b/>
                <w:sz w:val="22"/>
                <w:szCs w:val="22"/>
              </w:rPr>
              <w:t>employe</w:t>
            </w:r>
            <w:r w:rsidR="00844749" w:rsidRPr="004D53C3">
              <w:rPr>
                <w:b/>
                <w:sz w:val="22"/>
                <w:szCs w:val="22"/>
              </w:rPr>
              <w:t>es reporting a  disability  202</w:t>
            </w:r>
            <w:r w:rsidR="004D53C3">
              <w:rPr>
                <w:b/>
                <w:sz w:val="22"/>
                <w:szCs w:val="22"/>
              </w:rPr>
              <w:t>2</w:t>
            </w:r>
          </w:p>
        </w:tc>
        <w:tc>
          <w:tcPr>
            <w:tcW w:w="2181" w:type="dxa"/>
          </w:tcPr>
          <w:p w14:paraId="035E2D69" w14:textId="0B079343" w:rsidR="00C77EBD" w:rsidRPr="004D53C3" w:rsidRDefault="00C77EBD" w:rsidP="00F11BF2">
            <w:pPr>
              <w:rPr>
                <w:b/>
                <w:sz w:val="22"/>
                <w:szCs w:val="22"/>
              </w:rPr>
            </w:pPr>
            <w:r w:rsidRPr="004D53C3">
              <w:rPr>
                <w:b/>
                <w:sz w:val="22"/>
                <w:szCs w:val="22"/>
              </w:rPr>
              <w:t>% of employe</w:t>
            </w:r>
            <w:r w:rsidR="00844749" w:rsidRPr="004D53C3">
              <w:rPr>
                <w:b/>
                <w:sz w:val="22"/>
                <w:szCs w:val="22"/>
              </w:rPr>
              <w:t>es reporting a disability   202</w:t>
            </w:r>
            <w:r w:rsidR="004D53C3">
              <w:rPr>
                <w:b/>
                <w:sz w:val="22"/>
                <w:szCs w:val="22"/>
              </w:rPr>
              <w:t>2</w:t>
            </w:r>
          </w:p>
        </w:tc>
      </w:tr>
      <w:tr w:rsidR="004D53C3" w:rsidRPr="004D53C3" w14:paraId="479AFAAD" w14:textId="77777777" w:rsidTr="00FC2472">
        <w:tc>
          <w:tcPr>
            <w:tcW w:w="1729" w:type="dxa"/>
          </w:tcPr>
          <w:p w14:paraId="6ADE3BC9" w14:textId="4E70D775" w:rsidR="004D53C3" w:rsidRPr="004D53C3" w:rsidRDefault="004D53C3" w:rsidP="004D53C3">
            <w:pPr>
              <w:rPr>
                <w:sz w:val="22"/>
                <w:szCs w:val="22"/>
                <w:lang w:eastAsia="en-IE"/>
              </w:rPr>
            </w:pPr>
            <w:r w:rsidRPr="004D53C3">
              <w:rPr>
                <w:rFonts w:cs="Calibri"/>
                <w:color w:val="000000"/>
                <w:sz w:val="22"/>
                <w:szCs w:val="22"/>
              </w:rPr>
              <w:t>Bus Éireann</w:t>
            </w:r>
          </w:p>
        </w:tc>
        <w:tc>
          <w:tcPr>
            <w:tcW w:w="0" w:type="auto"/>
          </w:tcPr>
          <w:p w14:paraId="6AA88AD9" w14:textId="4E882BC9" w:rsidR="004D53C3" w:rsidRPr="004D53C3" w:rsidRDefault="004D53C3" w:rsidP="004D53C3">
            <w:pPr>
              <w:jc w:val="right"/>
              <w:rPr>
                <w:sz w:val="22"/>
                <w:szCs w:val="22"/>
                <w:lang w:eastAsia="en-IE"/>
              </w:rPr>
            </w:pPr>
            <w:r w:rsidRPr="004D53C3">
              <w:rPr>
                <w:rFonts w:cs="Calibri"/>
                <w:color w:val="000000"/>
                <w:sz w:val="22"/>
                <w:szCs w:val="22"/>
              </w:rPr>
              <w:t>2,784</w:t>
            </w:r>
          </w:p>
        </w:tc>
        <w:tc>
          <w:tcPr>
            <w:tcW w:w="0" w:type="auto"/>
          </w:tcPr>
          <w:p w14:paraId="5EE39859" w14:textId="22452D72" w:rsidR="004D53C3" w:rsidRPr="004D53C3" w:rsidRDefault="004D53C3" w:rsidP="004D53C3">
            <w:pPr>
              <w:jc w:val="right"/>
              <w:rPr>
                <w:sz w:val="22"/>
                <w:szCs w:val="22"/>
              </w:rPr>
            </w:pPr>
            <w:r w:rsidRPr="004D53C3">
              <w:rPr>
                <w:rFonts w:cs="Calibri"/>
                <w:color w:val="000000"/>
                <w:sz w:val="22"/>
                <w:szCs w:val="22"/>
              </w:rPr>
              <w:t>122</w:t>
            </w:r>
          </w:p>
        </w:tc>
        <w:tc>
          <w:tcPr>
            <w:tcW w:w="0" w:type="auto"/>
          </w:tcPr>
          <w:p w14:paraId="5C586F4A" w14:textId="72982730" w:rsidR="004D53C3" w:rsidRPr="004D53C3" w:rsidRDefault="004D53C3" w:rsidP="004D53C3">
            <w:pPr>
              <w:jc w:val="right"/>
              <w:rPr>
                <w:sz w:val="22"/>
                <w:szCs w:val="22"/>
              </w:rPr>
            </w:pPr>
            <w:r w:rsidRPr="004D53C3">
              <w:rPr>
                <w:rFonts w:cs="Calibri"/>
                <w:color w:val="000000"/>
                <w:sz w:val="22"/>
                <w:szCs w:val="22"/>
              </w:rPr>
              <w:t>4.4%</w:t>
            </w:r>
          </w:p>
        </w:tc>
        <w:tc>
          <w:tcPr>
            <w:tcW w:w="0" w:type="auto"/>
          </w:tcPr>
          <w:p w14:paraId="47B2455F" w14:textId="332B09A4" w:rsidR="004D53C3" w:rsidRPr="004D53C3" w:rsidRDefault="004D53C3" w:rsidP="004D53C3">
            <w:pPr>
              <w:spacing w:after="0"/>
              <w:jc w:val="right"/>
              <w:rPr>
                <w:rFonts w:cs="Calibri"/>
                <w:color w:val="000000"/>
                <w:sz w:val="22"/>
                <w:szCs w:val="22"/>
                <w:lang w:eastAsia="en-IE"/>
              </w:rPr>
            </w:pPr>
            <w:r>
              <w:rPr>
                <w:rFonts w:cs="Calibri"/>
                <w:color w:val="000000"/>
                <w:sz w:val="22"/>
                <w:szCs w:val="22"/>
              </w:rPr>
              <w:t>2827</w:t>
            </w:r>
          </w:p>
        </w:tc>
        <w:tc>
          <w:tcPr>
            <w:tcW w:w="0" w:type="auto"/>
          </w:tcPr>
          <w:p w14:paraId="1D1C1F09" w14:textId="6CFB8AB2" w:rsidR="004D53C3" w:rsidRPr="004D53C3" w:rsidRDefault="004D53C3" w:rsidP="004D53C3">
            <w:pPr>
              <w:jc w:val="right"/>
              <w:rPr>
                <w:sz w:val="22"/>
                <w:szCs w:val="22"/>
                <w:lang w:eastAsia="en-IE"/>
              </w:rPr>
            </w:pPr>
            <w:r>
              <w:rPr>
                <w:rFonts w:cs="Calibri"/>
                <w:color w:val="000000"/>
                <w:sz w:val="22"/>
                <w:szCs w:val="22"/>
              </w:rPr>
              <w:t>121</w:t>
            </w:r>
          </w:p>
        </w:tc>
        <w:tc>
          <w:tcPr>
            <w:tcW w:w="2181" w:type="dxa"/>
          </w:tcPr>
          <w:p w14:paraId="5ADF67B9" w14:textId="56AA69C2" w:rsidR="004D53C3" w:rsidRPr="004D53C3" w:rsidRDefault="004D53C3" w:rsidP="004D53C3">
            <w:pPr>
              <w:jc w:val="right"/>
              <w:rPr>
                <w:sz w:val="22"/>
                <w:szCs w:val="22"/>
              </w:rPr>
            </w:pPr>
            <w:r>
              <w:rPr>
                <w:rFonts w:cs="Calibri"/>
                <w:color w:val="000000"/>
                <w:sz w:val="22"/>
                <w:szCs w:val="22"/>
              </w:rPr>
              <w:t>4.3%</w:t>
            </w:r>
          </w:p>
        </w:tc>
      </w:tr>
      <w:tr w:rsidR="004D53C3" w:rsidRPr="004D53C3" w14:paraId="3AB64512" w14:textId="77777777" w:rsidTr="00FC2472">
        <w:tc>
          <w:tcPr>
            <w:tcW w:w="1729" w:type="dxa"/>
          </w:tcPr>
          <w:p w14:paraId="1F8F89DA" w14:textId="5A06794C" w:rsidR="004D53C3" w:rsidRPr="004D53C3" w:rsidRDefault="004D53C3" w:rsidP="004D53C3">
            <w:pPr>
              <w:rPr>
                <w:sz w:val="22"/>
                <w:szCs w:val="22"/>
              </w:rPr>
            </w:pPr>
            <w:r w:rsidRPr="004D53C3">
              <w:rPr>
                <w:rFonts w:cs="Calibri"/>
                <w:color w:val="000000"/>
                <w:sz w:val="22"/>
                <w:szCs w:val="22"/>
              </w:rPr>
              <w:t>Commission for Aviation Regulation</w:t>
            </w:r>
          </w:p>
        </w:tc>
        <w:tc>
          <w:tcPr>
            <w:tcW w:w="0" w:type="auto"/>
          </w:tcPr>
          <w:p w14:paraId="60A84337" w14:textId="592AE414" w:rsidR="004D53C3" w:rsidRPr="004D53C3" w:rsidRDefault="004D53C3" w:rsidP="004D53C3">
            <w:pPr>
              <w:jc w:val="right"/>
              <w:rPr>
                <w:sz w:val="22"/>
                <w:szCs w:val="22"/>
              </w:rPr>
            </w:pPr>
            <w:r w:rsidRPr="004D53C3">
              <w:rPr>
                <w:rFonts w:cs="Calibri"/>
                <w:color w:val="000000"/>
                <w:sz w:val="22"/>
                <w:szCs w:val="22"/>
              </w:rPr>
              <w:t>25</w:t>
            </w:r>
          </w:p>
        </w:tc>
        <w:tc>
          <w:tcPr>
            <w:tcW w:w="0" w:type="auto"/>
          </w:tcPr>
          <w:p w14:paraId="322778B6" w14:textId="14B04379" w:rsidR="004D53C3" w:rsidRPr="004D53C3" w:rsidRDefault="004D53C3" w:rsidP="004D53C3">
            <w:pPr>
              <w:jc w:val="right"/>
              <w:rPr>
                <w:sz w:val="22"/>
                <w:szCs w:val="22"/>
              </w:rPr>
            </w:pPr>
            <w:r w:rsidRPr="004D53C3">
              <w:rPr>
                <w:rFonts w:cs="Calibri"/>
                <w:color w:val="000000"/>
                <w:sz w:val="22"/>
                <w:szCs w:val="22"/>
              </w:rPr>
              <w:t>0</w:t>
            </w:r>
          </w:p>
        </w:tc>
        <w:tc>
          <w:tcPr>
            <w:tcW w:w="0" w:type="auto"/>
          </w:tcPr>
          <w:p w14:paraId="2F4EAEE4" w14:textId="66ECC2EF" w:rsidR="004D53C3" w:rsidRPr="004D53C3" w:rsidRDefault="004D53C3" w:rsidP="004D53C3">
            <w:pPr>
              <w:jc w:val="right"/>
              <w:rPr>
                <w:sz w:val="22"/>
                <w:szCs w:val="22"/>
              </w:rPr>
            </w:pPr>
            <w:r w:rsidRPr="004D53C3">
              <w:rPr>
                <w:rFonts w:cs="Calibri"/>
                <w:color w:val="000000"/>
                <w:sz w:val="22"/>
                <w:szCs w:val="22"/>
              </w:rPr>
              <w:t>0.0%</w:t>
            </w:r>
          </w:p>
        </w:tc>
        <w:tc>
          <w:tcPr>
            <w:tcW w:w="0" w:type="auto"/>
          </w:tcPr>
          <w:p w14:paraId="78983352" w14:textId="151DA469" w:rsidR="004D53C3" w:rsidRPr="004D53C3" w:rsidRDefault="004D53C3" w:rsidP="004D53C3">
            <w:pPr>
              <w:jc w:val="right"/>
              <w:rPr>
                <w:rFonts w:cs="Calibri"/>
                <w:color w:val="000000"/>
                <w:sz w:val="22"/>
                <w:szCs w:val="22"/>
              </w:rPr>
            </w:pPr>
            <w:r>
              <w:rPr>
                <w:rFonts w:cs="Calibri"/>
                <w:color w:val="000000"/>
                <w:sz w:val="22"/>
                <w:szCs w:val="22"/>
              </w:rPr>
              <w:t>27</w:t>
            </w:r>
          </w:p>
        </w:tc>
        <w:tc>
          <w:tcPr>
            <w:tcW w:w="0" w:type="auto"/>
          </w:tcPr>
          <w:p w14:paraId="01F5D079" w14:textId="0904B4DF" w:rsidR="004D53C3" w:rsidRPr="004D53C3" w:rsidRDefault="004D53C3" w:rsidP="004D53C3">
            <w:pPr>
              <w:jc w:val="right"/>
              <w:rPr>
                <w:sz w:val="22"/>
                <w:szCs w:val="22"/>
              </w:rPr>
            </w:pPr>
            <w:r>
              <w:rPr>
                <w:rFonts w:cs="Calibri"/>
                <w:color w:val="000000"/>
                <w:sz w:val="22"/>
                <w:szCs w:val="22"/>
              </w:rPr>
              <w:t>0</w:t>
            </w:r>
          </w:p>
        </w:tc>
        <w:tc>
          <w:tcPr>
            <w:tcW w:w="2181" w:type="dxa"/>
          </w:tcPr>
          <w:p w14:paraId="4E4B52DA" w14:textId="62A824CC" w:rsidR="004D53C3" w:rsidRPr="004D53C3" w:rsidRDefault="004D53C3" w:rsidP="004D53C3">
            <w:pPr>
              <w:jc w:val="right"/>
              <w:rPr>
                <w:sz w:val="22"/>
                <w:szCs w:val="22"/>
              </w:rPr>
            </w:pPr>
            <w:r>
              <w:rPr>
                <w:rFonts w:cs="Calibri"/>
                <w:color w:val="000000"/>
                <w:sz w:val="22"/>
                <w:szCs w:val="22"/>
              </w:rPr>
              <w:t>0.0%</w:t>
            </w:r>
          </w:p>
        </w:tc>
      </w:tr>
      <w:tr w:rsidR="004D53C3" w:rsidRPr="004D53C3" w14:paraId="20E34CB5" w14:textId="77777777" w:rsidTr="00FC2472">
        <w:tc>
          <w:tcPr>
            <w:tcW w:w="1729" w:type="dxa"/>
          </w:tcPr>
          <w:p w14:paraId="7D84A624" w14:textId="456831A0" w:rsidR="004D53C3" w:rsidRPr="004D53C3" w:rsidRDefault="004D53C3" w:rsidP="004D53C3">
            <w:pPr>
              <w:rPr>
                <w:sz w:val="22"/>
                <w:szCs w:val="22"/>
              </w:rPr>
            </w:pPr>
            <w:r w:rsidRPr="004D53C3">
              <w:rPr>
                <w:rFonts w:cs="Calibri"/>
                <w:color w:val="000000"/>
                <w:sz w:val="22"/>
                <w:szCs w:val="22"/>
              </w:rPr>
              <w:t>Commission for Railway Regulation</w:t>
            </w:r>
          </w:p>
        </w:tc>
        <w:tc>
          <w:tcPr>
            <w:tcW w:w="0" w:type="auto"/>
          </w:tcPr>
          <w:p w14:paraId="64E6B4C7" w14:textId="0EFA7640" w:rsidR="004D53C3" w:rsidRPr="004D53C3" w:rsidRDefault="004D53C3" w:rsidP="004D53C3">
            <w:pPr>
              <w:jc w:val="right"/>
              <w:rPr>
                <w:sz w:val="22"/>
                <w:szCs w:val="22"/>
              </w:rPr>
            </w:pPr>
            <w:r w:rsidRPr="004D53C3">
              <w:rPr>
                <w:rFonts w:cs="Calibri"/>
                <w:color w:val="000000"/>
                <w:sz w:val="22"/>
                <w:szCs w:val="22"/>
              </w:rPr>
              <w:t>16</w:t>
            </w:r>
          </w:p>
        </w:tc>
        <w:tc>
          <w:tcPr>
            <w:tcW w:w="0" w:type="auto"/>
          </w:tcPr>
          <w:p w14:paraId="01B22052" w14:textId="79160150" w:rsidR="004D53C3" w:rsidRPr="004D53C3" w:rsidRDefault="004D53C3" w:rsidP="004D53C3">
            <w:pPr>
              <w:jc w:val="right"/>
              <w:rPr>
                <w:sz w:val="22"/>
                <w:szCs w:val="22"/>
              </w:rPr>
            </w:pPr>
            <w:r w:rsidRPr="004D53C3">
              <w:rPr>
                <w:rFonts w:cs="Calibri"/>
                <w:color w:val="000000"/>
                <w:sz w:val="22"/>
                <w:szCs w:val="22"/>
              </w:rPr>
              <w:t>0</w:t>
            </w:r>
          </w:p>
        </w:tc>
        <w:tc>
          <w:tcPr>
            <w:tcW w:w="0" w:type="auto"/>
          </w:tcPr>
          <w:p w14:paraId="298E9E17" w14:textId="39664CE5" w:rsidR="004D53C3" w:rsidRPr="004D53C3" w:rsidRDefault="004D53C3" w:rsidP="004D53C3">
            <w:pPr>
              <w:jc w:val="right"/>
              <w:rPr>
                <w:sz w:val="22"/>
                <w:szCs w:val="22"/>
              </w:rPr>
            </w:pPr>
            <w:r w:rsidRPr="004D53C3">
              <w:rPr>
                <w:rFonts w:cs="Calibri"/>
                <w:color w:val="000000"/>
                <w:sz w:val="22"/>
                <w:szCs w:val="22"/>
              </w:rPr>
              <w:t>0.0%</w:t>
            </w:r>
          </w:p>
        </w:tc>
        <w:tc>
          <w:tcPr>
            <w:tcW w:w="0" w:type="auto"/>
          </w:tcPr>
          <w:p w14:paraId="5F53A9F4" w14:textId="2D38FCBA" w:rsidR="004D53C3" w:rsidRPr="004D53C3" w:rsidRDefault="004D53C3" w:rsidP="004D53C3">
            <w:pPr>
              <w:jc w:val="right"/>
              <w:rPr>
                <w:rFonts w:cs="Calibri"/>
                <w:color w:val="000000"/>
                <w:sz w:val="22"/>
                <w:szCs w:val="22"/>
              </w:rPr>
            </w:pPr>
            <w:r>
              <w:rPr>
                <w:rFonts w:cs="Calibri"/>
                <w:color w:val="000000"/>
                <w:sz w:val="22"/>
                <w:szCs w:val="22"/>
              </w:rPr>
              <w:t>17</w:t>
            </w:r>
          </w:p>
        </w:tc>
        <w:tc>
          <w:tcPr>
            <w:tcW w:w="0" w:type="auto"/>
          </w:tcPr>
          <w:p w14:paraId="27ABDF11" w14:textId="149B7933" w:rsidR="004D53C3" w:rsidRPr="004D53C3" w:rsidRDefault="004D53C3" w:rsidP="004D53C3">
            <w:pPr>
              <w:jc w:val="right"/>
              <w:rPr>
                <w:sz w:val="22"/>
                <w:szCs w:val="22"/>
              </w:rPr>
            </w:pPr>
            <w:r>
              <w:rPr>
                <w:rFonts w:cs="Calibri"/>
                <w:color w:val="000000"/>
                <w:sz w:val="22"/>
                <w:szCs w:val="22"/>
              </w:rPr>
              <w:t>0</w:t>
            </w:r>
          </w:p>
        </w:tc>
        <w:tc>
          <w:tcPr>
            <w:tcW w:w="2181" w:type="dxa"/>
          </w:tcPr>
          <w:p w14:paraId="07995876" w14:textId="67988079" w:rsidR="004D53C3" w:rsidRPr="004D53C3" w:rsidRDefault="004D53C3" w:rsidP="004D53C3">
            <w:pPr>
              <w:jc w:val="right"/>
              <w:rPr>
                <w:sz w:val="22"/>
                <w:szCs w:val="22"/>
              </w:rPr>
            </w:pPr>
            <w:r>
              <w:rPr>
                <w:rFonts w:cs="Calibri"/>
                <w:color w:val="000000"/>
                <w:sz w:val="22"/>
                <w:szCs w:val="22"/>
              </w:rPr>
              <w:t>0.0%</w:t>
            </w:r>
          </w:p>
        </w:tc>
      </w:tr>
      <w:tr w:rsidR="004D53C3" w:rsidRPr="004D53C3" w14:paraId="2FCD7691" w14:textId="77777777" w:rsidTr="00FC2472">
        <w:tc>
          <w:tcPr>
            <w:tcW w:w="1729" w:type="dxa"/>
          </w:tcPr>
          <w:p w14:paraId="4B028B2D" w14:textId="494498DF" w:rsidR="004D53C3" w:rsidRPr="004D53C3" w:rsidRDefault="004D53C3" w:rsidP="004D53C3">
            <w:pPr>
              <w:rPr>
                <w:sz w:val="22"/>
                <w:szCs w:val="22"/>
              </w:rPr>
            </w:pPr>
            <w:r w:rsidRPr="004D53C3">
              <w:rPr>
                <w:rFonts w:cs="Calibri"/>
                <w:color w:val="000000"/>
                <w:sz w:val="22"/>
                <w:szCs w:val="22"/>
              </w:rPr>
              <w:t>Córas Iompair Éireann</w:t>
            </w:r>
          </w:p>
        </w:tc>
        <w:tc>
          <w:tcPr>
            <w:tcW w:w="0" w:type="auto"/>
          </w:tcPr>
          <w:p w14:paraId="3BA22BDE" w14:textId="47146EAC" w:rsidR="004D53C3" w:rsidRPr="004D53C3" w:rsidRDefault="004D53C3" w:rsidP="004D53C3">
            <w:pPr>
              <w:jc w:val="right"/>
              <w:rPr>
                <w:sz w:val="22"/>
                <w:szCs w:val="22"/>
              </w:rPr>
            </w:pPr>
            <w:r w:rsidRPr="004D53C3">
              <w:rPr>
                <w:rFonts w:cs="Calibri"/>
                <w:color w:val="000000"/>
                <w:sz w:val="22"/>
                <w:szCs w:val="22"/>
              </w:rPr>
              <w:t>209</w:t>
            </w:r>
          </w:p>
        </w:tc>
        <w:tc>
          <w:tcPr>
            <w:tcW w:w="0" w:type="auto"/>
          </w:tcPr>
          <w:p w14:paraId="5779BA6A" w14:textId="2B7D902D" w:rsidR="004D53C3" w:rsidRPr="004D53C3" w:rsidRDefault="004D53C3" w:rsidP="004D53C3">
            <w:pPr>
              <w:jc w:val="right"/>
              <w:rPr>
                <w:sz w:val="22"/>
                <w:szCs w:val="22"/>
              </w:rPr>
            </w:pPr>
            <w:r w:rsidRPr="004D53C3">
              <w:rPr>
                <w:rFonts w:cs="Calibri"/>
                <w:color w:val="000000"/>
                <w:sz w:val="22"/>
                <w:szCs w:val="22"/>
              </w:rPr>
              <w:t>7</w:t>
            </w:r>
          </w:p>
        </w:tc>
        <w:tc>
          <w:tcPr>
            <w:tcW w:w="0" w:type="auto"/>
          </w:tcPr>
          <w:p w14:paraId="73F15B62" w14:textId="229CCBA1" w:rsidR="004D53C3" w:rsidRPr="004D53C3" w:rsidRDefault="004D53C3" w:rsidP="004D53C3">
            <w:pPr>
              <w:jc w:val="right"/>
              <w:rPr>
                <w:sz w:val="22"/>
                <w:szCs w:val="22"/>
              </w:rPr>
            </w:pPr>
            <w:r w:rsidRPr="004D53C3">
              <w:rPr>
                <w:rFonts w:cs="Calibri"/>
                <w:color w:val="000000"/>
                <w:sz w:val="22"/>
                <w:szCs w:val="22"/>
              </w:rPr>
              <w:t>3.3%</w:t>
            </w:r>
          </w:p>
        </w:tc>
        <w:tc>
          <w:tcPr>
            <w:tcW w:w="0" w:type="auto"/>
          </w:tcPr>
          <w:p w14:paraId="0D4BA781" w14:textId="7E444854" w:rsidR="004D53C3" w:rsidRPr="004D53C3" w:rsidRDefault="004D53C3" w:rsidP="004D53C3">
            <w:pPr>
              <w:jc w:val="right"/>
              <w:rPr>
                <w:rFonts w:cs="Calibri"/>
                <w:color w:val="000000"/>
                <w:sz w:val="22"/>
                <w:szCs w:val="22"/>
              </w:rPr>
            </w:pPr>
            <w:r>
              <w:rPr>
                <w:rFonts w:cs="Calibri"/>
                <w:color w:val="000000"/>
                <w:sz w:val="22"/>
                <w:szCs w:val="22"/>
              </w:rPr>
              <w:t>215</w:t>
            </w:r>
          </w:p>
        </w:tc>
        <w:tc>
          <w:tcPr>
            <w:tcW w:w="0" w:type="auto"/>
          </w:tcPr>
          <w:p w14:paraId="2A65BEBB" w14:textId="2B85571F" w:rsidR="004D53C3" w:rsidRPr="004D53C3" w:rsidRDefault="004D53C3" w:rsidP="004D53C3">
            <w:pPr>
              <w:jc w:val="right"/>
              <w:rPr>
                <w:sz w:val="22"/>
                <w:szCs w:val="22"/>
              </w:rPr>
            </w:pPr>
            <w:r>
              <w:rPr>
                <w:rFonts w:cs="Calibri"/>
                <w:color w:val="000000"/>
                <w:sz w:val="22"/>
                <w:szCs w:val="22"/>
              </w:rPr>
              <w:t>8</w:t>
            </w:r>
          </w:p>
        </w:tc>
        <w:tc>
          <w:tcPr>
            <w:tcW w:w="2181" w:type="dxa"/>
          </w:tcPr>
          <w:p w14:paraId="1C52CE9F" w14:textId="60857E0B" w:rsidR="004D53C3" w:rsidRPr="004D53C3" w:rsidRDefault="004D53C3" w:rsidP="004D53C3">
            <w:pPr>
              <w:jc w:val="right"/>
              <w:rPr>
                <w:sz w:val="22"/>
                <w:szCs w:val="22"/>
              </w:rPr>
            </w:pPr>
            <w:r>
              <w:rPr>
                <w:rFonts w:cs="Calibri"/>
                <w:color w:val="000000"/>
                <w:sz w:val="22"/>
                <w:szCs w:val="22"/>
              </w:rPr>
              <w:t>3.7%</w:t>
            </w:r>
          </w:p>
        </w:tc>
      </w:tr>
      <w:tr w:rsidR="004D53C3" w:rsidRPr="004D53C3" w14:paraId="05208A5D" w14:textId="77777777" w:rsidTr="00FC2472">
        <w:tc>
          <w:tcPr>
            <w:tcW w:w="1729" w:type="dxa"/>
          </w:tcPr>
          <w:p w14:paraId="784A531E" w14:textId="67A9835E" w:rsidR="004D53C3" w:rsidRPr="004D53C3" w:rsidRDefault="004D53C3" w:rsidP="004D53C3">
            <w:pPr>
              <w:rPr>
                <w:sz w:val="22"/>
                <w:szCs w:val="22"/>
              </w:rPr>
            </w:pPr>
            <w:bookmarkStart w:id="86" w:name="_Hlk145921318"/>
            <w:r w:rsidRPr="004D53C3">
              <w:rPr>
                <w:rFonts w:cs="Calibri"/>
                <w:color w:val="000000"/>
                <w:sz w:val="22"/>
                <w:szCs w:val="22"/>
              </w:rPr>
              <w:t>daa plc</w:t>
            </w:r>
          </w:p>
        </w:tc>
        <w:tc>
          <w:tcPr>
            <w:tcW w:w="0" w:type="auto"/>
          </w:tcPr>
          <w:p w14:paraId="566399D0" w14:textId="554603BA" w:rsidR="004D53C3" w:rsidRPr="004D53C3" w:rsidRDefault="004D53C3" w:rsidP="004D53C3">
            <w:pPr>
              <w:jc w:val="right"/>
              <w:rPr>
                <w:sz w:val="22"/>
                <w:szCs w:val="22"/>
              </w:rPr>
            </w:pPr>
            <w:r w:rsidRPr="004D53C3">
              <w:rPr>
                <w:rFonts w:cs="Calibri"/>
                <w:color w:val="000000"/>
                <w:sz w:val="22"/>
                <w:szCs w:val="22"/>
              </w:rPr>
              <w:t>2,425</w:t>
            </w:r>
          </w:p>
        </w:tc>
        <w:tc>
          <w:tcPr>
            <w:tcW w:w="0" w:type="auto"/>
          </w:tcPr>
          <w:p w14:paraId="46109A67" w14:textId="658D1DD0" w:rsidR="004D53C3" w:rsidRPr="004D53C3" w:rsidRDefault="004D53C3" w:rsidP="004D53C3">
            <w:pPr>
              <w:jc w:val="right"/>
              <w:rPr>
                <w:sz w:val="22"/>
                <w:szCs w:val="22"/>
              </w:rPr>
            </w:pPr>
            <w:r w:rsidRPr="004D53C3">
              <w:rPr>
                <w:rFonts w:cs="Calibri"/>
                <w:color w:val="000000"/>
                <w:sz w:val="22"/>
                <w:szCs w:val="22"/>
              </w:rPr>
              <w:t>151</w:t>
            </w:r>
          </w:p>
        </w:tc>
        <w:tc>
          <w:tcPr>
            <w:tcW w:w="0" w:type="auto"/>
          </w:tcPr>
          <w:p w14:paraId="06003318" w14:textId="15C11565" w:rsidR="004D53C3" w:rsidRPr="004D53C3" w:rsidRDefault="004D53C3" w:rsidP="004D53C3">
            <w:pPr>
              <w:jc w:val="right"/>
              <w:rPr>
                <w:sz w:val="22"/>
                <w:szCs w:val="22"/>
              </w:rPr>
            </w:pPr>
            <w:r w:rsidRPr="004D53C3">
              <w:rPr>
                <w:rFonts w:cs="Calibri"/>
                <w:color w:val="000000"/>
                <w:sz w:val="22"/>
                <w:szCs w:val="22"/>
              </w:rPr>
              <w:t>6.2%</w:t>
            </w:r>
          </w:p>
        </w:tc>
        <w:tc>
          <w:tcPr>
            <w:tcW w:w="0" w:type="auto"/>
          </w:tcPr>
          <w:p w14:paraId="50B4D2BF" w14:textId="1C97B9C6" w:rsidR="004D53C3" w:rsidRPr="004D53C3" w:rsidRDefault="004D53C3" w:rsidP="004D53C3">
            <w:pPr>
              <w:jc w:val="right"/>
              <w:rPr>
                <w:rFonts w:cs="Calibri"/>
                <w:color w:val="000000"/>
                <w:sz w:val="22"/>
                <w:szCs w:val="22"/>
              </w:rPr>
            </w:pPr>
            <w:r>
              <w:rPr>
                <w:rFonts w:cs="Calibri"/>
                <w:color w:val="000000"/>
                <w:sz w:val="22"/>
                <w:szCs w:val="22"/>
              </w:rPr>
              <w:t>2919</w:t>
            </w:r>
          </w:p>
        </w:tc>
        <w:tc>
          <w:tcPr>
            <w:tcW w:w="0" w:type="auto"/>
          </w:tcPr>
          <w:p w14:paraId="4405B79D" w14:textId="356BFF94" w:rsidR="004D53C3" w:rsidRPr="004D53C3" w:rsidRDefault="004D53C3" w:rsidP="004D53C3">
            <w:pPr>
              <w:jc w:val="right"/>
              <w:rPr>
                <w:sz w:val="22"/>
                <w:szCs w:val="22"/>
              </w:rPr>
            </w:pPr>
            <w:r>
              <w:rPr>
                <w:rFonts w:cs="Calibri"/>
                <w:color w:val="000000"/>
                <w:sz w:val="22"/>
                <w:szCs w:val="22"/>
              </w:rPr>
              <w:t>206</w:t>
            </w:r>
          </w:p>
        </w:tc>
        <w:tc>
          <w:tcPr>
            <w:tcW w:w="2181" w:type="dxa"/>
          </w:tcPr>
          <w:p w14:paraId="2A61CDCA" w14:textId="7C414EE6" w:rsidR="004D53C3" w:rsidRPr="004D53C3" w:rsidRDefault="004D53C3" w:rsidP="004D53C3">
            <w:pPr>
              <w:jc w:val="right"/>
              <w:rPr>
                <w:sz w:val="22"/>
                <w:szCs w:val="22"/>
              </w:rPr>
            </w:pPr>
            <w:r>
              <w:rPr>
                <w:rFonts w:cs="Calibri"/>
                <w:color w:val="000000"/>
                <w:sz w:val="22"/>
                <w:szCs w:val="22"/>
              </w:rPr>
              <w:t>7.1%</w:t>
            </w:r>
          </w:p>
        </w:tc>
      </w:tr>
      <w:bookmarkEnd w:id="86"/>
      <w:tr w:rsidR="004D53C3" w:rsidRPr="004D53C3" w14:paraId="664A5F0A" w14:textId="77777777" w:rsidTr="00FC2472">
        <w:tc>
          <w:tcPr>
            <w:tcW w:w="1729" w:type="dxa"/>
          </w:tcPr>
          <w:p w14:paraId="4C68CC4E" w14:textId="6D219D9D" w:rsidR="004D53C3" w:rsidRPr="004D53C3" w:rsidRDefault="004D53C3" w:rsidP="004D53C3">
            <w:pPr>
              <w:rPr>
                <w:sz w:val="22"/>
                <w:szCs w:val="22"/>
              </w:rPr>
            </w:pPr>
            <w:r w:rsidRPr="004D53C3">
              <w:rPr>
                <w:rFonts w:cs="Calibri"/>
                <w:color w:val="000000"/>
                <w:sz w:val="22"/>
                <w:szCs w:val="22"/>
              </w:rPr>
              <w:t>Dublin Bus</w:t>
            </w:r>
          </w:p>
        </w:tc>
        <w:tc>
          <w:tcPr>
            <w:tcW w:w="0" w:type="auto"/>
          </w:tcPr>
          <w:p w14:paraId="6B72A0DA" w14:textId="647B625B" w:rsidR="004D53C3" w:rsidRPr="004D53C3" w:rsidRDefault="004D53C3" w:rsidP="004D53C3">
            <w:pPr>
              <w:jc w:val="right"/>
              <w:rPr>
                <w:sz w:val="22"/>
                <w:szCs w:val="22"/>
              </w:rPr>
            </w:pPr>
            <w:r w:rsidRPr="004D53C3">
              <w:rPr>
                <w:rFonts w:cs="Calibri"/>
                <w:color w:val="000000"/>
                <w:sz w:val="22"/>
                <w:szCs w:val="22"/>
              </w:rPr>
              <w:t>3,680</w:t>
            </w:r>
          </w:p>
        </w:tc>
        <w:tc>
          <w:tcPr>
            <w:tcW w:w="0" w:type="auto"/>
          </w:tcPr>
          <w:p w14:paraId="2791C734" w14:textId="00F3D33E" w:rsidR="004D53C3" w:rsidRPr="004D53C3" w:rsidRDefault="004D53C3" w:rsidP="004D53C3">
            <w:pPr>
              <w:jc w:val="right"/>
              <w:rPr>
                <w:sz w:val="22"/>
                <w:szCs w:val="22"/>
              </w:rPr>
            </w:pPr>
            <w:r w:rsidRPr="004D53C3">
              <w:rPr>
                <w:rFonts w:cs="Calibri"/>
                <w:color w:val="000000"/>
                <w:sz w:val="22"/>
                <w:szCs w:val="22"/>
              </w:rPr>
              <w:t>241</w:t>
            </w:r>
          </w:p>
        </w:tc>
        <w:tc>
          <w:tcPr>
            <w:tcW w:w="0" w:type="auto"/>
          </w:tcPr>
          <w:p w14:paraId="1E93E10C" w14:textId="63D64F9B" w:rsidR="004D53C3" w:rsidRPr="004D53C3" w:rsidRDefault="004D53C3" w:rsidP="004D53C3">
            <w:pPr>
              <w:jc w:val="right"/>
              <w:rPr>
                <w:sz w:val="22"/>
                <w:szCs w:val="22"/>
              </w:rPr>
            </w:pPr>
            <w:r w:rsidRPr="004D53C3">
              <w:rPr>
                <w:rFonts w:cs="Calibri"/>
                <w:color w:val="000000"/>
                <w:sz w:val="22"/>
                <w:szCs w:val="22"/>
              </w:rPr>
              <w:t>6.5%</w:t>
            </w:r>
          </w:p>
        </w:tc>
        <w:tc>
          <w:tcPr>
            <w:tcW w:w="0" w:type="auto"/>
          </w:tcPr>
          <w:p w14:paraId="2A2D43F4" w14:textId="03BEB321" w:rsidR="004D53C3" w:rsidRPr="004D53C3" w:rsidRDefault="004D53C3" w:rsidP="004D53C3">
            <w:pPr>
              <w:jc w:val="right"/>
              <w:rPr>
                <w:rFonts w:cs="Calibri"/>
                <w:color w:val="000000"/>
                <w:sz w:val="22"/>
                <w:szCs w:val="22"/>
              </w:rPr>
            </w:pPr>
            <w:r>
              <w:rPr>
                <w:rFonts w:cs="Calibri"/>
                <w:color w:val="000000"/>
                <w:sz w:val="22"/>
                <w:szCs w:val="22"/>
              </w:rPr>
              <w:t>3824</w:t>
            </w:r>
          </w:p>
        </w:tc>
        <w:tc>
          <w:tcPr>
            <w:tcW w:w="0" w:type="auto"/>
          </w:tcPr>
          <w:p w14:paraId="2594C321" w14:textId="0B3896E7" w:rsidR="004D53C3" w:rsidRPr="004D53C3" w:rsidRDefault="004D53C3" w:rsidP="004D53C3">
            <w:pPr>
              <w:jc w:val="right"/>
              <w:rPr>
                <w:sz w:val="22"/>
                <w:szCs w:val="22"/>
              </w:rPr>
            </w:pPr>
            <w:r>
              <w:rPr>
                <w:rFonts w:cs="Calibri"/>
                <w:color w:val="000000"/>
                <w:sz w:val="22"/>
                <w:szCs w:val="22"/>
              </w:rPr>
              <w:t>242</w:t>
            </w:r>
          </w:p>
        </w:tc>
        <w:tc>
          <w:tcPr>
            <w:tcW w:w="2181" w:type="dxa"/>
          </w:tcPr>
          <w:p w14:paraId="570E9A82" w14:textId="707CC4C3" w:rsidR="004D53C3" w:rsidRPr="004D53C3" w:rsidRDefault="004D53C3" w:rsidP="004D53C3">
            <w:pPr>
              <w:jc w:val="right"/>
              <w:rPr>
                <w:sz w:val="22"/>
                <w:szCs w:val="22"/>
              </w:rPr>
            </w:pPr>
            <w:r>
              <w:rPr>
                <w:rFonts w:cs="Calibri"/>
                <w:color w:val="000000"/>
                <w:sz w:val="22"/>
                <w:szCs w:val="22"/>
              </w:rPr>
              <w:t>6.3%</w:t>
            </w:r>
          </w:p>
        </w:tc>
      </w:tr>
      <w:tr w:rsidR="004D53C3" w:rsidRPr="004D53C3" w14:paraId="26C00D6C" w14:textId="77777777" w:rsidTr="00FC2472">
        <w:tc>
          <w:tcPr>
            <w:tcW w:w="1729" w:type="dxa"/>
          </w:tcPr>
          <w:p w14:paraId="4E2CFF76" w14:textId="3DA88287" w:rsidR="004D53C3" w:rsidRPr="004D53C3" w:rsidRDefault="004D53C3" w:rsidP="004D53C3">
            <w:pPr>
              <w:rPr>
                <w:sz w:val="22"/>
                <w:szCs w:val="22"/>
              </w:rPr>
            </w:pPr>
            <w:r w:rsidRPr="004D53C3">
              <w:rPr>
                <w:rFonts w:cs="Calibri"/>
                <w:color w:val="000000"/>
                <w:sz w:val="22"/>
                <w:szCs w:val="22"/>
              </w:rPr>
              <w:t>Dublin Port Company</w:t>
            </w:r>
          </w:p>
        </w:tc>
        <w:tc>
          <w:tcPr>
            <w:tcW w:w="0" w:type="auto"/>
          </w:tcPr>
          <w:p w14:paraId="2F51433C" w14:textId="5EE95C82" w:rsidR="004D53C3" w:rsidRPr="004D53C3" w:rsidRDefault="004D53C3" w:rsidP="004D53C3">
            <w:pPr>
              <w:jc w:val="right"/>
              <w:rPr>
                <w:sz w:val="22"/>
                <w:szCs w:val="22"/>
              </w:rPr>
            </w:pPr>
            <w:r w:rsidRPr="004D53C3">
              <w:rPr>
                <w:rFonts w:cs="Calibri"/>
                <w:color w:val="000000"/>
                <w:sz w:val="22"/>
                <w:szCs w:val="22"/>
              </w:rPr>
              <w:t>153</w:t>
            </w:r>
          </w:p>
        </w:tc>
        <w:tc>
          <w:tcPr>
            <w:tcW w:w="0" w:type="auto"/>
          </w:tcPr>
          <w:p w14:paraId="5B8D27D1" w14:textId="36F2DF6E" w:rsidR="004D53C3" w:rsidRPr="004D53C3" w:rsidRDefault="004D53C3" w:rsidP="004D53C3">
            <w:pPr>
              <w:jc w:val="right"/>
              <w:rPr>
                <w:sz w:val="22"/>
                <w:szCs w:val="22"/>
              </w:rPr>
            </w:pPr>
            <w:r w:rsidRPr="004D53C3">
              <w:rPr>
                <w:rFonts w:cs="Calibri"/>
                <w:color w:val="000000"/>
                <w:sz w:val="22"/>
                <w:szCs w:val="22"/>
              </w:rPr>
              <w:t>5</w:t>
            </w:r>
          </w:p>
        </w:tc>
        <w:tc>
          <w:tcPr>
            <w:tcW w:w="0" w:type="auto"/>
          </w:tcPr>
          <w:p w14:paraId="513D60A8" w14:textId="2501B3EC" w:rsidR="004D53C3" w:rsidRPr="004D53C3" w:rsidRDefault="004D53C3" w:rsidP="004D53C3">
            <w:pPr>
              <w:jc w:val="right"/>
              <w:rPr>
                <w:sz w:val="22"/>
                <w:szCs w:val="22"/>
              </w:rPr>
            </w:pPr>
            <w:r w:rsidRPr="004D53C3">
              <w:rPr>
                <w:rFonts w:cs="Calibri"/>
                <w:color w:val="000000"/>
                <w:sz w:val="22"/>
                <w:szCs w:val="22"/>
              </w:rPr>
              <w:t>3.3%</w:t>
            </w:r>
          </w:p>
        </w:tc>
        <w:tc>
          <w:tcPr>
            <w:tcW w:w="0" w:type="auto"/>
          </w:tcPr>
          <w:p w14:paraId="3AB1DDCE" w14:textId="45EAB66E" w:rsidR="004D53C3" w:rsidRPr="004D53C3" w:rsidRDefault="004D53C3" w:rsidP="004D53C3">
            <w:pPr>
              <w:jc w:val="right"/>
              <w:rPr>
                <w:rFonts w:cs="Calibri"/>
                <w:color w:val="000000"/>
                <w:sz w:val="22"/>
                <w:szCs w:val="22"/>
              </w:rPr>
            </w:pPr>
            <w:r>
              <w:rPr>
                <w:rFonts w:cs="Calibri"/>
                <w:color w:val="000000"/>
                <w:sz w:val="22"/>
                <w:szCs w:val="22"/>
              </w:rPr>
              <w:t>148</w:t>
            </w:r>
          </w:p>
        </w:tc>
        <w:tc>
          <w:tcPr>
            <w:tcW w:w="0" w:type="auto"/>
          </w:tcPr>
          <w:p w14:paraId="5496FA55" w14:textId="1501CFFF" w:rsidR="004D53C3" w:rsidRPr="004D53C3" w:rsidRDefault="004D53C3" w:rsidP="004D53C3">
            <w:pPr>
              <w:jc w:val="right"/>
              <w:rPr>
                <w:sz w:val="22"/>
                <w:szCs w:val="22"/>
              </w:rPr>
            </w:pPr>
            <w:r>
              <w:rPr>
                <w:rFonts w:cs="Calibri"/>
                <w:color w:val="000000"/>
                <w:sz w:val="22"/>
                <w:szCs w:val="22"/>
              </w:rPr>
              <w:t>6</w:t>
            </w:r>
          </w:p>
        </w:tc>
        <w:tc>
          <w:tcPr>
            <w:tcW w:w="2181" w:type="dxa"/>
          </w:tcPr>
          <w:p w14:paraId="3F0E6832" w14:textId="7D956CBD" w:rsidR="004D53C3" w:rsidRPr="004D53C3" w:rsidRDefault="004D53C3" w:rsidP="004D53C3">
            <w:pPr>
              <w:jc w:val="right"/>
              <w:rPr>
                <w:sz w:val="22"/>
                <w:szCs w:val="22"/>
              </w:rPr>
            </w:pPr>
            <w:r>
              <w:rPr>
                <w:rFonts w:cs="Calibri"/>
                <w:color w:val="000000"/>
                <w:sz w:val="22"/>
                <w:szCs w:val="22"/>
              </w:rPr>
              <w:t>4.1%</w:t>
            </w:r>
          </w:p>
        </w:tc>
      </w:tr>
      <w:tr w:rsidR="004D53C3" w:rsidRPr="004D53C3" w14:paraId="10866F66" w14:textId="77777777" w:rsidTr="00FC2472">
        <w:tc>
          <w:tcPr>
            <w:tcW w:w="1729" w:type="dxa"/>
          </w:tcPr>
          <w:p w14:paraId="30CFB81C" w14:textId="04A43D81" w:rsidR="004D53C3" w:rsidRPr="004D53C3" w:rsidRDefault="004D53C3" w:rsidP="004D53C3">
            <w:pPr>
              <w:rPr>
                <w:sz w:val="22"/>
                <w:szCs w:val="22"/>
              </w:rPr>
            </w:pPr>
            <w:r w:rsidRPr="004D53C3">
              <w:rPr>
                <w:rFonts w:cs="Calibri"/>
                <w:color w:val="000000"/>
                <w:sz w:val="22"/>
                <w:szCs w:val="22"/>
              </w:rPr>
              <w:t>Iarnród Éireann (Irish Rail)</w:t>
            </w:r>
          </w:p>
        </w:tc>
        <w:tc>
          <w:tcPr>
            <w:tcW w:w="0" w:type="auto"/>
          </w:tcPr>
          <w:p w14:paraId="2BD6D5C7" w14:textId="7B8A95E8" w:rsidR="004D53C3" w:rsidRPr="004D53C3" w:rsidRDefault="004D53C3" w:rsidP="004D53C3">
            <w:pPr>
              <w:jc w:val="right"/>
              <w:rPr>
                <w:sz w:val="22"/>
                <w:szCs w:val="22"/>
              </w:rPr>
            </w:pPr>
            <w:r w:rsidRPr="004D53C3">
              <w:rPr>
                <w:rFonts w:cs="Calibri"/>
                <w:color w:val="000000"/>
                <w:sz w:val="22"/>
                <w:szCs w:val="22"/>
              </w:rPr>
              <w:t>4,244</w:t>
            </w:r>
          </w:p>
        </w:tc>
        <w:tc>
          <w:tcPr>
            <w:tcW w:w="0" w:type="auto"/>
          </w:tcPr>
          <w:p w14:paraId="6BD3F155" w14:textId="0AB57694" w:rsidR="004D53C3" w:rsidRPr="004D53C3" w:rsidRDefault="004D53C3" w:rsidP="004D53C3">
            <w:pPr>
              <w:jc w:val="right"/>
              <w:rPr>
                <w:sz w:val="22"/>
                <w:szCs w:val="22"/>
              </w:rPr>
            </w:pPr>
            <w:r w:rsidRPr="004D53C3">
              <w:rPr>
                <w:rFonts w:cs="Calibri"/>
                <w:color w:val="000000"/>
                <w:sz w:val="22"/>
                <w:szCs w:val="22"/>
              </w:rPr>
              <w:t>199</w:t>
            </w:r>
          </w:p>
        </w:tc>
        <w:tc>
          <w:tcPr>
            <w:tcW w:w="0" w:type="auto"/>
          </w:tcPr>
          <w:p w14:paraId="3CDE3301" w14:textId="0D3B70A8" w:rsidR="004D53C3" w:rsidRPr="004D53C3" w:rsidRDefault="004D53C3" w:rsidP="004D53C3">
            <w:pPr>
              <w:jc w:val="right"/>
              <w:rPr>
                <w:sz w:val="22"/>
                <w:szCs w:val="22"/>
              </w:rPr>
            </w:pPr>
            <w:r w:rsidRPr="004D53C3">
              <w:rPr>
                <w:rFonts w:cs="Calibri"/>
                <w:color w:val="000000"/>
                <w:sz w:val="22"/>
                <w:szCs w:val="22"/>
              </w:rPr>
              <w:t>4.7%</w:t>
            </w:r>
          </w:p>
        </w:tc>
        <w:tc>
          <w:tcPr>
            <w:tcW w:w="0" w:type="auto"/>
          </w:tcPr>
          <w:p w14:paraId="33578136" w14:textId="586571B3" w:rsidR="004D53C3" w:rsidRPr="004D53C3" w:rsidRDefault="004D53C3" w:rsidP="004D53C3">
            <w:pPr>
              <w:jc w:val="right"/>
              <w:rPr>
                <w:rFonts w:cs="Calibri"/>
                <w:color w:val="000000"/>
                <w:sz w:val="22"/>
                <w:szCs w:val="22"/>
              </w:rPr>
            </w:pPr>
            <w:r>
              <w:rPr>
                <w:rFonts w:cs="Calibri"/>
                <w:color w:val="000000"/>
                <w:sz w:val="22"/>
                <w:szCs w:val="22"/>
              </w:rPr>
              <w:t>4528</w:t>
            </w:r>
          </w:p>
        </w:tc>
        <w:tc>
          <w:tcPr>
            <w:tcW w:w="0" w:type="auto"/>
          </w:tcPr>
          <w:p w14:paraId="3F04B1E9" w14:textId="01952655" w:rsidR="004D53C3" w:rsidRPr="004D53C3" w:rsidRDefault="004D53C3" w:rsidP="004D53C3">
            <w:pPr>
              <w:jc w:val="right"/>
              <w:rPr>
                <w:sz w:val="22"/>
                <w:szCs w:val="22"/>
              </w:rPr>
            </w:pPr>
            <w:r>
              <w:rPr>
                <w:rFonts w:cs="Calibri"/>
                <w:color w:val="000000"/>
                <w:sz w:val="22"/>
                <w:szCs w:val="22"/>
              </w:rPr>
              <w:t>239</w:t>
            </w:r>
          </w:p>
        </w:tc>
        <w:tc>
          <w:tcPr>
            <w:tcW w:w="2181" w:type="dxa"/>
          </w:tcPr>
          <w:p w14:paraId="322A0173" w14:textId="68799142" w:rsidR="004D53C3" w:rsidRPr="004D53C3" w:rsidRDefault="004D53C3" w:rsidP="004D53C3">
            <w:pPr>
              <w:jc w:val="right"/>
              <w:rPr>
                <w:sz w:val="22"/>
                <w:szCs w:val="22"/>
              </w:rPr>
            </w:pPr>
            <w:r>
              <w:rPr>
                <w:rFonts w:cs="Calibri"/>
                <w:color w:val="000000"/>
                <w:sz w:val="22"/>
                <w:szCs w:val="22"/>
              </w:rPr>
              <w:t>5.3%</w:t>
            </w:r>
          </w:p>
        </w:tc>
      </w:tr>
      <w:tr w:rsidR="004D53C3" w:rsidRPr="004D53C3" w14:paraId="26A1907D" w14:textId="77777777" w:rsidTr="00FC2472">
        <w:tc>
          <w:tcPr>
            <w:tcW w:w="1729" w:type="dxa"/>
          </w:tcPr>
          <w:p w14:paraId="106C4EA2" w14:textId="2BD823C7" w:rsidR="004D53C3" w:rsidRPr="004D53C3" w:rsidRDefault="004D53C3" w:rsidP="004D53C3">
            <w:pPr>
              <w:rPr>
                <w:sz w:val="22"/>
                <w:szCs w:val="22"/>
              </w:rPr>
            </w:pPr>
            <w:r w:rsidRPr="004D53C3">
              <w:rPr>
                <w:rFonts w:cs="Calibri"/>
                <w:color w:val="000000"/>
                <w:sz w:val="22"/>
                <w:szCs w:val="22"/>
              </w:rPr>
              <w:t>Irish Aviation Authority</w:t>
            </w:r>
          </w:p>
        </w:tc>
        <w:tc>
          <w:tcPr>
            <w:tcW w:w="0" w:type="auto"/>
          </w:tcPr>
          <w:p w14:paraId="261167A2" w14:textId="6F51FC4E" w:rsidR="004D53C3" w:rsidRPr="004D53C3" w:rsidRDefault="004D53C3" w:rsidP="004D53C3">
            <w:pPr>
              <w:jc w:val="right"/>
              <w:rPr>
                <w:sz w:val="22"/>
                <w:szCs w:val="22"/>
              </w:rPr>
            </w:pPr>
            <w:r w:rsidRPr="004D53C3">
              <w:rPr>
                <w:rFonts w:cs="Calibri"/>
                <w:color w:val="000000"/>
                <w:sz w:val="22"/>
                <w:szCs w:val="22"/>
              </w:rPr>
              <w:t>711</w:t>
            </w:r>
          </w:p>
        </w:tc>
        <w:tc>
          <w:tcPr>
            <w:tcW w:w="0" w:type="auto"/>
          </w:tcPr>
          <w:p w14:paraId="04C16FF9" w14:textId="0F2B9151" w:rsidR="004D53C3" w:rsidRPr="004D53C3" w:rsidRDefault="004D53C3" w:rsidP="004D53C3">
            <w:pPr>
              <w:jc w:val="right"/>
              <w:rPr>
                <w:sz w:val="22"/>
                <w:szCs w:val="22"/>
              </w:rPr>
            </w:pPr>
            <w:r w:rsidRPr="004D53C3">
              <w:rPr>
                <w:rFonts w:cs="Calibri"/>
                <w:color w:val="000000"/>
                <w:sz w:val="22"/>
                <w:szCs w:val="22"/>
              </w:rPr>
              <w:t>37</w:t>
            </w:r>
          </w:p>
        </w:tc>
        <w:tc>
          <w:tcPr>
            <w:tcW w:w="0" w:type="auto"/>
          </w:tcPr>
          <w:p w14:paraId="0BF146D4" w14:textId="63667BAB" w:rsidR="004D53C3" w:rsidRPr="004D53C3" w:rsidRDefault="004D53C3" w:rsidP="004D53C3">
            <w:pPr>
              <w:jc w:val="right"/>
              <w:rPr>
                <w:sz w:val="22"/>
                <w:szCs w:val="22"/>
              </w:rPr>
            </w:pPr>
            <w:r w:rsidRPr="004D53C3">
              <w:rPr>
                <w:rFonts w:cs="Calibri"/>
                <w:color w:val="000000"/>
                <w:sz w:val="22"/>
                <w:szCs w:val="22"/>
              </w:rPr>
              <w:t>5.2%</w:t>
            </w:r>
          </w:p>
        </w:tc>
        <w:tc>
          <w:tcPr>
            <w:tcW w:w="0" w:type="auto"/>
          </w:tcPr>
          <w:p w14:paraId="4236DC4D" w14:textId="46C7D4C4" w:rsidR="004D53C3" w:rsidRPr="004D53C3" w:rsidRDefault="004D53C3" w:rsidP="004D53C3">
            <w:pPr>
              <w:jc w:val="right"/>
              <w:rPr>
                <w:sz w:val="22"/>
                <w:szCs w:val="22"/>
              </w:rPr>
            </w:pPr>
            <w:r>
              <w:rPr>
                <w:rFonts w:cs="Calibri"/>
                <w:color w:val="000000"/>
                <w:sz w:val="22"/>
                <w:szCs w:val="22"/>
              </w:rPr>
              <w:t>751</w:t>
            </w:r>
          </w:p>
        </w:tc>
        <w:tc>
          <w:tcPr>
            <w:tcW w:w="0" w:type="auto"/>
          </w:tcPr>
          <w:p w14:paraId="4DAE5308" w14:textId="51EC434D" w:rsidR="004D53C3" w:rsidRPr="004D53C3" w:rsidRDefault="004D53C3" w:rsidP="004D53C3">
            <w:pPr>
              <w:jc w:val="right"/>
              <w:rPr>
                <w:sz w:val="22"/>
                <w:szCs w:val="22"/>
              </w:rPr>
            </w:pPr>
            <w:r>
              <w:rPr>
                <w:rFonts w:cs="Calibri"/>
                <w:color w:val="000000"/>
                <w:sz w:val="22"/>
                <w:szCs w:val="22"/>
              </w:rPr>
              <w:t>38</w:t>
            </w:r>
          </w:p>
        </w:tc>
        <w:tc>
          <w:tcPr>
            <w:tcW w:w="2181" w:type="dxa"/>
          </w:tcPr>
          <w:p w14:paraId="33B44AAD" w14:textId="1AC681E5" w:rsidR="004D53C3" w:rsidRPr="004D53C3" w:rsidRDefault="004D53C3" w:rsidP="004D53C3">
            <w:pPr>
              <w:jc w:val="right"/>
              <w:rPr>
                <w:sz w:val="22"/>
                <w:szCs w:val="22"/>
              </w:rPr>
            </w:pPr>
            <w:r>
              <w:rPr>
                <w:rFonts w:cs="Calibri"/>
                <w:color w:val="000000"/>
                <w:sz w:val="22"/>
                <w:szCs w:val="22"/>
              </w:rPr>
              <w:t>5.1%</w:t>
            </w:r>
          </w:p>
        </w:tc>
      </w:tr>
      <w:tr w:rsidR="004D53C3" w:rsidRPr="004D53C3" w14:paraId="167566D9" w14:textId="77777777" w:rsidTr="00FC2472">
        <w:tc>
          <w:tcPr>
            <w:tcW w:w="1729" w:type="dxa"/>
          </w:tcPr>
          <w:p w14:paraId="1F30C362" w14:textId="1DE15FB0" w:rsidR="004D53C3" w:rsidRPr="004D53C3" w:rsidRDefault="004D53C3" w:rsidP="004D53C3">
            <w:pPr>
              <w:rPr>
                <w:sz w:val="22"/>
                <w:szCs w:val="22"/>
              </w:rPr>
            </w:pPr>
            <w:r w:rsidRPr="004D53C3">
              <w:rPr>
                <w:rFonts w:cs="Calibri"/>
                <w:color w:val="000000"/>
                <w:sz w:val="22"/>
                <w:szCs w:val="22"/>
              </w:rPr>
              <w:t>National Transport Authority</w:t>
            </w:r>
          </w:p>
        </w:tc>
        <w:tc>
          <w:tcPr>
            <w:tcW w:w="0" w:type="auto"/>
          </w:tcPr>
          <w:p w14:paraId="2CC45461" w14:textId="2A443610" w:rsidR="004D53C3" w:rsidRPr="004D53C3" w:rsidRDefault="004D53C3" w:rsidP="004D53C3">
            <w:pPr>
              <w:jc w:val="right"/>
              <w:rPr>
                <w:sz w:val="22"/>
                <w:szCs w:val="22"/>
              </w:rPr>
            </w:pPr>
            <w:r w:rsidRPr="004D53C3">
              <w:rPr>
                <w:rFonts w:cs="Calibri"/>
                <w:color w:val="000000"/>
                <w:sz w:val="22"/>
                <w:szCs w:val="22"/>
              </w:rPr>
              <w:t>211</w:t>
            </w:r>
          </w:p>
        </w:tc>
        <w:tc>
          <w:tcPr>
            <w:tcW w:w="0" w:type="auto"/>
          </w:tcPr>
          <w:p w14:paraId="02E5D58C" w14:textId="0625FBFC" w:rsidR="004D53C3" w:rsidRPr="004D53C3" w:rsidRDefault="004D53C3" w:rsidP="004D53C3">
            <w:pPr>
              <w:jc w:val="right"/>
              <w:rPr>
                <w:sz w:val="22"/>
                <w:szCs w:val="22"/>
              </w:rPr>
            </w:pPr>
            <w:r w:rsidRPr="004D53C3">
              <w:rPr>
                <w:rFonts w:cs="Calibri"/>
                <w:color w:val="000000"/>
                <w:sz w:val="22"/>
                <w:szCs w:val="22"/>
              </w:rPr>
              <w:t>11</w:t>
            </w:r>
          </w:p>
        </w:tc>
        <w:tc>
          <w:tcPr>
            <w:tcW w:w="0" w:type="auto"/>
          </w:tcPr>
          <w:p w14:paraId="463E1A33" w14:textId="1DDA7E18" w:rsidR="004D53C3" w:rsidRPr="004D53C3" w:rsidRDefault="004D53C3" w:rsidP="004D53C3">
            <w:pPr>
              <w:jc w:val="right"/>
              <w:rPr>
                <w:sz w:val="22"/>
                <w:szCs w:val="22"/>
              </w:rPr>
            </w:pPr>
            <w:r w:rsidRPr="004D53C3">
              <w:rPr>
                <w:rFonts w:cs="Calibri"/>
                <w:color w:val="000000"/>
                <w:sz w:val="22"/>
                <w:szCs w:val="22"/>
              </w:rPr>
              <w:t>5.2%</w:t>
            </w:r>
          </w:p>
        </w:tc>
        <w:tc>
          <w:tcPr>
            <w:tcW w:w="0" w:type="auto"/>
          </w:tcPr>
          <w:p w14:paraId="577FF52A" w14:textId="7B3A3CE4" w:rsidR="004D53C3" w:rsidRPr="004D53C3" w:rsidRDefault="004D53C3" w:rsidP="004D53C3">
            <w:pPr>
              <w:jc w:val="right"/>
              <w:rPr>
                <w:sz w:val="22"/>
                <w:szCs w:val="22"/>
              </w:rPr>
            </w:pPr>
            <w:r>
              <w:rPr>
                <w:rFonts w:cs="Calibri"/>
                <w:color w:val="000000"/>
                <w:sz w:val="22"/>
                <w:szCs w:val="22"/>
              </w:rPr>
              <w:t>240</w:t>
            </w:r>
          </w:p>
        </w:tc>
        <w:tc>
          <w:tcPr>
            <w:tcW w:w="0" w:type="auto"/>
          </w:tcPr>
          <w:p w14:paraId="62ED268B" w14:textId="6FDEB232" w:rsidR="004D53C3" w:rsidRPr="004D53C3" w:rsidRDefault="004D53C3" w:rsidP="004D53C3">
            <w:pPr>
              <w:jc w:val="right"/>
              <w:rPr>
                <w:sz w:val="22"/>
                <w:szCs w:val="22"/>
              </w:rPr>
            </w:pPr>
            <w:r>
              <w:rPr>
                <w:rFonts w:cs="Calibri"/>
                <w:color w:val="000000"/>
                <w:sz w:val="22"/>
                <w:szCs w:val="22"/>
              </w:rPr>
              <w:t>18</w:t>
            </w:r>
          </w:p>
        </w:tc>
        <w:tc>
          <w:tcPr>
            <w:tcW w:w="2181" w:type="dxa"/>
          </w:tcPr>
          <w:p w14:paraId="3EEC9DFA" w14:textId="4C71FDC4" w:rsidR="004D53C3" w:rsidRPr="004D53C3" w:rsidRDefault="004D53C3" w:rsidP="004D53C3">
            <w:pPr>
              <w:jc w:val="right"/>
              <w:rPr>
                <w:sz w:val="22"/>
                <w:szCs w:val="22"/>
              </w:rPr>
            </w:pPr>
            <w:r>
              <w:rPr>
                <w:rFonts w:cs="Calibri"/>
                <w:color w:val="000000"/>
                <w:sz w:val="22"/>
                <w:szCs w:val="22"/>
              </w:rPr>
              <w:t>7.5%</w:t>
            </w:r>
          </w:p>
        </w:tc>
      </w:tr>
      <w:tr w:rsidR="004D53C3" w:rsidRPr="004D53C3" w14:paraId="74209BFF" w14:textId="77777777" w:rsidTr="00FC2472">
        <w:tc>
          <w:tcPr>
            <w:tcW w:w="1729" w:type="dxa"/>
          </w:tcPr>
          <w:p w14:paraId="30F7634E" w14:textId="6A20A6F8" w:rsidR="004D53C3" w:rsidRPr="004D53C3" w:rsidRDefault="004D53C3" w:rsidP="004D53C3">
            <w:pPr>
              <w:rPr>
                <w:sz w:val="22"/>
                <w:szCs w:val="22"/>
              </w:rPr>
            </w:pPr>
            <w:r w:rsidRPr="004D53C3">
              <w:rPr>
                <w:rFonts w:cs="Calibri"/>
                <w:color w:val="000000"/>
                <w:sz w:val="22"/>
                <w:szCs w:val="22"/>
              </w:rPr>
              <w:t>Port of Cork Company</w:t>
            </w:r>
          </w:p>
        </w:tc>
        <w:tc>
          <w:tcPr>
            <w:tcW w:w="0" w:type="auto"/>
          </w:tcPr>
          <w:p w14:paraId="1DA98453" w14:textId="1FFFB5A0" w:rsidR="004D53C3" w:rsidRPr="004D53C3" w:rsidRDefault="004D53C3" w:rsidP="004D53C3">
            <w:pPr>
              <w:jc w:val="right"/>
              <w:rPr>
                <w:sz w:val="22"/>
                <w:szCs w:val="22"/>
              </w:rPr>
            </w:pPr>
            <w:r w:rsidRPr="004D53C3">
              <w:rPr>
                <w:rFonts w:cs="Calibri"/>
                <w:color w:val="000000"/>
                <w:sz w:val="22"/>
                <w:szCs w:val="22"/>
              </w:rPr>
              <w:t>150</w:t>
            </w:r>
          </w:p>
        </w:tc>
        <w:tc>
          <w:tcPr>
            <w:tcW w:w="0" w:type="auto"/>
          </w:tcPr>
          <w:p w14:paraId="0B462797" w14:textId="61C65F59" w:rsidR="004D53C3" w:rsidRPr="004D53C3" w:rsidRDefault="004D53C3" w:rsidP="004D53C3">
            <w:pPr>
              <w:jc w:val="right"/>
              <w:rPr>
                <w:sz w:val="22"/>
                <w:szCs w:val="22"/>
              </w:rPr>
            </w:pPr>
            <w:r w:rsidRPr="004D53C3">
              <w:rPr>
                <w:rFonts w:cs="Calibri"/>
                <w:color w:val="000000"/>
                <w:sz w:val="22"/>
                <w:szCs w:val="22"/>
              </w:rPr>
              <w:t>6</w:t>
            </w:r>
          </w:p>
        </w:tc>
        <w:tc>
          <w:tcPr>
            <w:tcW w:w="0" w:type="auto"/>
          </w:tcPr>
          <w:p w14:paraId="1D69919E" w14:textId="75F2B318" w:rsidR="004D53C3" w:rsidRPr="004D53C3" w:rsidRDefault="004D53C3" w:rsidP="004D53C3">
            <w:pPr>
              <w:jc w:val="right"/>
              <w:rPr>
                <w:sz w:val="22"/>
                <w:szCs w:val="22"/>
              </w:rPr>
            </w:pPr>
            <w:r w:rsidRPr="004D53C3">
              <w:rPr>
                <w:rFonts w:cs="Calibri"/>
                <w:color w:val="000000"/>
                <w:sz w:val="22"/>
                <w:szCs w:val="22"/>
              </w:rPr>
              <w:t>4.0%</w:t>
            </w:r>
          </w:p>
        </w:tc>
        <w:tc>
          <w:tcPr>
            <w:tcW w:w="0" w:type="auto"/>
          </w:tcPr>
          <w:p w14:paraId="760411FE" w14:textId="043EE0EE" w:rsidR="004D53C3" w:rsidRPr="004D53C3" w:rsidRDefault="004D53C3" w:rsidP="004D53C3">
            <w:pPr>
              <w:jc w:val="right"/>
              <w:rPr>
                <w:sz w:val="22"/>
                <w:szCs w:val="22"/>
              </w:rPr>
            </w:pPr>
            <w:r>
              <w:rPr>
                <w:rFonts w:cs="Calibri"/>
                <w:color w:val="000000"/>
                <w:sz w:val="22"/>
                <w:szCs w:val="22"/>
              </w:rPr>
              <w:t>169</w:t>
            </w:r>
          </w:p>
        </w:tc>
        <w:tc>
          <w:tcPr>
            <w:tcW w:w="0" w:type="auto"/>
          </w:tcPr>
          <w:p w14:paraId="153334F0" w14:textId="4D670992" w:rsidR="004D53C3" w:rsidRPr="004D53C3" w:rsidRDefault="004D53C3" w:rsidP="004D53C3">
            <w:pPr>
              <w:jc w:val="right"/>
              <w:rPr>
                <w:sz w:val="22"/>
                <w:szCs w:val="22"/>
              </w:rPr>
            </w:pPr>
            <w:r>
              <w:rPr>
                <w:rFonts w:cs="Calibri"/>
                <w:color w:val="000000"/>
                <w:sz w:val="22"/>
                <w:szCs w:val="22"/>
              </w:rPr>
              <w:t>12</w:t>
            </w:r>
          </w:p>
        </w:tc>
        <w:tc>
          <w:tcPr>
            <w:tcW w:w="2181" w:type="dxa"/>
          </w:tcPr>
          <w:p w14:paraId="688291CF" w14:textId="4C211E4C" w:rsidR="004D53C3" w:rsidRPr="004D53C3" w:rsidRDefault="004D53C3" w:rsidP="004D53C3">
            <w:pPr>
              <w:jc w:val="right"/>
              <w:rPr>
                <w:sz w:val="22"/>
                <w:szCs w:val="22"/>
              </w:rPr>
            </w:pPr>
            <w:r>
              <w:rPr>
                <w:rFonts w:cs="Calibri"/>
                <w:color w:val="000000"/>
                <w:sz w:val="22"/>
                <w:szCs w:val="22"/>
              </w:rPr>
              <w:t>7.1%</w:t>
            </w:r>
          </w:p>
        </w:tc>
      </w:tr>
      <w:tr w:rsidR="004D53C3" w:rsidRPr="004D53C3" w14:paraId="7243F611" w14:textId="77777777" w:rsidTr="00FC2472">
        <w:tc>
          <w:tcPr>
            <w:tcW w:w="1729" w:type="dxa"/>
          </w:tcPr>
          <w:p w14:paraId="337259B4" w14:textId="365651F0" w:rsidR="004D53C3" w:rsidRPr="004D53C3" w:rsidRDefault="004D53C3" w:rsidP="004D53C3">
            <w:pPr>
              <w:rPr>
                <w:sz w:val="22"/>
                <w:szCs w:val="22"/>
              </w:rPr>
            </w:pPr>
            <w:r w:rsidRPr="004D53C3">
              <w:rPr>
                <w:rFonts w:cs="Calibri"/>
                <w:color w:val="000000"/>
                <w:sz w:val="22"/>
                <w:szCs w:val="22"/>
              </w:rPr>
              <w:t>Port of Waterford Company</w:t>
            </w:r>
          </w:p>
        </w:tc>
        <w:tc>
          <w:tcPr>
            <w:tcW w:w="0" w:type="auto"/>
          </w:tcPr>
          <w:p w14:paraId="44E83006" w14:textId="341B2684" w:rsidR="004D53C3" w:rsidRPr="004D53C3" w:rsidRDefault="004D53C3" w:rsidP="004D53C3">
            <w:pPr>
              <w:jc w:val="right"/>
              <w:rPr>
                <w:sz w:val="22"/>
                <w:szCs w:val="22"/>
              </w:rPr>
            </w:pPr>
            <w:r w:rsidRPr="004D53C3">
              <w:rPr>
                <w:rFonts w:cs="Calibri"/>
                <w:color w:val="000000"/>
                <w:sz w:val="22"/>
                <w:szCs w:val="22"/>
              </w:rPr>
              <w:t>42</w:t>
            </w:r>
          </w:p>
        </w:tc>
        <w:tc>
          <w:tcPr>
            <w:tcW w:w="0" w:type="auto"/>
          </w:tcPr>
          <w:p w14:paraId="1A8723A8" w14:textId="1D810274" w:rsidR="004D53C3" w:rsidRPr="004D53C3" w:rsidRDefault="004D53C3" w:rsidP="004D53C3">
            <w:pPr>
              <w:jc w:val="right"/>
              <w:rPr>
                <w:sz w:val="22"/>
                <w:szCs w:val="22"/>
              </w:rPr>
            </w:pPr>
            <w:r w:rsidRPr="004D53C3">
              <w:rPr>
                <w:rFonts w:cs="Calibri"/>
                <w:color w:val="000000"/>
                <w:sz w:val="22"/>
                <w:szCs w:val="22"/>
              </w:rPr>
              <w:t>3</w:t>
            </w:r>
          </w:p>
        </w:tc>
        <w:tc>
          <w:tcPr>
            <w:tcW w:w="0" w:type="auto"/>
          </w:tcPr>
          <w:p w14:paraId="4D6FB6D4" w14:textId="552DD876" w:rsidR="004D53C3" w:rsidRPr="004D53C3" w:rsidRDefault="004D53C3" w:rsidP="004D53C3">
            <w:pPr>
              <w:jc w:val="right"/>
              <w:rPr>
                <w:sz w:val="22"/>
                <w:szCs w:val="22"/>
              </w:rPr>
            </w:pPr>
            <w:r w:rsidRPr="004D53C3">
              <w:rPr>
                <w:rFonts w:cs="Calibri"/>
                <w:color w:val="000000"/>
                <w:sz w:val="22"/>
                <w:szCs w:val="22"/>
              </w:rPr>
              <w:t>7.1%</w:t>
            </w:r>
          </w:p>
        </w:tc>
        <w:tc>
          <w:tcPr>
            <w:tcW w:w="0" w:type="auto"/>
          </w:tcPr>
          <w:p w14:paraId="51C5B1D7" w14:textId="7B47C5BA" w:rsidR="004D53C3" w:rsidRPr="004D53C3" w:rsidRDefault="004D53C3" w:rsidP="004D53C3">
            <w:pPr>
              <w:jc w:val="right"/>
              <w:rPr>
                <w:sz w:val="22"/>
                <w:szCs w:val="22"/>
              </w:rPr>
            </w:pPr>
            <w:r>
              <w:rPr>
                <w:rFonts w:cs="Calibri"/>
                <w:color w:val="000000"/>
                <w:sz w:val="22"/>
                <w:szCs w:val="22"/>
              </w:rPr>
              <w:t>41</w:t>
            </w:r>
          </w:p>
        </w:tc>
        <w:tc>
          <w:tcPr>
            <w:tcW w:w="0" w:type="auto"/>
          </w:tcPr>
          <w:p w14:paraId="2844623E" w14:textId="04E704FA" w:rsidR="004D53C3" w:rsidRPr="004D53C3" w:rsidRDefault="004D53C3" w:rsidP="004D53C3">
            <w:pPr>
              <w:jc w:val="right"/>
              <w:rPr>
                <w:sz w:val="22"/>
                <w:szCs w:val="22"/>
              </w:rPr>
            </w:pPr>
            <w:r>
              <w:rPr>
                <w:rFonts w:cs="Calibri"/>
                <w:color w:val="000000"/>
                <w:sz w:val="22"/>
                <w:szCs w:val="22"/>
              </w:rPr>
              <w:t>3</w:t>
            </w:r>
          </w:p>
        </w:tc>
        <w:tc>
          <w:tcPr>
            <w:tcW w:w="2181" w:type="dxa"/>
          </w:tcPr>
          <w:p w14:paraId="6279B5E5" w14:textId="452C86D2" w:rsidR="004D53C3" w:rsidRPr="004D53C3" w:rsidRDefault="004D53C3" w:rsidP="004D53C3">
            <w:pPr>
              <w:jc w:val="right"/>
              <w:rPr>
                <w:sz w:val="22"/>
                <w:szCs w:val="22"/>
              </w:rPr>
            </w:pPr>
            <w:r>
              <w:rPr>
                <w:rFonts w:cs="Calibri"/>
                <w:color w:val="000000"/>
                <w:sz w:val="22"/>
                <w:szCs w:val="22"/>
              </w:rPr>
              <w:t>7.3%</w:t>
            </w:r>
          </w:p>
        </w:tc>
      </w:tr>
      <w:tr w:rsidR="004D53C3" w:rsidRPr="004D53C3" w14:paraId="61513E83" w14:textId="77777777" w:rsidTr="00FC2472">
        <w:tc>
          <w:tcPr>
            <w:tcW w:w="1729" w:type="dxa"/>
          </w:tcPr>
          <w:p w14:paraId="3443EF40" w14:textId="2892387C" w:rsidR="004D53C3" w:rsidRPr="004D53C3" w:rsidRDefault="004D53C3" w:rsidP="004D53C3">
            <w:pPr>
              <w:rPr>
                <w:sz w:val="22"/>
                <w:szCs w:val="22"/>
              </w:rPr>
            </w:pPr>
            <w:r w:rsidRPr="004D53C3">
              <w:rPr>
                <w:rFonts w:cs="Calibri"/>
                <w:color w:val="000000"/>
                <w:sz w:val="22"/>
                <w:szCs w:val="22"/>
              </w:rPr>
              <w:t>Road Safety Authority</w:t>
            </w:r>
          </w:p>
        </w:tc>
        <w:tc>
          <w:tcPr>
            <w:tcW w:w="0" w:type="auto"/>
          </w:tcPr>
          <w:p w14:paraId="2D3E3481" w14:textId="6307C1D5" w:rsidR="004D53C3" w:rsidRPr="004D53C3" w:rsidRDefault="004D53C3" w:rsidP="004D53C3">
            <w:pPr>
              <w:jc w:val="right"/>
              <w:rPr>
                <w:sz w:val="22"/>
                <w:szCs w:val="22"/>
              </w:rPr>
            </w:pPr>
            <w:r w:rsidRPr="004D53C3">
              <w:rPr>
                <w:rFonts w:cs="Calibri"/>
                <w:color w:val="000000"/>
                <w:sz w:val="22"/>
                <w:szCs w:val="22"/>
              </w:rPr>
              <w:t>430</w:t>
            </w:r>
          </w:p>
        </w:tc>
        <w:tc>
          <w:tcPr>
            <w:tcW w:w="0" w:type="auto"/>
          </w:tcPr>
          <w:p w14:paraId="467112ED" w14:textId="1BCAF1C2" w:rsidR="004D53C3" w:rsidRPr="004D53C3" w:rsidRDefault="004D53C3" w:rsidP="004D53C3">
            <w:pPr>
              <w:jc w:val="right"/>
              <w:rPr>
                <w:sz w:val="22"/>
                <w:szCs w:val="22"/>
              </w:rPr>
            </w:pPr>
            <w:r w:rsidRPr="004D53C3">
              <w:rPr>
                <w:rFonts w:cs="Calibri"/>
                <w:color w:val="000000"/>
                <w:sz w:val="22"/>
                <w:szCs w:val="22"/>
              </w:rPr>
              <w:t>23</w:t>
            </w:r>
          </w:p>
        </w:tc>
        <w:tc>
          <w:tcPr>
            <w:tcW w:w="0" w:type="auto"/>
          </w:tcPr>
          <w:p w14:paraId="7AEFF4AC" w14:textId="2105B625" w:rsidR="004D53C3" w:rsidRPr="004D53C3" w:rsidRDefault="004D53C3" w:rsidP="004D53C3">
            <w:pPr>
              <w:jc w:val="right"/>
              <w:rPr>
                <w:sz w:val="22"/>
                <w:szCs w:val="22"/>
              </w:rPr>
            </w:pPr>
            <w:r w:rsidRPr="004D53C3">
              <w:rPr>
                <w:rFonts w:cs="Calibri"/>
                <w:color w:val="000000"/>
                <w:sz w:val="22"/>
                <w:szCs w:val="22"/>
              </w:rPr>
              <w:t>5.3%</w:t>
            </w:r>
          </w:p>
        </w:tc>
        <w:tc>
          <w:tcPr>
            <w:tcW w:w="0" w:type="auto"/>
          </w:tcPr>
          <w:p w14:paraId="628A5DDF" w14:textId="0B79646A" w:rsidR="004D53C3" w:rsidRPr="004D53C3" w:rsidRDefault="004D53C3" w:rsidP="004D53C3">
            <w:pPr>
              <w:jc w:val="right"/>
              <w:rPr>
                <w:sz w:val="22"/>
                <w:szCs w:val="22"/>
              </w:rPr>
            </w:pPr>
            <w:r>
              <w:rPr>
                <w:rFonts w:cs="Calibri"/>
                <w:color w:val="000000"/>
                <w:sz w:val="22"/>
                <w:szCs w:val="22"/>
              </w:rPr>
              <w:t>405</w:t>
            </w:r>
          </w:p>
        </w:tc>
        <w:tc>
          <w:tcPr>
            <w:tcW w:w="0" w:type="auto"/>
          </w:tcPr>
          <w:p w14:paraId="714029B9" w14:textId="2DB6A39E" w:rsidR="004D53C3" w:rsidRPr="004D53C3" w:rsidRDefault="004D53C3" w:rsidP="004D53C3">
            <w:pPr>
              <w:jc w:val="right"/>
              <w:rPr>
                <w:sz w:val="22"/>
                <w:szCs w:val="22"/>
              </w:rPr>
            </w:pPr>
            <w:r>
              <w:rPr>
                <w:rFonts w:cs="Calibri"/>
                <w:color w:val="000000"/>
                <w:sz w:val="22"/>
                <w:szCs w:val="22"/>
              </w:rPr>
              <w:t>25</w:t>
            </w:r>
          </w:p>
        </w:tc>
        <w:tc>
          <w:tcPr>
            <w:tcW w:w="2181" w:type="dxa"/>
          </w:tcPr>
          <w:p w14:paraId="458D85C2" w14:textId="583CFE54" w:rsidR="004D53C3" w:rsidRPr="004D53C3" w:rsidRDefault="004D53C3" w:rsidP="004D53C3">
            <w:pPr>
              <w:jc w:val="right"/>
              <w:rPr>
                <w:sz w:val="22"/>
                <w:szCs w:val="22"/>
              </w:rPr>
            </w:pPr>
            <w:r>
              <w:rPr>
                <w:rFonts w:cs="Calibri"/>
                <w:color w:val="000000"/>
                <w:sz w:val="22"/>
                <w:szCs w:val="22"/>
              </w:rPr>
              <w:t>6.2%</w:t>
            </w:r>
          </w:p>
        </w:tc>
      </w:tr>
      <w:tr w:rsidR="004D53C3" w:rsidRPr="004D53C3" w14:paraId="53D60921" w14:textId="77777777" w:rsidTr="00FC2472">
        <w:tc>
          <w:tcPr>
            <w:tcW w:w="1729" w:type="dxa"/>
          </w:tcPr>
          <w:p w14:paraId="04D81C08" w14:textId="0C8DC4CB" w:rsidR="004D53C3" w:rsidRPr="004D53C3" w:rsidRDefault="004D53C3" w:rsidP="004D53C3">
            <w:pPr>
              <w:rPr>
                <w:sz w:val="22"/>
                <w:szCs w:val="22"/>
              </w:rPr>
            </w:pPr>
            <w:r w:rsidRPr="004D53C3">
              <w:rPr>
                <w:rFonts w:cs="Calibri"/>
                <w:color w:val="000000"/>
                <w:sz w:val="22"/>
                <w:szCs w:val="22"/>
              </w:rPr>
              <w:lastRenderedPageBreak/>
              <w:t>Shannon Foynes Port Company</w:t>
            </w:r>
          </w:p>
        </w:tc>
        <w:tc>
          <w:tcPr>
            <w:tcW w:w="0" w:type="auto"/>
          </w:tcPr>
          <w:p w14:paraId="71B81CB8" w14:textId="15BEAAF5" w:rsidR="004D53C3" w:rsidRPr="004D53C3" w:rsidRDefault="004D53C3" w:rsidP="004D53C3">
            <w:pPr>
              <w:jc w:val="right"/>
              <w:rPr>
                <w:sz w:val="22"/>
                <w:szCs w:val="22"/>
              </w:rPr>
            </w:pPr>
            <w:r w:rsidRPr="004D53C3">
              <w:rPr>
                <w:rFonts w:cs="Calibri"/>
                <w:color w:val="000000"/>
                <w:sz w:val="22"/>
                <w:szCs w:val="22"/>
              </w:rPr>
              <w:t>63</w:t>
            </w:r>
          </w:p>
        </w:tc>
        <w:tc>
          <w:tcPr>
            <w:tcW w:w="0" w:type="auto"/>
          </w:tcPr>
          <w:p w14:paraId="3F32B96D" w14:textId="01851403" w:rsidR="004D53C3" w:rsidRPr="004D53C3" w:rsidRDefault="004D53C3" w:rsidP="004D53C3">
            <w:pPr>
              <w:jc w:val="right"/>
              <w:rPr>
                <w:sz w:val="22"/>
                <w:szCs w:val="22"/>
              </w:rPr>
            </w:pPr>
            <w:r w:rsidRPr="004D53C3">
              <w:rPr>
                <w:rFonts w:cs="Calibri"/>
                <w:color w:val="000000"/>
                <w:sz w:val="22"/>
                <w:szCs w:val="22"/>
              </w:rPr>
              <w:t>2</w:t>
            </w:r>
          </w:p>
        </w:tc>
        <w:tc>
          <w:tcPr>
            <w:tcW w:w="0" w:type="auto"/>
          </w:tcPr>
          <w:p w14:paraId="18006ABC" w14:textId="3CC5F144" w:rsidR="004D53C3" w:rsidRPr="004D53C3" w:rsidRDefault="004D53C3" w:rsidP="004D53C3">
            <w:pPr>
              <w:jc w:val="right"/>
              <w:rPr>
                <w:sz w:val="22"/>
                <w:szCs w:val="22"/>
              </w:rPr>
            </w:pPr>
            <w:r w:rsidRPr="004D53C3">
              <w:rPr>
                <w:rFonts w:cs="Calibri"/>
                <w:color w:val="000000"/>
                <w:sz w:val="22"/>
                <w:szCs w:val="22"/>
              </w:rPr>
              <w:t>3.2%</w:t>
            </w:r>
          </w:p>
        </w:tc>
        <w:tc>
          <w:tcPr>
            <w:tcW w:w="0" w:type="auto"/>
          </w:tcPr>
          <w:p w14:paraId="630B637F" w14:textId="4B0DE317" w:rsidR="004D53C3" w:rsidRPr="004D53C3" w:rsidRDefault="004D53C3" w:rsidP="004D53C3">
            <w:pPr>
              <w:jc w:val="right"/>
              <w:rPr>
                <w:sz w:val="22"/>
                <w:szCs w:val="22"/>
              </w:rPr>
            </w:pPr>
            <w:r>
              <w:rPr>
                <w:rFonts w:cs="Calibri"/>
                <w:color w:val="000000"/>
                <w:sz w:val="22"/>
                <w:szCs w:val="22"/>
              </w:rPr>
              <w:t>65</w:t>
            </w:r>
          </w:p>
        </w:tc>
        <w:tc>
          <w:tcPr>
            <w:tcW w:w="0" w:type="auto"/>
          </w:tcPr>
          <w:p w14:paraId="46F4D7A0" w14:textId="52AFB219" w:rsidR="004D53C3" w:rsidRPr="004D53C3" w:rsidRDefault="004D53C3" w:rsidP="004D53C3">
            <w:pPr>
              <w:jc w:val="right"/>
              <w:rPr>
                <w:sz w:val="22"/>
                <w:szCs w:val="22"/>
              </w:rPr>
            </w:pPr>
            <w:r>
              <w:rPr>
                <w:rFonts w:cs="Calibri"/>
                <w:color w:val="000000"/>
                <w:sz w:val="22"/>
                <w:szCs w:val="22"/>
              </w:rPr>
              <w:t>4</w:t>
            </w:r>
          </w:p>
        </w:tc>
        <w:tc>
          <w:tcPr>
            <w:tcW w:w="2181" w:type="dxa"/>
          </w:tcPr>
          <w:p w14:paraId="3A0102D2" w14:textId="36F5C6C4" w:rsidR="004D53C3" w:rsidRPr="004D53C3" w:rsidRDefault="004D53C3" w:rsidP="004D53C3">
            <w:pPr>
              <w:jc w:val="right"/>
              <w:rPr>
                <w:sz w:val="22"/>
                <w:szCs w:val="22"/>
              </w:rPr>
            </w:pPr>
            <w:r>
              <w:rPr>
                <w:rFonts w:cs="Calibri"/>
                <w:color w:val="000000"/>
                <w:sz w:val="22"/>
                <w:szCs w:val="22"/>
              </w:rPr>
              <w:t>6.2%</w:t>
            </w:r>
          </w:p>
        </w:tc>
      </w:tr>
      <w:tr w:rsidR="004D53C3" w:rsidRPr="004D53C3" w14:paraId="29DC3523" w14:textId="77777777" w:rsidTr="00FC2472">
        <w:tc>
          <w:tcPr>
            <w:tcW w:w="1729" w:type="dxa"/>
          </w:tcPr>
          <w:p w14:paraId="552924D5" w14:textId="79438842" w:rsidR="004D53C3" w:rsidRPr="004D53C3" w:rsidRDefault="004D53C3" w:rsidP="004D53C3">
            <w:pPr>
              <w:rPr>
                <w:sz w:val="22"/>
                <w:szCs w:val="22"/>
              </w:rPr>
            </w:pPr>
            <w:r w:rsidRPr="004D53C3">
              <w:rPr>
                <w:rFonts w:cs="Calibri"/>
                <w:color w:val="000000"/>
                <w:sz w:val="22"/>
                <w:szCs w:val="22"/>
              </w:rPr>
              <w:t>Shannon Group plc</w:t>
            </w:r>
          </w:p>
        </w:tc>
        <w:tc>
          <w:tcPr>
            <w:tcW w:w="0" w:type="auto"/>
          </w:tcPr>
          <w:p w14:paraId="2676E429" w14:textId="08FFCDE7" w:rsidR="004D53C3" w:rsidRPr="004D53C3" w:rsidRDefault="004D53C3" w:rsidP="004D53C3">
            <w:pPr>
              <w:jc w:val="right"/>
              <w:rPr>
                <w:sz w:val="22"/>
                <w:szCs w:val="22"/>
              </w:rPr>
            </w:pPr>
            <w:r w:rsidRPr="004D53C3">
              <w:rPr>
                <w:rFonts w:cs="Calibri"/>
                <w:color w:val="000000"/>
                <w:sz w:val="22"/>
                <w:szCs w:val="22"/>
              </w:rPr>
              <w:t>430</w:t>
            </w:r>
          </w:p>
        </w:tc>
        <w:tc>
          <w:tcPr>
            <w:tcW w:w="0" w:type="auto"/>
          </w:tcPr>
          <w:p w14:paraId="3A1BB822" w14:textId="5F697787" w:rsidR="004D53C3" w:rsidRPr="004D53C3" w:rsidRDefault="004D53C3" w:rsidP="004D53C3">
            <w:pPr>
              <w:jc w:val="right"/>
              <w:rPr>
                <w:sz w:val="22"/>
                <w:szCs w:val="22"/>
              </w:rPr>
            </w:pPr>
            <w:r w:rsidRPr="004D53C3">
              <w:rPr>
                <w:rFonts w:cs="Calibri"/>
                <w:color w:val="000000"/>
                <w:sz w:val="22"/>
                <w:szCs w:val="22"/>
              </w:rPr>
              <w:t>16</w:t>
            </w:r>
          </w:p>
        </w:tc>
        <w:tc>
          <w:tcPr>
            <w:tcW w:w="0" w:type="auto"/>
          </w:tcPr>
          <w:p w14:paraId="5473D5E1" w14:textId="6E9245BF" w:rsidR="004D53C3" w:rsidRPr="004D53C3" w:rsidRDefault="004D53C3" w:rsidP="004D53C3">
            <w:pPr>
              <w:jc w:val="right"/>
              <w:rPr>
                <w:sz w:val="22"/>
                <w:szCs w:val="22"/>
              </w:rPr>
            </w:pPr>
            <w:r w:rsidRPr="004D53C3">
              <w:rPr>
                <w:rFonts w:cs="Calibri"/>
                <w:color w:val="000000"/>
                <w:sz w:val="22"/>
                <w:szCs w:val="22"/>
              </w:rPr>
              <w:t>3.7%</w:t>
            </w:r>
          </w:p>
        </w:tc>
        <w:tc>
          <w:tcPr>
            <w:tcW w:w="0" w:type="auto"/>
          </w:tcPr>
          <w:p w14:paraId="7AE0F74B" w14:textId="6ECDC61D" w:rsidR="004D53C3" w:rsidRPr="004D53C3" w:rsidRDefault="004D53C3" w:rsidP="004D53C3">
            <w:pPr>
              <w:jc w:val="right"/>
              <w:rPr>
                <w:sz w:val="22"/>
                <w:szCs w:val="22"/>
              </w:rPr>
            </w:pPr>
            <w:r>
              <w:rPr>
                <w:rFonts w:cs="Calibri"/>
                <w:color w:val="000000"/>
                <w:sz w:val="22"/>
                <w:szCs w:val="22"/>
              </w:rPr>
              <w:t>400</w:t>
            </w:r>
          </w:p>
        </w:tc>
        <w:tc>
          <w:tcPr>
            <w:tcW w:w="0" w:type="auto"/>
          </w:tcPr>
          <w:p w14:paraId="237C014B" w14:textId="395050C9" w:rsidR="004D53C3" w:rsidRPr="004D53C3" w:rsidRDefault="004D53C3" w:rsidP="004D53C3">
            <w:pPr>
              <w:jc w:val="right"/>
              <w:rPr>
                <w:sz w:val="22"/>
                <w:szCs w:val="22"/>
              </w:rPr>
            </w:pPr>
            <w:r>
              <w:rPr>
                <w:rFonts w:cs="Calibri"/>
                <w:color w:val="000000"/>
                <w:sz w:val="22"/>
                <w:szCs w:val="22"/>
              </w:rPr>
              <w:t>16</w:t>
            </w:r>
          </w:p>
        </w:tc>
        <w:tc>
          <w:tcPr>
            <w:tcW w:w="2181" w:type="dxa"/>
          </w:tcPr>
          <w:p w14:paraId="674A5643" w14:textId="0DD71669" w:rsidR="004D53C3" w:rsidRPr="004D53C3" w:rsidRDefault="004D53C3" w:rsidP="004D53C3">
            <w:pPr>
              <w:jc w:val="right"/>
              <w:rPr>
                <w:sz w:val="22"/>
                <w:szCs w:val="22"/>
              </w:rPr>
            </w:pPr>
            <w:r>
              <w:rPr>
                <w:rFonts w:cs="Calibri"/>
                <w:color w:val="000000"/>
                <w:sz w:val="22"/>
                <w:szCs w:val="22"/>
              </w:rPr>
              <w:t>4.0%</w:t>
            </w:r>
          </w:p>
        </w:tc>
      </w:tr>
      <w:tr w:rsidR="004D53C3" w:rsidRPr="004D53C3" w14:paraId="16ECB405" w14:textId="77777777" w:rsidTr="00FC2472">
        <w:tc>
          <w:tcPr>
            <w:tcW w:w="1729" w:type="dxa"/>
          </w:tcPr>
          <w:p w14:paraId="7FEF4FA9" w14:textId="2ECF5279" w:rsidR="004D53C3" w:rsidRPr="004D53C3" w:rsidRDefault="004D53C3" w:rsidP="004D53C3">
            <w:pPr>
              <w:rPr>
                <w:sz w:val="22"/>
                <w:szCs w:val="22"/>
              </w:rPr>
            </w:pPr>
            <w:r w:rsidRPr="004D53C3">
              <w:rPr>
                <w:rFonts w:cs="Calibri"/>
                <w:color w:val="000000"/>
                <w:sz w:val="22"/>
                <w:szCs w:val="22"/>
              </w:rPr>
              <w:t>Transport Infrastructure Ireland</w:t>
            </w:r>
          </w:p>
        </w:tc>
        <w:tc>
          <w:tcPr>
            <w:tcW w:w="0" w:type="auto"/>
          </w:tcPr>
          <w:p w14:paraId="1ACFFF55" w14:textId="6C8C064B" w:rsidR="004D53C3" w:rsidRPr="004D53C3" w:rsidRDefault="004D53C3" w:rsidP="004D53C3">
            <w:pPr>
              <w:jc w:val="right"/>
              <w:rPr>
                <w:sz w:val="22"/>
                <w:szCs w:val="22"/>
              </w:rPr>
            </w:pPr>
            <w:r w:rsidRPr="004D53C3">
              <w:rPr>
                <w:rFonts w:cs="Calibri"/>
                <w:color w:val="000000"/>
                <w:sz w:val="22"/>
                <w:szCs w:val="22"/>
              </w:rPr>
              <w:t>281</w:t>
            </w:r>
          </w:p>
        </w:tc>
        <w:tc>
          <w:tcPr>
            <w:tcW w:w="0" w:type="auto"/>
          </w:tcPr>
          <w:p w14:paraId="388319F3" w14:textId="1F50786D" w:rsidR="004D53C3" w:rsidRPr="004D53C3" w:rsidRDefault="004D53C3" w:rsidP="004D53C3">
            <w:pPr>
              <w:jc w:val="right"/>
              <w:rPr>
                <w:sz w:val="22"/>
                <w:szCs w:val="22"/>
              </w:rPr>
            </w:pPr>
            <w:r w:rsidRPr="004D53C3">
              <w:rPr>
                <w:rFonts w:cs="Calibri"/>
                <w:color w:val="000000"/>
                <w:sz w:val="22"/>
                <w:szCs w:val="22"/>
              </w:rPr>
              <w:t>12</w:t>
            </w:r>
          </w:p>
        </w:tc>
        <w:tc>
          <w:tcPr>
            <w:tcW w:w="0" w:type="auto"/>
          </w:tcPr>
          <w:p w14:paraId="1887505A" w14:textId="4B05C415" w:rsidR="004D53C3" w:rsidRPr="004D53C3" w:rsidRDefault="004D53C3" w:rsidP="004D53C3">
            <w:pPr>
              <w:jc w:val="right"/>
              <w:rPr>
                <w:sz w:val="22"/>
                <w:szCs w:val="22"/>
              </w:rPr>
            </w:pPr>
            <w:r w:rsidRPr="004D53C3">
              <w:rPr>
                <w:rFonts w:cs="Calibri"/>
                <w:color w:val="000000"/>
                <w:sz w:val="22"/>
                <w:szCs w:val="22"/>
              </w:rPr>
              <w:t>4.3%</w:t>
            </w:r>
          </w:p>
        </w:tc>
        <w:tc>
          <w:tcPr>
            <w:tcW w:w="0" w:type="auto"/>
          </w:tcPr>
          <w:p w14:paraId="1A2254B4" w14:textId="673641CA" w:rsidR="004D53C3" w:rsidRPr="004D53C3" w:rsidRDefault="004D53C3" w:rsidP="004D53C3">
            <w:pPr>
              <w:jc w:val="right"/>
              <w:rPr>
                <w:sz w:val="22"/>
                <w:szCs w:val="22"/>
              </w:rPr>
            </w:pPr>
            <w:r>
              <w:rPr>
                <w:rFonts w:cs="Calibri"/>
                <w:color w:val="000000"/>
                <w:sz w:val="22"/>
                <w:szCs w:val="22"/>
              </w:rPr>
              <w:t>295</w:t>
            </w:r>
          </w:p>
        </w:tc>
        <w:tc>
          <w:tcPr>
            <w:tcW w:w="0" w:type="auto"/>
          </w:tcPr>
          <w:p w14:paraId="32184639" w14:textId="5937F17B" w:rsidR="004D53C3" w:rsidRPr="004D53C3" w:rsidRDefault="004D53C3" w:rsidP="004D53C3">
            <w:pPr>
              <w:jc w:val="right"/>
              <w:rPr>
                <w:sz w:val="22"/>
                <w:szCs w:val="22"/>
              </w:rPr>
            </w:pPr>
            <w:r>
              <w:rPr>
                <w:rFonts w:cs="Calibri"/>
                <w:color w:val="000000"/>
                <w:sz w:val="22"/>
                <w:szCs w:val="22"/>
              </w:rPr>
              <w:t>15</w:t>
            </w:r>
          </w:p>
        </w:tc>
        <w:tc>
          <w:tcPr>
            <w:tcW w:w="2181" w:type="dxa"/>
          </w:tcPr>
          <w:p w14:paraId="684AC176" w14:textId="0F837F62" w:rsidR="004D53C3" w:rsidRPr="004D53C3" w:rsidRDefault="004D53C3" w:rsidP="004D53C3">
            <w:pPr>
              <w:jc w:val="right"/>
              <w:rPr>
                <w:sz w:val="22"/>
                <w:szCs w:val="22"/>
              </w:rPr>
            </w:pPr>
            <w:r>
              <w:rPr>
                <w:rFonts w:cs="Calibri"/>
                <w:color w:val="000000"/>
                <w:sz w:val="22"/>
                <w:szCs w:val="22"/>
              </w:rPr>
              <w:t>5.1%</w:t>
            </w:r>
          </w:p>
        </w:tc>
      </w:tr>
      <w:tr w:rsidR="004D53C3" w:rsidRPr="004C3D5B" w14:paraId="211D042A" w14:textId="77777777" w:rsidTr="00FC2472">
        <w:trPr>
          <w:trHeight w:val="529"/>
        </w:trPr>
        <w:tc>
          <w:tcPr>
            <w:tcW w:w="1729" w:type="dxa"/>
          </w:tcPr>
          <w:p w14:paraId="45F72AB0" w14:textId="77777777" w:rsidR="004D53C3" w:rsidRPr="004D53C3" w:rsidRDefault="004D53C3" w:rsidP="004D53C3">
            <w:pPr>
              <w:spacing w:after="0"/>
              <w:rPr>
                <w:b/>
                <w:sz w:val="22"/>
                <w:szCs w:val="22"/>
              </w:rPr>
            </w:pPr>
            <w:r w:rsidRPr="004D53C3">
              <w:rPr>
                <w:b/>
                <w:sz w:val="22"/>
                <w:szCs w:val="22"/>
              </w:rPr>
              <w:t xml:space="preserve">Grand Total </w:t>
            </w:r>
          </w:p>
          <w:p w14:paraId="169F8CFA" w14:textId="6B15FF7C" w:rsidR="004D53C3" w:rsidRPr="004D53C3" w:rsidRDefault="004D53C3" w:rsidP="004D53C3">
            <w:pPr>
              <w:spacing w:after="0"/>
              <w:rPr>
                <w:sz w:val="22"/>
                <w:szCs w:val="22"/>
              </w:rPr>
            </w:pPr>
          </w:p>
        </w:tc>
        <w:tc>
          <w:tcPr>
            <w:tcW w:w="0" w:type="auto"/>
          </w:tcPr>
          <w:p w14:paraId="374036EA" w14:textId="77777777" w:rsidR="004D53C3" w:rsidRPr="004D53C3" w:rsidRDefault="004D53C3" w:rsidP="004D53C3">
            <w:pPr>
              <w:spacing w:after="0"/>
              <w:jc w:val="right"/>
              <w:rPr>
                <w:rFonts w:cs="Calibri"/>
                <w:b/>
                <w:bCs/>
                <w:color w:val="000000"/>
                <w:sz w:val="22"/>
                <w:szCs w:val="22"/>
                <w:lang w:eastAsia="en-IE"/>
              </w:rPr>
            </w:pPr>
            <w:r w:rsidRPr="004D53C3">
              <w:rPr>
                <w:rFonts w:cs="Calibri"/>
                <w:b/>
                <w:bCs/>
                <w:color w:val="000000"/>
                <w:sz w:val="22"/>
                <w:szCs w:val="22"/>
              </w:rPr>
              <w:t>15,854</w:t>
            </w:r>
          </w:p>
          <w:p w14:paraId="01EFFEA8" w14:textId="6004B94A" w:rsidR="004D53C3" w:rsidRPr="004D53C3" w:rsidRDefault="004D53C3" w:rsidP="004D53C3">
            <w:pPr>
              <w:spacing w:after="0"/>
              <w:jc w:val="right"/>
              <w:rPr>
                <w:b/>
                <w:sz w:val="22"/>
                <w:szCs w:val="22"/>
              </w:rPr>
            </w:pPr>
          </w:p>
        </w:tc>
        <w:tc>
          <w:tcPr>
            <w:tcW w:w="0" w:type="auto"/>
          </w:tcPr>
          <w:p w14:paraId="35878E51" w14:textId="77777777" w:rsidR="004D53C3" w:rsidRPr="004D53C3" w:rsidRDefault="004D53C3" w:rsidP="004D53C3">
            <w:pPr>
              <w:spacing w:after="0"/>
              <w:jc w:val="right"/>
              <w:rPr>
                <w:rFonts w:cs="Calibri"/>
                <w:b/>
                <w:bCs/>
                <w:color w:val="000000"/>
                <w:sz w:val="22"/>
                <w:szCs w:val="22"/>
                <w:lang w:eastAsia="en-IE"/>
              </w:rPr>
            </w:pPr>
            <w:r w:rsidRPr="004D53C3">
              <w:rPr>
                <w:rFonts w:cs="Calibri"/>
                <w:b/>
                <w:bCs/>
                <w:color w:val="000000"/>
                <w:sz w:val="22"/>
                <w:szCs w:val="22"/>
              </w:rPr>
              <w:t>835</w:t>
            </w:r>
          </w:p>
          <w:p w14:paraId="6F093078" w14:textId="4792A65B" w:rsidR="004D53C3" w:rsidRPr="004D53C3" w:rsidRDefault="004D53C3" w:rsidP="004D53C3">
            <w:pPr>
              <w:spacing w:after="0"/>
              <w:jc w:val="right"/>
              <w:rPr>
                <w:b/>
                <w:sz w:val="22"/>
                <w:szCs w:val="22"/>
              </w:rPr>
            </w:pPr>
          </w:p>
        </w:tc>
        <w:tc>
          <w:tcPr>
            <w:tcW w:w="0" w:type="auto"/>
          </w:tcPr>
          <w:p w14:paraId="4E9569B3" w14:textId="36426646" w:rsidR="004D53C3" w:rsidRPr="004D53C3" w:rsidRDefault="004D53C3" w:rsidP="004D53C3">
            <w:pPr>
              <w:spacing w:after="0"/>
              <w:jc w:val="right"/>
              <w:rPr>
                <w:b/>
                <w:sz w:val="22"/>
                <w:szCs w:val="22"/>
              </w:rPr>
            </w:pPr>
            <w:r w:rsidRPr="004D53C3">
              <w:rPr>
                <w:b/>
                <w:sz w:val="22"/>
                <w:szCs w:val="22"/>
              </w:rPr>
              <w:t>5.3%</w:t>
            </w:r>
          </w:p>
        </w:tc>
        <w:tc>
          <w:tcPr>
            <w:tcW w:w="0" w:type="auto"/>
          </w:tcPr>
          <w:p w14:paraId="250E3C2F" w14:textId="77777777" w:rsidR="004D53C3" w:rsidRDefault="004D53C3" w:rsidP="004D53C3">
            <w:pPr>
              <w:spacing w:after="0"/>
              <w:jc w:val="right"/>
              <w:rPr>
                <w:rFonts w:cs="Calibri"/>
                <w:b/>
                <w:bCs/>
                <w:color w:val="000000"/>
                <w:sz w:val="22"/>
                <w:szCs w:val="22"/>
                <w:lang w:eastAsia="en-IE"/>
              </w:rPr>
            </w:pPr>
            <w:r>
              <w:rPr>
                <w:rFonts w:cs="Calibri"/>
                <w:b/>
                <w:bCs/>
                <w:color w:val="000000"/>
                <w:sz w:val="22"/>
                <w:szCs w:val="22"/>
              </w:rPr>
              <w:t>16871</w:t>
            </w:r>
          </w:p>
          <w:p w14:paraId="5504DD68" w14:textId="738F4940" w:rsidR="004D53C3" w:rsidRPr="004D53C3" w:rsidRDefault="004D53C3" w:rsidP="004D53C3">
            <w:pPr>
              <w:spacing w:after="0"/>
              <w:jc w:val="right"/>
              <w:rPr>
                <w:b/>
                <w:sz w:val="22"/>
                <w:szCs w:val="22"/>
              </w:rPr>
            </w:pPr>
          </w:p>
        </w:tc>
        <w:tc>
          <w:tcPr>
            <w:tcW w:w="0" w:type="auto"/>
          </w:tcPr>
          <w:p w14:paraId="5B452DCF" w14:textId="77777777" w:rsidR="004D53C3" w:rsidRDefault="004D53C3" w:rsidP="004D53C3">
            <w:pPr>
              <w:spacing w:after="0"/>
              <w:jc w:val="right"/>
              <w:rPr>
                <w:rFonts w:cs="Calibri"/>
                <w:b/>
                <w:bCs/>
                <w:color w:val="000000"/>
                <w:sz w:val="22"/>
                <w:szCs w:val="22"/>
                <w:lang w:eastAsia="en-IE"/>
              </w:rPr>
            </w:pPr>
            <w:r>
              <w:rPr>
                <w:rFonts w:cs="Calibri"/>
                <w:b/>
                <w:bCs/>
                <w:color w:val="000000"/>
                <w:sz w:val="22"/>
                <w:szCs w:val="22"/>
              </w:rPr>
              <w:t>953</w:t>
            </w:r>
          </w:p>
          <w:p w14:paraId="36AEAF68" w14:textId="33D7A986" w:rsidR="004D53C3" w:rsidRPr="004D53C3" w:rsidRDefault="004D53C3" w:rsidP="004D53C3">
            <w:pPr>
              <w:spacing w:after="0"/>
              <w:jc w:val="right"/>
              <w:rPr>
                <w:b/>
                <w:sz w:val="22"/>
                <w:szCs w:val="22"/>
              </w:rPr>
            </w:pPr>
          </w:p>
        </w:tc>
        <w:tc>
          <w:tcPr>
            <w:tcW w:w="2181" w:type="dxa"/>
          </w:tcPr>
          <w:p w14:paraId="49D022EB" w14:textId="77777777" w:rsidR="004D53C3" w:rsidRDefault="004D53C3" w:rsidP="004D53C3">
            <w:pPr>
              <w:spacing w:after="0"/>
              <w:jc w:val="right"/>
              <w:rPr>
                <w:rFonts w:cs="Calibri"/>
                <w:b/>
                <w:bCs/>
                <w:color w:val="000000"/>
                <w:sz w:val="22"/>
                <w:szCs w:val="22"/>
                <w:lang w:eastAsia="en-IE"/>
              </w:rPr>
            </w:pPr>
            <w:r>
              <w:rPr>
                <w:rFonts w:cs="Calibri"/>
                <w:b/>
                <w:bCs/>
                <w:color w:val="000000"/>
                <w:sz w:val="22"/>
                <w:szCs w:val="22"/>
              </w:rPr>
              <w:t>5.6%</w:t>
            </w:r>
          </w:p>
          <w:p w14:paraId="668BED57" w14:textId="5D17E185" w:rsidR="004D53C3" w:rsidRPr="004C3D5B" w:rsidRDefault="004D53C3" w:rsidP="004D53C3">
            <w:pPr>
              <w:spacing w:after="0"/>
              <w:jc w:val="right"/>
              <w:rPr>
                <w:b/>
                <w:sz w:val="22"/>
                <w:szCs w:val="22"/>
              </w:rPr>
            </w:pPr>
          </w:p>
        </w:tc>
      </w:tr>
    </w:tbl>
    <w:p w14:paraId="22B0434A" w14:textId="3C7F08FA" w:rsidR="00973B13" w:rsidRPr="004C3D5B" w:rsidRDefault="005D2DC5" w:rsidP="00092F8C">
      <w:pPr>
        <w:jc w:val="both"/>
      </w:pPr>
      <w:r w:rsidRPr="004C3D5B">
        <w:br w:type="page"/>
      </w:r>
    </w:p>
    <w:p w14:paraId="1D9C6174" w14:textId="7B77C184" w:rsidR="00113CEE" w:rsidRPr="004C3D5B" w:rsidRDefault="00113CEE" w:rsidP="00973B13">
      <w:pPr>
        <w:rPr>
          <w:sz w:val="22"/>
          <w:szCs w:val="22"/>
        </w:rPr>
      </w:pPr>
    </w:p>
    <w:p w14:paraId="3C47D98B" w14:textId="35EC2B85" w:rsidR="00456933" w:rsidRPr="004C3D5B" w:rsidRDefault="00456933" w:rsidP="00973B13">
      <w:pPr>
        <w:rPr>
          <w:sz w:val="22"/>
          <w:szCs w:val="22"/>
        </w:rPr>
      </w:pPr>
    </w:p>
    <w:p w14:paraId="404E5C4B" w14:textId="116B51CC" w:rsidR="00456933" w:rsidRPr="004C3D5B" w:rsidRDefault="00456933" w:rsidP="00973B13">
      <w:pPr>
        <w:rPr>
          <w:sz w:val="22"/>
          <w:szCs w:val="22"/>
        </w:rPr>
      </w:pPr>
    </w:p>
    <w:p w14:paraId="5D2DADA3" w14:textId="12D1D03F" w:rsidR="00456933" w:rsidRPr="004C3D5B" w:rsidRDefault="00456933" w:rsidP="00973B13">
      <w:pPr>
        <w:rPr>
          <w:sz w:val="22"/>
          <w:szCs w:val="22"/>
        </w:rPr>
      </w:pPr>
    </w:p>
    <w:p w14:paraId="162ECA78" w14:textId="77777777" w:rsidR="00456933" w:rsidRPr="004C3D5B" w:rsidRDefault="00456933" w:rsidP="00973B13">
      <w:pPr>
        <w:rPr>
          <w:sz w:val="22"/>
          <w:szCs w:val="22"/>
        </w:rPr>
      </w:pPr>
    </w:p>
    <w:p w14:paraId="7EB9E877" w14:textId="5397BF8B" w:rsidR="00113CEE" w:rsidRPr="004C3D5B" w:rsidRDefault="00113CEE" w:rsidP="00973B13">
      <w:pPr>
        <w:rPr>
          <w:rFonts w:ascii="Rockwell" w:hAnsi="Rockwell"/>
        </w:rPr>
      </w:pPr>
    </w:p>
    <w:p w14:paraId="7F9C26D6" w14:textId="5B10434C" w:rsidR="00113CEE" w:rsidRPr="004C3D5B" w:rsidRDefault="00113CEE" w:rsidP="00973B13">
      <w:pPr>
        <w:rPr>
          <w:rFonts w:ascii="Rockwell" w:hAnsi="Rockwell"/>
        </w:rPr>
      </w:pPr>
    </w:p>
    <w:p w14:paraId="19F29BA5" w14:textId="2FC26BC5" w:rsidR="00113CEE" w:rsidRPr="004C3D5B" w:rsidRDefault="00113CEE" w:rsidP="00973B13">
      <w:pPr>
        <w:rPr>
          <w:rFonts w:ascii="Rockwell" w:hAnsi="Rockwell"/>
        </w:rPr>
      </w:pPr>
    </w:p>
    <w:p w14:paraId="3BFBEFEA" w14:textId="3B4C75C2" w:rsidR="00C85DAB" w:rsidRPr="004C3D5B" w:rsidRDefault="00C85DAB" w:rsidP="00973B13">
      <w:pPr>
        <w:rPr>
          <w:rFonts w:ascii="Rockwell" w:hAnsi="Rockwell"/>
        </w:rPr>
      </w:pPr>
    </w:p>
    <w:p w14:paraId="7333DB08" w14:textId="01928858" w:rsidR="00C85DAB" w:rsidRPr="004C3D5B" w:rsidRDefault="00C85DAB" w:rsidP="00973B13">
      <w:pPr>
        <w:rPr>
          <w:rFonts w:ascii="Rockwell" w:hAnsi="Rockwell"/>
        </w:rPr>
      </w:pPr>
    </w:p>
    <w:p w14:paraId="5D2D3C50" w14:textId="4DF2CB23" w:rsidR="00973B13" w:rsidRPr="004C3D5B" w:rsidRDefault="00973B13" w:rsidP="00973B13">
      <w:pPr>
        <w:rPr>
          <w:rFonts w:ascii="Rockwell" w:hAnsi="Rockwell"/>
        </w:rPr>
      </w:pPr>
      <w:r w:rsidRPr="004C3D5B">
        <w:rPr>
          <w:noProof/>
          <w:lang w:eastAsia="en-IE"/>
        </w:rPr>
        <w:drawing>
          <wp:inline distT="0" distB="0" distL="0" distR="0" wp14:anchorId="133B2093" wp14:editId="256D2AE7">
            <wp:extent cx="1173480" cy="485775"/>
            <wp:effectExtent l="0" t="0" r="7620" b="9525"/>
            <wp:docPr id="2" name="Picture 11" descr="ND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DA log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73480" cy="485775"/>
                    </a:xfrm>
                    <a:prstGeom prst="rect">
                      <a:avLst/>
                    </a:prstGeom>
                    <a:noFill/>
                    <a:ln>
                      <a:noFill/>
                    </a:ln>
                  </pic:spPr>
                </pic:pic>
              </a:graphicData>
            </a:graphic>
          </wp:inline>
        </w:drawing>
      </w:r>
    </w:p>
    <w:p w14:paraId="791BF7CC" w14:textId="7D1A02A2" w:rsidR="00973B13" w:rsidRPr="004C3D5B" w:rsidRDefault="00973B13" w:rsidP="00973B13">
      <w:pPr>
        <w:rPr>
          <w:rFonts w:ascii="Rockwell" w:hAnsi="Rockwell"/>
        </w:rPr>
      </w:pPr>
    </w:p>
    <w:p w14:paraId="40FE3F27" w14:textId="77777777" w:rsidR="00973B13" w:rsidRPr="004C3D5B" w:rsidRDefault="00973B13" w:rsidP="00973B13">
      <w:pPr>
        <w:rPr>
          <w:rFonts w:ascii="Rockwell" w:hAnsi="Rockwell"/>
          <w:b/>
        </w:rPr>
      </w:pPr>
      <w:r w:rsidRPr="004C3D5B">
        <w:rPr>
          <w:rFonts w:ascii="Rockwell" w:hAnsi="Rockwell"/>
          <w:b/>
        </w:rPr>
        <w:t>National Disability Authority</w:t>
      </w:r>
    </w:p>
    <w:p w14:paraId="74C98053" w14:textId="77777777" w:rsidR="00973B13" w:rsidRPr="004C3D5B" w:rsidRDefault="00973B13" w:rsidP="00973B13">
      <w:pPr>
        <w:rPr>
          <w:rFonts w:ascii="Rockwell" w:hAnsi="Rockwell"/>
        </w:rPr>
      </w:pPr>
      <w:r w:rsidRPr="004C3D5B">
        <w:rPr>
          <w:rFonts w:ascii="Rockwell" w:hAnsi="Rockwell"/>
        </w:rPr>
        <w:t>25 Clyde Road, Dublin 4</w:t>
      </w:r>
    </w:p>
    <w:p w14:paraId="714CE317" w14:textId="77777777" w:rsidR="00973B13" w:rsidRPr="004C3D5B" w:rsidRDefault="00973B13" w:rsidP="00973B13">
      <w:pPr>
        <w:rPr>
          <w:rFonts w:ascii="Rockwell" w:hAnsi="Rockwell"/>
        </w:rPr>
      </w:pPr>
      <w:r w:rsidRPr="004C3D5B">
        <w:rPr>
          <w:rFonts w:ascii="Rockwell" w:hAnsi="Rockwell"/>
          <w:b/>
        </w:rPr>
        <w:t>Telephone</w:t>
      </w:r>
      <w:r w:rsidRPr="004C3D5B">
        <w:rPr>
          <w:rFonts w:ascii="Rockwell" w:hAnsi="Rockwell"/>
        </w:rPr>
        <w:t>: (01) 608 0400</w:t>
      </w:r>
    </w:p>
    <w:p w14:paraId="4AE67706" w14:textId="1CD55BB5" w:rsidR="00072B1D" w:rsidRPr="004C3D5B" w:rsidRDefault="00072B1D" w:rsidP="00072B1D">
      <w:pPr>
        <w:rPr>
          <w:rFonts w:ascii="Rockwell" w:hAnsi="Rockwell"/>
          <w:b/>
          <w:color w:val="0000FF"/>
          <w:u w:val="single"/>
        </w:rPr>
      </w:pPr>
      <w:hyperlink r:id="rId14" w:history="1">
        <w:r w:rsidRPr="004C3D5B">
          <w:rPr>
            <w:rStyle w:val="Hyperlink"/>
            <w:rFonts w:ascii="Rockwell" w:hAnsi="Rockwell"/>
            <w:b/>
          </w:rPr>
          <w:t>www.nda.ie</w:t>
        </w:r>
      </w:hyperlink>
    </w:p>
    <w:p w14:paraId="519B5A91" w14:textId="2A16E1F0" w:rsidR="00973B13" w:rsidRPr="004C3D5B" w:rsidRDefault="00973B13" w:rsidP="00072B1D">
      <w:pPr>
        <w:rPr>
          <w:rFonts w:ascii="Rockwell" w:hAnsi="Rockwell"/>
        </w:rPr>
      </w:pPr>
      <w:r w:rsidRPr="004C3D5B">
        <w:rPr>
          <w:rFonts w:ascii="Rockwell" w:hAnsi="Rockwell"/>
          <w:b/>
          <w:sz w:val="32"/>
          <w:szCs w:val="32"/>
        </w:rPr>
        <w:t>National Disability Authority is the</w:t>
      </w:r>
    </w:p>
    <w:p w14:paraId="4FEE4F81" w14:textId="77777777" w:rsidR="00973B13" w:rsidRPr="004C3D5B" w:rsidRDefault="00973B13" w:rsidP="00973B13">
      <w:pPr>
        <w:rPr>
          <w:rFonts w:ascii="Rockwell" w:hAnsi="Rockwell"/>
          <w:b/>
          <w:sz w:val="32"/>
          <w:szCs w:val="32"/>
        </w:rPr>
      </w:pPr>
      <w:r w:rsidRPr="004C3D5B">
        <w:rPr>
          <w:rFonts w:ascii="Rockwell" w:hAnsi="Rockwell"/>
          <w:b/>
          <w:sz w:val="32"/>
          <w:szCs w:val="32"/>
        </w:rPr>
        <w:t>independent state body providing</w:t>
      </w:r>
    </w:p>
    <w:p w14:paraId="046CF81C" w14:textId="77777777" w:rsidR="00973B13" w:rsidRPr="004C3D5B" w:rsidRDefault="00973B13" w:rsidP="00973B13">
      <w:pPr>
        <w:rPr>
          <w:rFonts w:ascii="Rockwell" w:hAnsi="Rockwell"/>
          <w:b/>
          <w:sz w:val="32"/>
          <w:szCs w:val="32"/>
        </w:rPr>
      </w:pPr>
      <w:r w:rsidRPr="004C3D5B">
        <w:rPr>
          <w:rFonts w:ascii="Rockwell" w:hAnsi="Rockwell"/>
          <w:b/>
          <w:sz w:val="32"/>
          <w:szCs w:val="32"/>
        </w:rPr>
        <w:t>evidence-informed advice on disability policy and</w:t>
      </w:r>
    </w:p>
    <w:p w14:paraId="63770164" w14:textId="77777777" w:rsidR="00973B13" w:rsidRPr="004C3D5B" w:rsidRDefault="00973B13" w:rsidP="00973B13">
      <w:pPr>
        <w:rPr>
          <w:rFonts w:ascii="Rockwell" w:hAnsi="Rockwell"/>
          <w:b/>
          <w:sz w:val="32"/>
          <w:szCs w:val="32"/>
        </w:rPr>
      </w:pPr>
      <w:r w:rsidRPr="004C3D5B">
        <w:rPr>
          <w:rFonts w:ascii="Rockwell" w:hAnsi="Rockwell"/>
          <w:b/>
          <w:sz w:val="32"/>
          <w:szCs w:val="32"/>
        </w:rPr>
        <w:t>practice to the Government, and promoting</w:t>
      </w:r>
    </w:p>
    <w:p w14:paraId="43F041D8" w14:textId="169293D3" w:rsidR="00973B13" w:rsidRPr="00A970B1" w:rsidRDefault="00973B13" w:rsidP="00973B13">
      <w:pPr>
        <w:rPr>
          <w:rFonts w:ascii="Rockwell" w:hAnsi="Rockwell"/>
          <w:b/>
          <w:sz w:val="32"/>
          <w:szCs w:val="32"/>
        </w:rPr>
      </w:pPr>
      <w:r w:rsidRPr="004C3D5B">
        <w:rPr>
          <w:rFonts w:ascii="Rockwell" w:hAnsi="Rockwell"/>
          <w:b/>
          <w:sz w:val="32"/>
          <w:szCs w:val="32"/>
        </w:rPr>
        <w:t>Universal Design in Ireland.</w:t>
      </w:r>
      <w:r w:rsidRPr="00A970B1">
        <w:rPr>
          <w:rFonts w:ascii="Rockwell" w:hAnsi="Rockwell"/>
          <w:b/>
          <w:sz w:val="32"/>
          <w:szCs w:val="32"/>
        </w:rPr>
        <w:t xml:space="preserve"> </w:t>
      </w:r>
    </w:p>
    <w:sectPr w:rsidR="00973B13" w:rsidRPr="00A970B1">
      <w:footerReference w:type="default" r:id="rId15"/>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2B8D1" w14:textId="77777777" w:rsidR="009C6ACF" w:rsidRDefault="009C6ACF">
      <w:r>
        <w:separator/>
      </w:r>
    </w:p>
  </w:endnote>
  <w:endnote w:type="continuationSeparator" w:id="0">
    <w:p w14:paraId="6AB62AE7" w14:textId="77777777" w:rsidR="009C6ACF" w:rsidRDefault="009C6ACF">
      <w:r>
        <w:continuationSeparator/>
      </w:r>
    </w:p>
  </w:endnote>
  <w:endnote w:type="continuationNotice" w:id="1">
    <w:p w14:paraId="28735B97" w14:textId="77777777" w:rsidR="009C6ACF" w:rsidRDefault="009C6ACF">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ill Sans MT">
    <w:panose1 w:val="020B0502020104020203"/>
    <w:charset w:val="00"/>
    <w:family w:val="swiss"/>
    <w:pitch w:val="variable"/>
    <w:sig w:usb0="00000007" w:usb1="00000000" w:usb2="00000000" w:usb3="00000000" w:csb0="00000003" w:csb1="00000000"/>
  </w:font>
  <w:font w:name="Rockwell">
    <w:panose1 w:val="020606030202050204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 w:name="Gill Sans">
    <w:altName w:val="Gill Sans MT"/>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4A98D2" w14:textId="77777777" w:rsidR="00353454" w:rsidRDefault="00353454" w:rsidP="00D316AD">
    <w:pPr>
      <w:pStyle w:val="Footer"/>
      <w:jc w:val="right"/>
    </w:pPr>
    <w: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39173678"/>
      <w:docPartObj>
        <w:docPartGallery w:val="Page Numbers (Bottom of Page)"/>
        <w:docPartUnique/>
      </w:docPartObj>
    </w:sdtPr>
    <w:sdtEndPr>
      <w:rPr>
        <w:noProof/>
      </w:rPr>
    </w:sdtEndPr>
    <w:sdtContent>
      <w:p w14:paraId="17B13DAC" w14:textId="601EED13" w:rsidR="00353454" w:rsidRDefault="00353454">
        <w:pPr>
          <w:pStyle w:val="Footer"/>
          <w:jc w:val="right"/>
        </w:pPr>
        <w:r>
          <w:fldChar w:fldCharType="begin"/>
        </w:r>
        <w:r>
          <w:instrText xml:space="preserve"> PAGE   \* MERGEFORMAT </w:instrText>
        </w:r>
        <w:r>
          <w:fldChar w:fldCharType="separate"/>
        </w:r>
        <w:r w:rsidR="00C81B01">
          <w:rPr>
            <w:noProof/>
          </w:rPr>
          <w:t>3</w:t>
        </w:r>
        <w:r>
          <w:rPr>
            <w:noProof/>
          </w:rPr>
          <w:fldChar w:fldCharType="end"/>
        </w:r>
      </w:p>
    </w:sdtContent>
  </w:sdt>
  <w:p w14:paraId="0597C103" w14:textId="77777777" w:rsidR="00353454" w:rsidRDefault="00353454" w:rsidP="00D316A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6063370"/>
      <w:docPartObj>
        <w:docPartGallery w:val="Page Numbers (Bottom of Page)"/>
        <w:docPartUnique/>
      </w:docPartObj>
    </w:sdtPr>
    <w:sdtEndPr>
      <w:rPr>
        <w:noProof/>
      </w:rPr>
    </w:sdtEndPr>
    <w:sdtContent>
      <w:p w14:paraId="478B59FB" w14:textId="543D6D97" w:rsidR="00353454" w:rsidRDefault="00353454">
        <w:pPr>
          <w:pStyle w:val="Footer"/>
          <w:jc w:val="right"/>
        </w:pPr>
        <w:r>
          <w:fldChar w:fldCharType="begin"/>
        </w:r>
        <w:r>
          <w:instrText xml:space="preserve"> PAGE   \* MERGEFORMAT </w:instrText>
        </w:r>
        <w:r>
          <w:fldChar w:fldCharType="separate"/>
        </w:r>
        <w:r w:rsidR="00C81B01">
          <w:rPr>
            <w:noProof/>
          </w:rPr>
          <w:t>65</w:t>
        </w:r>
        <w:r>
          <w:rPr>
            <w:noProof/>
          </w:rPr>
          <w:fldChar w:fldCharType="end"/>
        </w:r>
      </w:p>
    </w:sdtContent>
  </w:sdt>
  <w:p w14:paraId="48F84672" w14:textId="1CFE189F" w:rsidR="00353454" w:rsidRDefault="003534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2968D2" w14:textId="77777777" w:rsidR="009C6ACF" w:rsidRDefault="009C6ACF">
      <w:r>
        <w:separator/>
      </w:r>
    </w:p>
  </w:footnote>
  <w:footnote w:type="continuationSeparator" w:id="0">
    <w:p w14:paraId="02F2B20B" w14:textId="77777777" w:rsidR="009C6ACF" w:rsidRDefault="009C6ACF">
      <w:r>
        <w:continuationSeparator/>
      </w:r>
    </w:p>
  </w:footnote>
  <w:footnote w:type="continuationNotice" w:id="1">
    <w:p w14:paraId="5C66576B" w14:textId="77777777" w:rsidR="009C6ACF" w:rsidRDefault="009C6ACF">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8D0E67E"/>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8587E54"/>
    <w:lvl w:ilvl="0">
      <w:start w:val="1"/>
      <w:numFmt w:val="decimal"/>
      <w:pStyle w:val="ListNumber2"/>
      <w:lvlText w:val="%1."/>
      <w:lvlJc w:val="left"/>
      <w:pPr>
        <w:tabs>
          <w:tab w:val="num" w:pos="641"/>
        </w:tabs>
        <w:ind w:left="641" w:hanging="357"/>
      </w:pPr>
      <w:rPr>
        <w:rFonts w:hint="default"/>
      </w:rPr>
    </w:lvl>
  </w:abstractNum>
  <w:abstractNum w:abstractNumId="2" w15:restartNumberingAfterBreak="0">
    <w:nsid w:val="FFFFFF82"/>
    <w:multiLevelType w:val="singleLevel"/>
    <w:tmpl w:val="4428FE14"/>
    <w:lvl w:ilvl="0">
      <w:start w:val="1"/>
      <w:numFmt w:val="bullet"/>
      <w:pStyle w:val="ListBullet3"/>
      <w:lvlText w:val=""/>
      <w:lvlJc w:val="left"/>
      <w:pPr>
        <w:tabs>
          <w:tab w:val="num" w:pos="360"/>
        </w:tabs>
        <w:ind w:left="360" w:hanging="360"/>
      </w:pPr>
      <w:rPr>
        <w:rFonts w:ascii="Symbol" w:hAnsi="Symbol" w:hint="default"/>
        <w:sz w:val="20"/>
        <w:szCs w:val="20"/>
      </w:rPr>
    </w:lvl>
  </w:abstractNum>
  <w:abstractNum w:abstractNumId="3" w15:restartNumberingAfterBreak="0">
    <w:nsid w:val="FFFFFF83"/>
    <w:multiLevelType w:val="singleLevel"/>
    <w:tmpl w:val="1B8401F8"/>
    <w:lvl w:ilvl="0">
      <w:start w:val="1"/>
      <w:numFmt w:val="bullet"/>
      <w:pStyle w:val="ListBullet2"/>
      <w:lvlText w:val=""/>
      <w:lvlJc w:val="left"/>
      <w:pPr>
        <w:tabs>
          <w:tab w:val="num" w:pos="717"/>
        </w:tabs>
        <w:ind w:left="717" w:hanging="360"/>
      </w:pPr>
      <w:rPr>
        <w:rFonts w:ascii="Symbol" w:hAnsi="Symbol" w:cs="Times New Roman" w:hint="default"/>
        <w:sz w:val="20"/>
        <w:szCs w:val="20"/>
      </w:rPr>
    </w:lvl>
  </w:abstractNum>
  <w:abstractNum w:abstractNumId="4" w15:restartNumberingAfterBreak="0">
    <w:nsid w:val="FFFFFF88"/>
    <w:multiLevelType w:val="singleLevel"/>
    <w:tmpl w:val="5A341800"/>
    <w:lvl w:ilvl="0">
      <w:start w:val="1"/>
      <w:numFmt w:val="decimal"/>
      <w:pStyle w:val="ListNumber"/>
      <w:lvlText w:val="%1."/>
      <w:lvlJc w:val="left"/>
      <w:pPr>
        <w:tabs>
          <w:tab w:val="num" w:pos="360"/>
        </w:tabs>
        <w:ind w:left="360" w:hanging="360"/>
      </w:pPr>
    </w:lvl>
  </w:abstractNum>
  <w:abstractNum w:abstractNumId="5" w15:restartNumberingAfterBreak="0">
    <w:nsid w:val="FFFFFF89"/>
    <w:multiLevelType w:val="singleLevel"/>
    <w:tmpl w:val="11486A02"/>
    <w:lvl w:ilvl="0">
      <w:start w:val="1"/>
      <w:numFmt w:val="bullet"/>
      <w:pStyle w:val="ListBullet"/>
      <w:lvlText w:val=""/>
      <w:lvlJc w:val="left"/>
      <w:pPr>
        <w:tabs>
          <w:tab w:val="num" w:pos="360"/>
        </w:tabs>
        <w:ind w:left="360" w:hanging="360"/>
      </w:pPr>
      <w:rPr>
        <w:rFonts w:ascii="Symbol" w:hAnsi="Symbol" w:hint="default"/>
        <w:sz w:val="20"/>
        <w:szCs w:val="20"/>
      </w:rPr>
    </w:lvl>
  </w:abstractNum>
  <w:abstractNum w:abstractNumId="6" w15:restartNumberingAfterBreak="0">
    <w:nsid w:val="0262124B"/>
    <w:multiLevelType w:val="hybridMultilevel"/>
    <w:tmpl w:val="B526165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09564ADE"/>
    <w:multiLevelType w:val="hybridMultilevel"/>
    <w:tmpl w:val="FFFFFFFF"/>
    <w:lvl w:ilvl="0" w:tplc="EFD2054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73A033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54475F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B8AEB4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FEE9C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4F6CA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10637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B4B6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48089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EBC00D3"/>
    <w:multiLevelType w:val="hybridMultilevel"/>
    <w:tmpl w:val="9C74B3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05D383C"/>
    <w:multiLevelType w:val="hybridMultilevel"/>
    <w:tmpl w:val="19EE46CA"/>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0" w15:restartNumberingAfterBreak="0">
    <w:nsid w:val="20785EBB"/>
    <w:multiLevelType w:val="hybridMultilevel"/>
    <w:tmpl w:val="D4ECEC6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15:restartNumberingAfterBreak="0">
    <w:nsid w:val="27FA65DD"/>
    <w:multiLevelType w:val="hybridMultilevel"/>
    <w:tmpl w:val="F1306EB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2EC57682"/>
    <w:multiLevelType w:val="hybridMultilevel"/>
    <w:tmpl w:val="3A8C8F1A"/>
    <w:lvl w:ilvl="0" w:tplc="18090001">
      <w:start w:val="1"/>
      <w:numFmt w:val="bullet"/>
      <w:lvlText w:val=""/>
      <w:lvlJc w:val="left"/>
      <w:pPr>
        <w:ind w:left="792" w:hanging="360"/>
      </w:pPr>
      <w:rPr>
        <w:rFonts w:ascii="Symbol" w:hAnsi="Symbol" w:hint="default"/>
      </w:rPr>
    </w:lvl>
    <w:lvl w:ilvl="1" w:tplc="18090003" w:tentative="1">
      <w:start w:val="1"/>
      <w:numFmt w:val="bullet"/>
      <w:lvlText w:val="o"/>
      <w:lvlJc w:val="left"/>
      <w:pPr>
        <w:ind w:left="1512" w:hanging="360"/>
      </w:pPr>
      <w:rPr>
        <w:rFonts w:ascii="Courier New" w:hAnsi="Courier New" w:cs="Courier New" w:hint="default"/>
      </w:rPr>
    </w:lvl>
    <w:lvl w:ilvl="2" w:tplc="18090005" w:tentative="1">
      <w:start w:val="1"/>
      <w:numFmt w:val="bullet"/>
      <w:lvlText w:val=""/>
      <w:lvlJc w:val="left"/>
      <w:pPr>
        <w:ind w:left="2232" w:hanging="360"/>
      </w:pPr>
      <w:rPr>
        <w:rFonts w:ascii="Wingdings" w:hAnsi="Wingdings" w:hint="default"/>
      </w:rPr>
    </w:lvl>
    <w:lvl w:ilvl="3" w:tplc="18090001" w:tentative="1">
      <w:start w:val="1"/>
      <w:numFmt w:val="bullet"/>
      <w:lvlText w:val=""/>
      <w:lvlJc w:val="left"/>
      <w:pPr>
        <w:ind w:left="2952" w:hanging="360"/>
      </w:pPr>
      <w:rPr>
        <w:rFonts w:ascii="Symbol" w:hAnsi="Symbol" w:hint="default"/>
      </w:rPr>
    </w:lvl>
    <w:lvl w:ilvl="4" w:tplc="18090003" w:tentative="1">
      <w:start w:val="1"/>
      <w:numFmt w:val="bullet"/>
      <w:lvlText w:val="o"/>
      <w:lvlJc w:val="left"/>
      <w:pPr>
        <w:ind w:left="3672" w:hanging="360"/>
      </w:pPr>
      <w:rPr>
        <w:rFonts w:ascii="Courier New" w:hAnsi="Courier New" w:cs="Courier New" w:hint="default"/>
      </w:rPr>
    </w:lvl>
    <w:lvl w:ilvl="5" w:tplc="18090005" w:tentative="1">
      <w:start w:val="1"/>
      <w:numFmt w:val="bullet"/>
      <w:lvlText w:val=""/>
      <w:lvlJc w:val="left"/>
      <w:pPr>
        <w:ind w:left="4392" w:hanging="360"/>
      </w:pPr>
      <w:rPr>
        <w:rFonts w:ascii="Wingdings" w:hAnsi="Wingdings" w:hint="default"/>
      </w:rPr>
    </w:lvl>
    <w:lvl w:ilvl="6" w:tplc="18090001" w:tentative="1">
      <w:start w:val="1"/>
      <w:numFmt w:val="bullet"/>
      <w:lvlText w:val=""/>
      <w:lvlJc w:val="left"/>
      <w:pPr>
        <w:ind w:left="5112" w:hanging="360"/>
      </w:pPr>
      <w:rPr>
        <w:rFonts w:ascii="Symbol" w:hAnsi="Symbol" w:hint="default"/>
      </w:rPr>
    </w:lvl>
    <w:lvl w:ilvl="7" w:tplc="18090003" w:tentative="1">
      <w:start w:val="1"/>
      <w:numFmt w:val="bullet"/>
      <w:lvlText w:val="o"/>
      <w:lvlJc w:val="left"/>
      <w:pPr>
        <w:ind w:left="5832" w:hanging="360"/>
      </w:pPr>
      <w:rPr>
        <w:rFonts w:ascii="Courier New" w:hAnsi="Courier New" w:cs="Courier New" w:hint="default"/>
      </w:rPr>
    </w:lvl>
    <w:lvl w:ilvl="8" w:tplc="18090005" w:tentative="1">
      <w:start w:val="1"/>
      <w:numFmt w:val="bullet"/>
      <w:lvlText w:val=""/>
      <w:lvlJc w:val="left"/>
      <w:pPr>
        <w:ind w:left="6552" w:hanging="360"/>
      </w:pPr>
      <w:rPr>
        <w:rFonts w:ascii="Wingdings" w:hAnsi="Wingdings" w:hint="default"/>
      </w:rPr>
    </w:lvl>
  </w:abstractNum>
  <w:abstractNum w:abstractNumId="13" w15:restartNumberingAfterBreak="0">
    <w:nsid w:val="31234F16"/>
    <w:multiLevelType w:val="hybridMultilevel"/>
    <w:tmpl w:val="A9A25E3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32F36418"/>
    <w:multiLevelType w:val="hybridMultilevel"/>
    <w:tmpl w:val="5372BC9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5" w15:restartNumberingAfterBreak="0">
    <w:nsid w:val="333D719C"/>
    <w:multiLevelType w:val="hybridMultilevel"/>
    <w:tmpl w:val="85F6BF4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6" w15:restartNumberingAfterBreak="0">
    <w:nsid w:val="35C16CDF"/>
    <w:multiLevelType w:val="hybridMultilevel"/>
    <w:tmpl w:val="DE8422B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7" w15:restartNumberingAfterBreak="0">
    <w:nsid w:val="439D2E79"/>
    <w:multiLevelType w:val="hybridMultilevel"/>
    <w:tmpl w:val="2AF458AE"/>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452B33CC"/>
    <w:multiLevelType w:val="hybridMultilevel"/>
    <w:tmpl w:val="B8FC1F3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4B9A14BE"/>
    <w:multiLevelType w:val="hybridMultilevel"/>
    <w:tmpl w:val="1AD4A5D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0" w15:restartNumberingAfterBreak="0">
    <w:nsid w:val="4F373B01"/>
    <w:multiLevelType w:val="hybridMultilevel"/>
    <w:tmpl w:val="BAC6B4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1" w15:restartNumberingAfterBreak="0">
    <w:nsid w:val="5BA10748"/>
    <w:multiLevelType w:val="hybridMultilevel"/>
    <w:tmpl w:val="F25431F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2" w15:restartNumberingAfterBreak="0">
    <w:nsid w:val="5BD8336D"/>
    <w:multiLevelType w:val="hybridMultilevel"/>
    <w:tmpl w:val="313C3E0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69C900E7"/>
    <w:multiLevelType w:val="hybridMultilevel"/>
    <w:tmpl w:val="AB72A20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6A3123AF"/>
    <w:multiLevelType w:val="hybridMultilevel"/>
    <w:tmpl w:val="33C4607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8937069"/>
    <w:multiLevelType w:val="hybridMultilevel"/>
    <w:tmpl w:val="47D2A01C"/>
    <w:lvl w:ilvl="0" w:tplc="AD6A4C94">
      <w:start w:val="406"/>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7C3D7266"/>
    <w:multiLevelType w:val="hybridMultilevel"/>
    <w:tmpl w:val="F35A5C66"/>
    <w:lvl w:ilvl="0" w:tplc="18090001">
      <w:start w:val="1"/>
      <w:numFmt w:val="bullet"/>
      <w:lvlText w:val=""/>
      <w:lvlJc w:val="left"/>
      <w:pPr>
        <w:ind w:left="717" w:hanging="360"/>
      </w:pPr>
      <w:rPr>
        <w:rFonts w:ascii="Symbol" w:hAnsi="Symbol" w:hint="default"/>
      </w:rPr>
    </w:lvl>
    <w:lvl w:ilvl="1" w:tplc="18090003" w:tentative="1">
      <w:start w:val="1"/>
      <w:numFmt w:val="bullet"/>
      <w:lvlText w:val="o"/>
      <w:lvlJc w:val="left"/>
      <w:pPr>
        <w:ind w:left="1437" w:hanging="360"/>
      </w:pPr>
      <w:rPr>
        <w:rFonts w:ascii="Courier New" w:hAnsi="Courier New" w:cs="Courier New" w:hint="default"/>
      </w:rPr>
    </w:lvl>
    <w:lvl w:ilvl="2" w:tplc="18090005" w:tentative="1">
      <w:start w:val="1"/>
      <w:numFmt w:val="bullet"/>
      <w:lvlText w:val=""/>
      <w:lvlJc w:val="left"/>
      <w:pPr>
        <w:ind w:left="2157" w:hanging="360"/>
      </w:pPr>
      <w:rPr>
        <w:rFonts w:ascii="Wingdings" w:hAnsi="Wingdings" w:hint="default"/>
      </w:rPr>
    </w:lvl>
    <w:lvl w:ilvl="3" w:tplc="18090001" w:tentative="1">
      <w:start w:val="1"/>
      <w:numFmt w:val="bullet"/>
      <w:lvlText w:val=""/>
      <w:lvlJc w:val="left"/>
      <w:pPr>
        <w:ind w:left="2877" w:hanging="360"/>
      </w:pPr>
      <w:rPr>
        <w:rFonts w:ascii="Symbol" w:hAnsi="Symbol" w:hint="default"/>
      </w:rPr>
    </w:lvl>
    <w:lvl w:ilvl="4" w:tplc="18090003" w:tentative="1">
      <w:start w:val="1"/>
      <w:numFmt w:val="bullet"/>
      <w:lvlText w:val="o"/>
      <w:lvlJc w:val="left"/>
      <w:pPr>
        <w:ind w:left="3597" w:hanging="360"/>
      </w:pPr>
      <w:rPr>
        <w:rFonts w:ascii="Courier New" w:hAnsi="Courier New" w:cs="Courier New" w:hint="default"/>
      </w:rPr>
    </w:lvl>
    <w:lvl w:ilvl="5" w:tplc="18090005" w:tentative="1">
      <w:start w:val="1"/>
      <w:numFmt w:val="bullet"/>
      <w:lvlText w:val=""/>
      <w:lvlJc w:val="left"/>
      <w:pPr>
        <w:ind w:left="4317" w:hanging="360"/>
      </w:pPr>
      <w:rPr>
        <w:rFonts w:ascii="Wingdings" w:hAnsi="Wingdings" w:hint="default"/>
      </w:rPr>
    </w:lvl>
    <w:lvl w:ilvl="6" w:tplc="18090001" w:tentative="1">
      <w:start w:val="1"/>
      <w:numFmt w:val="bullet"/>
      <w:lvlText w:val=""/>
      <w:lvlJc w:val="left"/>
      <w:pPr>
        <w:ind w:left="5037" w:hanging="360"/>
      </w:pPr>
      <w:rPr>
        <w:rFonts w:ascii="Symbol" w:hAnsi="Symbol" w:hint="default"/>
      </w:rPr>
    </w:lvl>
    <w:lvl w:ilvl="7" w:tplc="18090003" w:tentative="1">
      <w:start w:val="1"/>
      <w:numFmt w:val="bullet"/>
      <w:lvlText w:val="o"/>
      <w:lvlJc w:val="left"/>
      <w:pPr>
        <w:ind w:left="5757" w:hanging="360"/>
      </w:pPr>
      <w:rPr>
        <w:rFonts w:ascii="Courier New" w:hAnsi="Courier New" w:cs="Courier New" w:hint="default"/>
      </w:rPr>
    </w:lvl>
    <w:lvl w:ilvl="8" w:tplc="18090005" w:tentative="1">
      <w:start w:val="1"/>
      <w:numFmt w:val="bullet"/>
      <w:lvlText w:val=""/>
      <w:lvlJc w:val="left"/>
      <w:pPr>
        <w:ind w:left="6477" w:hanging="360"/>
      </w:pPr>
      <w:rPr>
        <w:rFonts w:ascii="Wingdings" w:hAnsi="Wingdings" w:hint="default"/>
      </w:rPr>
    </w:lvl>
  </w:abstractNum>
  <w:num w:numId="1" w16cid:durableId="2008752641">
    <w:abstractNumId w:val="5"/>
  </w:num>
  <w:num w:numId="2" w16cid:durableId="1403523275">
    <w:abstractNumId w:val="3"/>
  </w:num>
  <w:num w:numId="3" w16cid:durableId="1435712554">
    <w:abstractNumId w:val="2"/>
  </w:num>
  <w:num w:numId="4" w16cid:durableId="1820002365">
    <w:abstractNumId w:val="4"/>
  </w:num>
  <w:num w:numId="5" w16cid:durableId="1113204258">
    <w:abstractNumId w:val="1"/>
  </w:num>
  <w:num w:numId="6" w16cid:durableId="1075277255">
    <w:abstractNumId w:val="0"/>
  </w:num>
  <w:num w:numId="7" w16cid:durableId="1181969851">
    <w:abstractNumId w:val="9"/>
  </w:num>
  <w:num w:numId="8" w16cid:durableId="1248273581">
    <w:abstractNumId w:val="16"/>
  </w:num>
  <w:num w:numId="9" w16cid:durableId="1975787422">
    <w:abstractNumId w:val="12"/>
  </w:num>
  <w:num w:numId="10" w16cid:durableId="1416780643">
    <w:abstractNumId w:val="18"/>
  </w:num>
  <w:num w:numId="11" w16cid:durableId="1205290434">
    <w:abstractNumId w:val="15"/>
  </w:num>
  <w:num w:numId="12" w16cid:durableId="864833827">
    <w:abstractNumId w:val="23"/>
  </w:num>
  <w:num w:numId="13" w16cid:durableId="1298873654">
    <w:abstractNumId w:val="26"/>
  </w:num>
  <w:num w:numId="14" w16cid:durableId="1054885823">
    <w:abstractNumId w:val="7"/>
  </w:num>
  <w:num w:numId="15" w16cid:durableId="931207248">
    <w:abstractNumId w:val="21"/>
  </w:num>
  <w:num w:numId="16" w16cid:durableId="293567120">
    <w:abstractNumId w:val="17"/>
  </w:num>
  <w:num w:numId="17" w16cid:durableId="290284170">
    <w:abstractNumId w:val="11"/>
  </w:num>
  <w:num w:numId="18" w16cid:durableId="1300527272">
    <w:abstractNumId w:val="6"/>
  </w:num>
  <w:num w:numId="19" w16cid:durableId="276915308">
    <w:abstractNumId w:val="24"/>
  </w:num>
  <w:num w:numId="20" w16cid:durableId="1824352016">
    <w:abstractNumId w:val="8"/>
  </w:num>
  <w:num w:numId="21" w16cid:durableId="607005365">
    <w:abstractNumId w:val="22"/>
  </w:num>
  <w:num w:numId="22" w16cid:durableId="546111726">
    <w:abstractNumId w:val="10"/>
  </w:num>
  <w:num w:numId="23" w16cid:durableId="1769085495">
    <w:abstractNumId w:val="13"/>
  </w:num>
  <w:num w:numId="24" w16cid:durableId="349337886">
    <w:abstractNumId w:val="14"/>
  </w:num>
  <w:num w:numId="25" w16cid:durableId="774979458">
    <w:abstractNumId w:val="20"/>
  </w:num>
  <w:num w:numId="26" w16cid:durableId="522717746">
    <w:abstractNumId w:val="25"/>
  </w:num>
  <w:num w:numId="27" w16cid:durableId="149849777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activeWritingStyle w:appName="MSWord" w:lang="en-IE" w:vendorID="64" w:dllVersion="0" w:nlCheck="1" w:checkStyle="0"/>
  <w:activeWritingStyle w:appName="MSWord" w:lang="en-US" w:vendorID="64" w:dllVersion="0"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B1"/>
    <w:rsid w:val="0000030A"/>
    <w:rsid w:val="0000058A"/>
    <w:rsid w:val="00000AA3"/>
    <w:rsid w:val="00001536"/>
    <w:rsid w:val="00002558"/>
    <w:rsid w:val="00002A59"/>
    <w:rsid w:val="00002F5E"/>
    <w:rsid w:val="00002F98"/>
    <w:rsid w:val="0000306A"/>
    <w:rsid w:val="0000574F"/>
    <w:rsid w:val="00005D40"/>
    <w:rsid w:val="000060AC"/>
    <w:rsid w:val="00006408"/>
    <w:rsid w:val="000064E4"/>
    <w:rsid w:val="0000656D"/>
    <w:rsid w:val="00006EAC"/>
    <w:rsid w:val="00007218"/>
    <w:rsid w:val="00007289"/>
    <w:rsid w:val="000076BF"/>
    <w:rsid w:val="000077BB"/>
    <w:rsid w:val="0001038B"/>
    <w:rsid w:val="000108E0"/>
    <w:rsid w:val="00010945"/>
    <w:rsid w:val="000125BA"/>
    <w:rsid w:val="00013F71"/>
    <w:rsid w:val="000140BF"/>
    <w:rsid w:val="000164E0"/>
    <w:rsid w:val="0001692E"/>
    <w:rsid w:val="00017C18"/>
    <w:rsid w:val="00020671"/>
    <w:rsid w:val="00020926"/>
    <w:rsid w:val="000219F1"/>
    <w:rsid w:val="0002335B"/>
    <w:rsid w:val="000235A2"/>
    <w:rsid w:val="00023D3B"/>
    <w:rsid w:val="000247A1"/>
    <w:rsid w:val="00024AFF"/>
    <w:rsid w:val="00024C62"/>
    <w:rsid w:val="00025CDF"/>
    <w:rsid w:val="0002687C"/>
    <w:rsid w:val="0002701D"/>
    <w:rsid w:val="00031890"/>
    <w:rsid w:val="0003232A"/>
    <w:rsid w:val="00032A59"/>
    <w:rsid w:val="00034FE1"/>
    <w:rsid w:val="00035466"/>
    <w:rsid w:val="00037518"/>
    <w:rsid w:val="00037CCE"/>
    <w:rsid w:val="0004098B"/>
    <w:rsid w:val="00040DE2"/>
    <w:rsid w:val="00041B93"/>
    <w:rsid w:val="000422E2"/>
    <w:rsid w:val="00042640"/>
    <w:rsid w:val="00042DD4"/>
    <w:rsid w:val="00043B66"/>
    <w:rsid w:val="00043DE3"/>
    <w:rsid w:val="0004587D"/>
    <w:rsid w:val="00045E0A"/>
    <w:rsid w:val="00045EE6"/>
    <w:rsid w:val="00045FD3"/>
    <w:rsid w:val="0004646A"/>
    <w:rsid w:val="00046B63"/>
    <w:rsid w:val="00046D0A"/>
    <w:rsid w:val="0005022F"/>
    <w:rsid w:val="00050A05"/>
    <w:rsid w:val="00051512"/>
    <w:rsid w:val="00051C8E"/>
    <w:rsid w:val="00051E45"/>
    <w:rsid w:val="0005358C"/>
    <w:rsid w:val="0005374F"/>
    <w:rsid w:val="000539E7"/>
    <w:rsid w:val="00054209"/>
    <w:rsid w:val="0005435B"/>
    <w:rsid w:val="00056CC3"/>
    <w:rsid w:val="00056CCB"/>
    <w:rsid w:val="00057FD3"/>
    <w:rsid w:val="00060A37"/>
    <w:rsid w:val="00061230"/>
    <w:rsid w:val="000630A2"/>
    <w:rsid w:val="000637E5"/>
    <w:rsid w:val="00064706"/>
    <w:rsid w:val="00064C1F"/>
    <w:rsid w:val="00064C9A"/>
    <w:rsid w:val="00067205"/>
    <w:rsid w:val="00067891"/>
    <w:rsid w:val="00070557"/>
    <w:rsid w:val="000709BB"/>
    <w:rsid w:val="00072B1D"/>
    <w:rsid w:val="00072FAF"/>
    <w:rsid w:val="00073764"/>
    <w:rsid w:val="000752EB"/>
    <w:rsid w:val="00075814"/>
    <w:rsid w:val="0007589F"/>
    <w:rsid w:val="00076C0A"/>
    <w:rsid w:val="000818DA"/>
    <w:rsid w:val="00082A56"/>
    <w:rsid w:val="00083790"/>
    <w:rsid w:val="00084043"/>
    <w:rsid w:val="00084E46"/>
    <w:rsid w:val="00085803"/>
    <w:rsid w:val="00085905"/>
    <w:rsid w:val="00085FEC"/>
    <w:rsid w:val="0008678C"/>
    <w:rsid w:val="00086831"/>
    <w:rsid w:val="0008719B"/>
    <w:rsid w:val="00087410"/>
    <w:rsid w:val="00090438"/>
    <w:rsid w:val="00090DB2"/>
    <w:rsid w:val="000912DC"/>
    <w:rsid w:val="00091735"/>
    <w:rsid w:val="000926B0"/>
    <w:rsid w:val="00092F8C"/>
    <w:rsid w:val="000935F4"/>
    <w:rsid w:val="00093658"/>
    <w:rsid w:val="00093B58"/>
    <w:rsid w:val="00094E7B"/>
    <w:rsid w:val="00095871"/>
    <w:rsid w:val="0009590E"/>
    <w:rsid w:val="000960BA"/>
    <w:rsid w:val="00096552"/>
    <w:rsid w:val="000A10D6"/>
    <w:rsid w:val="000A2B2C"/>
    <w:rsid w:val="000A2CE4"/>
    <w:rsid w:val="000A35E0"/>
    <w:rsid w:val="000A3D5D"/>
    <w:rsid w:val="000A4BAB"/>
    <w:rsid w:val="000A4C28"/>
    <w:rsid w:val="000A51D8"/>
    <w:rsid w:val="000A557C"/>
    <w:rsid w:val="000A67A8"/>
    <w:rsid w:val="000A7075"/>
    <w:rsid w:val="000B0430"/>
    <w:rsid w:val="000B04F5"/>
    <w:rsid w:val="000B0FE6"/>
    <w:rsid w:val="000B0FEA"/>
    <w:rsid w:val="000B2489"/>
    <w:rsid w:val="000B3835"/>
    <w:rsid w:val="000B3A00"/>
    <w:rsid w:val="000B4CF0"/>
    <w:rsid w:val="000B503C"/>
    <w:rsid w:val="000B53E0"/>
    <w:rsid w:val="000B736B"/>
    <w:rsid w:val="000C008E"/>
    <w:rsid w:val="000C179B"/>
    <w:rsid w:val="000C265F"/>
    <w:rsid w:val="000C3091"/>
    <w:rsid w:val="000C5747"/>
    <w:rsid w:val="000C679C"/>
    <w:rsid w:val="000C6B3A"/>
    <w:rsid w:val="000D2293"/>
    <w:rsid w:val="000D2658"/>
    <w:rsid w:val="000D2FB5"/>
    <w:rsid w:val="000D33B9"/>
    <w:rsid w:val="000D3FF4"/>
    <w:rsid w:val="000D5483"/>
    <w:rsid w:val="000D54FF"/>
    <w:rsid w:val="000D5865"/>
    <w:rsid w:val="000D5C5D"/>
    <w:rsid w:val="000D7504"/>
    <w:rsid w:val="000E0655"/>
    <w:rsid w:val="000E0AC4"/>
    <w:rsid w:val="000E27AC"/>
    <w:rsid w:val="000E613B"/>
    <w:rsid w:val="000E645B"/>
    <w:rsid w:val="000E6CE9"/>
    <w:rsid w:val="000F036D"/>
    <w:rsid w:val="000F04DC"/>
    <w:rsid w:val="000F0BC1"/>
    <w:rsid w:val="000F0D0C"/>
    <w:rsid w:val="000F0D35"/>
    <w:rsid w:val="000F1485"/>
    <w:rsid w:val="000F1F3C"/>
    <w:rsid w:val="000F3407"/>
    <w:rsid w:val="000F3792"/>
    <w:rsid w:val="000F383F"/>
    <w:rsid w:val="000F3B1D"/>
    <w:rsid w:val="000F3E3A"/>
    <w:rsid w:val="000F503F"/>
    <w:rsid w:val="000F55F4"/>
    <w:rsid w:val="000F5B4A"/>
    <w:rsid w:val="000F621E"/>
    <w:rsid w:val="000F66D5"/>
    <w:rsid w:val="000F7F95"/>
    <w:rsid w:val="00100447"/>
    <w:rsid w:val="001015D3"/>
    <w:rsid w:val="00103655"/>
    <w:rsid w:val="00104E7A"/>
    <w:rsid w:val="00105678"/>
    <w:rsid w:val="00105C6F"/>
    <w:rsid w:val="00105C91"/>
    <w:rsid w:val="00105FC4"/>
    <w:rsid w:val="00106CFA"/>
    <w:rsid w:val="00107309"/>
    <w:rsid w:val="00107BF4"/>
    <w:rsid w:val="00107D01"/>
    <w:rsid w:val="00111E83"/>
    <w:rsid w:val="001120E7"/>
    <w:rsid w:val="001125A8"/>
    <w:rsid w:val="00112AAE"/>
    <w:rsid w:val="00113CEE"/>
    <w:rsid w:val="00113E99"/>
    <w:rsid w:val="00114AEC"/>
    <w:rsid w:val="00114E29"/>
    <w:rsid w:val="00120038"/>
    <w:rsid w:val="0012026A"/>
    <w:rsid w:val="001206A2"/>
    <w:rsid w:val="00120DBF"/>
    <w:rsid w:val="00121498"/>
    <w:rsid w:val="001221EB"/>
    <w:rsid w:val="001223B4"/>
    <w:rsid w:val="0012246F"/>
    <w:rsid w:val="00122D2F"/>
    <w:rsid w:val="00123497"/>
    <w:rsid w:val="00123AE0"/>
    <w:rsid w:val="00124804"/>
    <w:rsid w:val="00125C81"/>
    <w:rsid w:val="0012624E"/>
    <w:rsid w:val="0012634A"/>
    <w:rsid w:val="001263B4"/>
    <w:rsid w:val="00126E02"/>
    <w:rsid w:val="0013006C"/>
    <w:rsid w:val="00130320"/>
    <w:rsid w:val="0013047D"/>
    <w:rsid w:val="00130AAF"/>
    <w:rsid w:val="0013116C"/>
    <w:rsid w:val="0013124E"/>
    <w:rsid w:val="00132DF2"/>
    <w:rsid w:val="00133157"/>
    <w:rsid w:val="001333D5"/>
    <w:rsid w:val="001335D7"/>
    <w:rsid w:val="0013362E"/>
    <w:rsid w:val="00134832"/>
    <w:rsid w:val="0013624C"/>
    <w:rsid w:val="00136A21"/>
    <w:rsid w:val="00136ADD"/>
    <w:rsid w:val="001412CD"/>
    <w:rsid w:val="001418ED"/>
    <w:rsid w:val="001429E8"/>
    <w:rsid w:val="00142A52"/>
    <w:rsid w:val="00142BC0"/>
    <w:rsid w:val="00142F17"/>
    <w:rsid w:val="0014329A"/>
    <w:rsid w:val="001436B5"/>
    <w:rsid w:val="00144713"/>
    <w:rsid w:val="00144B30"/>
    <w:rsid w:val="00144BC8"/>
    <w:rsid w:val="00144E02"/>
    <w:rsid w:val="0014516C"/>
    <w:rsid w:val="00147927"/>
    <w:rsid w:val="00150F8A"/>
    <w:rsid w:val="001522CF"/>
    <w:rsid w:val="00152735"/>
    <w:rsid w:val="00152B08"/>
    <w:rsid w:val="001530F1"/>
    <w:rsid w:val="001535FF"/>
    <w:rsid w:val="00153D9C"/>
    <w:rsid w:val="00153F7E"/>
    <w:rsid w:val="001547C7"/>
    <w:rsid w:val="001549C7"/>
    <w:rsid w:val="00162304"/>
    <w:rsid w:val="00162458"/>
    <w:rsid w:val="001624B2"/>
    <w:rsid w:val="00162AC6"/>
    <w:rsid w:val="001639FE"/>
    <w:rsid w:val="00163B58"/>
    <w:rsid w:val="00164014"/>
    <w:rsid w:val="0016455A"/>
    <w:rsid w:val="00166A0B"/>
    <w:rsid w:val="0016775B"/>
    <w:rsid w:val="00167CF2"/>
    <w:rsid w:val="00171543"/>
    <w:rsid w:val="0017214A"/>
    <w:rsid w:val="001727EA"/>
    <w:rsid w:val="00173A21"/>
    <w:rsid w:val="00173E62"/>
    <w:rsid w:val="001741EF"/>
    <w:rsid w:val="001768A4"/>
    <w:rsid w:val="00176F36"/>
    <w:rsid w:val="00177FE8"/>
    <w:rsid w:val="00181FE6"/>
    <w:rsid w:val="00182288"/>
    <w:rsid w:val="00182475"/>
    <w:rsid w:val="001834A8"/>
    <w:rsid w:val="00183601"/>
    <w:rsid w:val="00183D42"/>
    <w:rsid w:val="00186771"/>
    <w:rsid w:val="001872FE"/>
    <w:rsid w:val="001900FA"/>
    <w:rsid w:val="00190ABA"/>
    <w:rsid w:val="001921C6"/>
    <w:rsid w:val="001932F2"/>
    <w:rsid w:val="00194902"/>
    <w:rsid w:val="00194AD0"/>
    <w:rsid w:val="001970E8"/>
    <w:rsid w:val="00197C3B"/>
    <w:rsid w:val="001A15E6"/>
    <w:rsid w:val="001A21B2"/>
    <w:rsid w:val="001A317C"/>
    <w:rsid w:val="001A3442"/>
    <w:rsid w:val="001A6526"/>
    <w:rsid w:val="001A6694"/>
    <w:rsid w:val="001B1427"/>
    <w:rsid w:val="001B3AE8"/>
    <w:rsid w:val="001B3DD4"/>
    <w:rsid w:val="001B414E"/>
    <w:rsid w:val="001B4E13"/>
    <w:rsid w:val="001B5AC7"/>
    <w:rsid w:val="001B6E03"/>
    <w:rsid w:val="001B71D4"/>
    <w:rsid w:val="001C0291"/>
    <w:rsid w:val="001C302C"/>
    <w:rsid w:val="001C3B19"/>
    <w:rsid w:val="001C51EF"/>
    <w:rsid w:val="001C67C6"/>
    <w:rsid w:val="001C6E14"/>
    <w:rsid w:val="001C6E77"/>
    <w:rsid w:val="001C73E1"/>
    <w:rsid w:val="001C73E6"/>
    <w:rsid w:val="001C7B63"/>
    <w:rsid w:val="001D0C5F"/>
    <w:rsid w:val="001D0F4A"/>
    <w:rsid w:val="001D114B"/>
    <w:rsid w:val="001D18A2"/>
    <w:rsid w:val="001D1C7F"/>
    <w:rsid w:val="001D234F"/>
    <w:rsid w:val="001D2A38"/>
    <w:rsid w:val="001D2C89"/>
    <w:rsid w:val="001D2F16"/>
    <w:rsid w:val="001D3F3A"/>
    <w:rsid w:val="001D4642"/>
    <w:rsid w:val="001D54DB"/>
    <w:rsid w:val="001D5817"/>
    <w:rsid w:val="001D5A35"/>
    <w:rsid w:val="001D6ED5"/>
    <w:rsid w:val="001D6F34"/>
    <w:rsid w:val="001D73A8"/>
    <w:rsid w:val="001D782D"/>
    <w:rsid w:val="001E2258"/>
    <w:rsid w:val="001E2558"/>
    <w:rsid w:val="001E2E41"/>
    <w:rsid w:val="001E3B99"/>
    <w:rsid w:val="001E4254"/>
    <w:rsid w:val="001E587B"/>
    <w:rsid w:val="001E5BBD"/>
    <w:rsid w:val="001E620E"/>
    <w:rsid w:val="001E6820"/>
    <w:rsid w:val="001F1901"/>
    <w:rsid w:val="001F2A92"/>
    <w:rsid w:val="001F3310"/>
    <w:rsid w:val="001F365B"/>
    <w:rsid w:val="001F3C12"/>
    <w:rsid w:val="001F3C50"/>
    <w:rsid w:val="001F3F7F"/>
    <w:rsid w:val="001F4090"/>
    <w:rsid w:val="001F452B"/>
    <w:rsid w:val="001F587B"/>
    <w:rsid w:val="001F59D5"/>
    <w:rsid w:val="001F62E6"/>
    <w:rsid w:val="001F6ABD"/>
    <w:rsid w:val="001F6DFE"/>
    <w:rsid w:val="001F70F3"/>
    <w:rsid w:val="0020053F"/>
    <w:rsid w:val="00201D70"/>
    <w:rsid w:val="00203395"/>
    <w:rsid w:val="00204F92"/>
    <w:rsid w:val="00210813"/>
    <w:rsid w:val="0021087F"/>
    <w:rsid w:val="0021140B"/>
    <w:rsid w:val="0021273E"/>
    <w:rsid w:val="002132B0"/>
    <w:rsid w:val="00213311"/>
    <w:rsid w:val="00213322"/>
    <w:rsid w:val="00214048"/>
    <w:rsid w:val="002157E5"/>
    <w:rsid w:val="00215AE1"/>
    <w:rsid w:val="00221216"/>
    <w:rsid w:val="00222B10"/>
    <w:rsid w:val="00222CD7"/>
    <w:rsid w:val="00224E4E"/>
    <w:rsid w:val="00226355"/>
    <w:rsid w:val="002271B6"/>
    <w:rsid w:val="002271C9"/>
    <w:rsid w:val="0023336D"/>
    <w:rsid w:val="00233CBD"/>
    <w:rsid w:val="002351CE"/>
    <w:rsid w:val="00240B41"/>
    <w:rsid w:val="00240CF3"/>
    <w:rsid w:val="00240DDF"/>
    <w:rsid w:val="00241603"/>
    <w:rsid w:val="00242AC9"/>
    <w:rsid w:val="00246A78"/>
    <w:rsid w:val="00247A29"/>
    <w:rsid w:val="00247B81"/>
    <w:rsid w:val="00247C53"/>
    <w:rsid w:val="0025009F"/>
    <w:rsid w:val="00250ACB"/>
    <w:rsid w:val="002527A1"/>
    <w:rsid w:val="00253FF3"/>
    <w:rsid w:val="0025475D"/>
    <w:rsid w:val="00254A95"/>
    <w:rsid w:val="002550BC"/>
    <w:rsid w:val="00256167"/>
    <w:rsid w:val="00256188"/>
    <w:rsid w:val="00256BA3"/>
    <w:rsid w:val="00261766"/>
    <w:rsid w:val="0026187D"/>
    <w:rsid w:val="00261E48"/>
    <w:rsid w:val="00262D13"/>
    <w:rsid w:val="00265831"/>
    <w:rsid w:val="002659BA"/>
    <w:rsid w:val="002659DC"/>
    <w:rsid w:val="00265BC0"/>
    <w:rsid w:val="0026736D"/>
    <w:rsid w:val="00267544"/>
    <w:rsid w:val="002678F1"/>
    <w:rsid w:val="00271BFC"/>
    <w:rsid w:val="00273A1F"/>
    <w:rsid w:val="00273F17"/>
    <w:rsid w:val="00274589"/>
    <w:rsid w:val="002746C8"/>
    <w:rsid w:val="00275267"/>
    <w:rsid w:val="00275477"/>
    <w:rsid w:val="00275554"/>
    <w:rsid w:val="002806FA"/>
    <w:rsid w:val="002808C4"/>
    <w:rsid w:val="0028135B"/>
    <w:rsid w:val="00282574"/>
    <w:rsid w:val="002836BA"/>
    <w:rsid w:val="00283897"/>
    <w:rsid w:val="00283F98"/>
    <w:rsid w:val="002858EC"/>
    <w:rsid w:val="00286E85"/>
    <w:rsid w:val="00287B8E"/>
    <w:rsid w:val="002904F5"/>
    <w:rsid w:val="002920B7"/>
    <w:rsid w:val="0029467A"/>
    <w:rsid w:val="0029494C"/>
    <w:rsid w:val="00294C73"/>
    <w:rsid w:val="00294DB6"/>
    <w:rsid w:val="002970DE"/>
    <w:rsid w:val="002973AC"/>
    <w:rsid w:val="002A0F8C"/>
    <w:rsid w:val="002A13BC"/>
    <w:rsid w:val="002A28AE"/>
    <w:rsid w:val="002A4F43"/>
    <w:rsid w:val="002A5D0C"/>
    <w:rsid w:val="002A6A08"/>
    <w:rsid w:val="002A6B70"/>
    <w:rsid w:val="002A6C0B"/>
    <w:rsid w:val="002A7FB3"/>
    <w:rsid w:val="002B0485"/>
    <w:rsid w:val="002B1305"/>
    <w:rsid w:val="002B447B"/>
    <w:rsid w:val="002B51F0"/>
    <w:rsid w:val="002B6DA1"/>
    <w:rsid w:val="002C09E5"/>
    <w:rsid w:val="002C0F78"/>
    <w:rsid w:val="002C192B"/>
    <w:rsid w:val="002C3293"/>
    <w:rsid w:val="002C3CFF"/>
    <w:rsid w:val="002C42CE"/>
    <w:rsid w:val="002C49F3"/>
    <w:rsid w:val="002C4D6E"/>
    <w:rsid w:val="002C4EE1"/>
    <w:rsid w:val="002C599C"/>
    <w:rsid w:val="002C6A96"/>
    <w:rsid w:val="002D0056"/>
    <w:rsid w:val="002D11DB"/>
    <w:rsid w:val="002D1CE0"/>
    <w:rsid w:val="002D24C0"/>
    <w:rsid w:val="002D2A3D"/>
    <w:rsid w:val="002D2C69"/>
    <w:rsid w:val="002D2D8D"/>
    <w:rsid w:val="002D2E96"/>
    <w:rsid w:val="002D33E4"/>
    <w:rsid w:val="002D3866"/>
    <w:rsid w:val="002D42E6"/>
    <w:rsid w:val="002D500C"/>
    <w:rsid w:val="002D5413"/>
    <w:rsid w:val="002D6240"/>
    <w:rsid w:val="002E0681"/>
    <w:rsid w:val="002E2D78"/>
    <w:rsid w:val="002E56E4"/>
    <w:rsid w:val="002E630A"/>
    <w:rsid w:val="002E63E1"/>
    <w:rsid w:val="002E6A10"/>
    <w:rsid w:val="002E6D7C"/>
    <w:rsid w:val="002E75D1"/>
    <w:rsid w:val="002F00C8"/>
    <w:rsid w:val="002F2D37"/>
    <w:rsid w:val="002F41F3"/>
    <w:rsid w:val="002F4694"/>
    <w:rsid w:val="002F6015"/>
    <w:rsid w:val="002F77F2"/>
    <w:rsid w:val="0030142C"/>
    <w:rsid w:val="0030203D"/>
    <w:rsid w:val="003023BF"/>
    <w:rsid w:val="0030252A"/>
    <w:rsid w:val="00303D47"/>
    <w:rsid w:val="00304710"/>
    <w:rsid w:val="003060EF"/>
    <w:rsid w:val="00306F1D"/>
    <w:rsid w:val="00310871"/>
    <w:rsid w:val="003109AC"/>
    <w:rsid w:val="0031262B"/>
    <w:rsid w:val="00312CB9"/>
    <w:rsid w:val="00313569"/>
    <w:rsid w:val="00313DB4"/>
    <w:rsid w:val="0031511D"/>
    <w:rsid w:val="003177B7"/>
    <w:rsid w:val="0032105F"/>
    <w:rsid w:val="00321B97"/>
    <w:rsid w:val="00322FED"/>
    <w:rsid w:val="003240CD"/>
    <w:rsid w:val="00324F37"/>
    <w:rsid w:val="00325D22"/>
    <w:rsid w:val="003272C7"/>
    <w:rsid w:val="003279BA"/>
    <w:rsid w:val="003279F7"/>
    <w:rsid w:val="003309AC"/>
    <w:rsid w:val="00330E96"/>
    <w:rsid w:val="003312CF"/>
    <w:rsid w:val="003339C2"/>
    <w:rsid w:val="003343F5"/>
    <w:rsid w:val="00334C20"/>
    <w:rsid w:val="0033530A"/>
    <w:rsid w:val="00336399"/>
    <w:rsid w:val="00336A4C"/>
    <w:rsid w:val="00336E51"/>
    <w:rsid w:val="003407F4"/>
    <w:rsid w:val="00341BFB"/>
    <w:rsid w:val="00342734"/>
    <w:rsid w:val="003441A9"/>
    <w:rsid w:val="0034469D"/>
    <w:rsid w:val="00345114"/>
    <w:rsid w:val="003453C0"/>
    <w:rsid w:val="00345518"/>
    <w:rsid w:val="00345C40"/>
    <w:rsid w:val="00345C75"/>
    <w:rsid w:val="0034625E"/>
    <w:rsid w:val="00347459"/>
    <w:rsid w:val="00347573"/>
    <w:rsid w:val="00347648"/>
    <w:rsid w:val="00351B85"/>
    <w:rsid w:val="00353454"/>
    <w:rsid w:val="00353979"/>
    <w:rsid w:val="00355A51"/>
    <w:rsid w:val="00356110"/>
    <w:rsid w:val="00356CFC"/>
    <w:rsid w:val="00357265"/>
    <w:rsid w:val="00357D45"/>
    <w:rsid w:val="00360DB1"/>
    <w:rsid w:val="003615AA"/>
    <w:rsid w:val="00362156"/>
    <w:rsid w:val="003624D3"/>
    <w:rsid w:val="00362FDD"/>
    <w:rsid w:val="00364FBA"/>
    <w:rsid w:val="003652F9"/>
    <w:rsid w:val="00365667"/>
    <w:rsid w:val="003657B5"/>
    <w:rsid w:val="00366C86"/>
    <w:rsid w:val="00367C62"/>
    <w:rsid w:val="00367DCE"/>
    <w:rsid w:val="00367E0F"/>
    <w:rsid w:val="003708EB"/>
    <w:rsid w:val="00370C01"/>
    <w:rsid w:val="00370DD0"/>
    <w:rsid w:val="00371006"/>
    <w:rsid w:val="0037105A"/>
    <w:rsid w:val="00371279"/>
    <w:rsid w:val="00371D14"/>
    <w:rsid w:val="003730DB"/>
    <w:rsid w:val="00374AED"/>
    <w:rsid w:val="00374EE8"/>
    <w:rsid w:val="0037514E"/>
    <w:rsid w:val="00375F3E"/>
    <w:rsid w:val="00376220"/>
    <w:rsid w:val="0037778A"/>
    <w:rsid w:val="00377883"/>
    <w:rsid w:val="00377CDA"/>
    <w:rsid w:val="00377F9C"/>
    <w:rsid w:val="00381416"/>
    <w:rsid w:val="00381C22"/>
    <w:rsid w:val="00382E41"/>
    <w:rsid w:val="003852EB"/>
    <w:rsid w:val="003853AE"/>
    <w:rsid w:val="00385CD0"/>
    <w:rsid w:val="00385DA8"/>
    <w:rsid w:val="00386353"/>
    <w:rsid w:val="00387E18"/>
    <w:rsid w:val="00390350"/>
    <w:rsid w:val="003905C6"/>
    <w:rsid w:val="00391A14"/>
    <w:rsid w:val="0039264D"/>
    <w:rsid w:val="00392A2E"/>
    <w:rsid w:val="003942F8"/>
    <w:rsid w:val="00397498"/>
    <w:rsid w:val="003974E0"/>
    <w:rsid w:val="00397955"/>
    <w:rsid w:val="003A04B0"/>
    <w:rsid w:val="003A066E"/>
    <w:rsid w:val="003A1279"/>
    <w:rsid w:val="003A141B"/>
    <w:rsid w:val="003A1FD3"/>
    <w:rsid w:val="003A3AD3"/>
    <w:rsid w:val="003A44C8"/>
    <w:rsid w:val="003A4E4D"/>
    <w:rsid w:val="003A5392"/>
    <w:rsid w:val="003A59A3"/>
    <w:rsid w:val="003B026E"/>
    <w:rsid w:val="003B04CC"/>
    <w:rsid w:val="003B10EC"/>
    <w:rsid w:val="003B28CA"/>
    <w:rsid w:val="003B2E65"/>
    <w:rsid w:val="003B3405"/>
    <w:rsid w:val="003B4033"/>
    <w:rsid w:val="003B450B"/>
    <w:rsid w:val="003B65F7"/>
    <w:rsid w:val="003B6669"/>
    <w:rsid w:val="003C02A5"/>
    <w:rsid w:val="003C0BDD"/>
    <w:rsid w:val="003C2728"/>
    <w:rsid w:val="003C308B"/>
    <w:rsid w:val="003C3527"/>
    <w:rsid w:val="003C36A0"/>
    <w:rsid w:val="003C37E1"/>
    <w:rsid w:val="003C4E39"/>
    <w:rsid w:val="003C559D"/>
    <w:rsid w:val="003C56EF"/>
    <w:rsid w:val="003C574B"/>
    <w:rsid w:val="003C5C2B"/>
    <w:rsid w:val="003C7EE8"/>
    <w:rsid w:val="003D0375"/>
    <w:rsid w:val="003D0D98"/>
    <w:rsid w:val="003D3498"/>
    <w:rsid w:val="003D34CD"/>
    <w:rsid w:val="003D3FA6"/>
    <w:rsid w:val="003D40B3"/>
    <w:rsid w:val="003D4261"/>
    <w:rsid w:val="003D5376"/>
    <w:rsid w:val="003D539E"/>
    <w:rsid w:val="003D5AD7"/>
    <w:rsid w:val="003D6B4C"/>
    <w:rsid w:val="003E01C9"/>
    <w:rsid w:val="003E1073"/>
    <w:rsid w:val="003E1B0B"/>
    <w:rsid w:val="003E1F65"/>
    <w:rsid w:val="003E2A8E"/>
    <w:rsid w:val="003E2B28"/>
    <w:rsid w:val="003E3070"/>
    <w:rsid w:val="003E36BD"/>
    <w:rsid w:val="003E39CE"/>
    <w:rsid w:val="003E4395"/>
    <w:rsid w:val="003E454F"/>
    <w:rsid w:val="003E4967"/>
    <w:rsid w:val="003E5646"/>
    <w:rsid w:val="003E746C"/>
    <w:rsid w:val="003F021F"/>
    <w:rsid w:val="003F0267"/>
    <w:rsid w:val="003F20E8"/>
    <w:rsid w:val="003F2D20"/>
    <w:rsid w:val="003F2F4B"/>
    <w:rsid w:val="003F62BE"/>
    <w:rsid w:val="003F7E2E"/>
    <w:rsid w:val="00400D67"/>
    <w:rsid w:val="00401040"/>
    <w:rsid w:val="004013BB"/>
    <w:rsid w:val="0040225E"/>
    <w:rsid w:val="004029C8"/>
    <w:rsid w:val="004039C0"/>
    <w:rsid w:val="00403AF2"/>
    <w:rsid w:val="004042B5"/>
    <w:rsid w:val="00404683"/>
    <w:rsid w:val="00405CB3"/>
    <w:rsid w:val="00406FB9"/>
    <w:rsid w:val="004101AC"/>
    <w:rsid w:val="00411486"/>
    <w:rsid w:val="004127EA"/>
    <w:rsid w:val="00413E55"/>
    <w:rsid w:val="00415080"/>
    <w:rsid w:val="00415104"/>
    <w:rsid w:val="004153E6"/>
    <w:rsid w:val="00421B04"/>
    <w:rsid w:val="00422693"/>
    <w:rsid w:val="0042320D"/>
    <w:rsid w:val="00423924"/>
    <w:rsid w:val="004247D8"/>
    <w:rsid w:val="004254C8"/>
    <w:rsid w:val="0042558F"/>
    <w:rsid w:val="004257DB"/>
    <w:rsid w:val="0042694D"/>
    <w:rsid w:val="004273F9"/>
    <w:rsid w:val="00430CA5"/>
    <w:rsid w:val="00430DF2"/>
    <w:rsid w:val="00430ECC"/>
    <w:rsid w:val="00431E43"/>
    <w:rsid w:val="00431FA9"/>
    <w:rsid w:val="004331C8"/>
    <w:rsid w:val="0043393F"/>
    <w:rsid w:val="00433C3E"/>
    <w:rsid w:val="004359A7"/>
    <w:rsid w:val="00435F4E"/>
    <w:rsid w:val="004370B2"/>
    <w:rsid w:val="00437325"/>
    <w:rsid w:val="004379AD"/>
    <w:rsid w:val="0044042B"/>
    <w:rsid w:val="00442EF0"/>
    <w:rsid w:val="00443276"/>
    <w:rsid w:val="004433EE"/>
    <w:rsid w:val="00445438"/>
    <w:rsid w:val="00445553"/>
    <w:rsid w:val="00446F2A"/>
    <w:rsid w:val="0044707D"/>
    <w:rsid w:val="004474BB"/>
    <w:rsid w:val="004479DB"/>
    <w:rsid w:val="004505F6"/>
    <w:rsid w:val="0045321B"/>
    <w:rsid w:val="0045413E"/>
    <w:rsid w:val="00454707"/>
    <w:rsid w:val="00454880"/>
    <w:rsid w:val="00454924"/>
    <w:rsid w:val="0045514D"/>
    <w:rsid w:val="004553AE"/>
    <w:rsid w:val="004556A1"/>
    <w:rsid w:val="00455976"/>
    <w:rsid w:val="00456933"/>
    <w:rsid w:val="004575EF"/>
    <w:rsid w:val="004577E5"/>
    <w:rsid w:val="0046241D"/>
    <w:rsid w:val="00462453"/>
    <w:rsid w:val="00463BA2"/>
    <w:rsid w:val="004659B0"/>
    <w:rsid w:val="0046742D"/>
    <w:rsid w:val="004700D9"/>
    <w:rsid w:val="00471C58"/>
    <w:rsid w:val="00472C29"/>
    <w:rsid w:val="0047321E"/>
    <w:rsid w:val="00474F82"/>
    <w:rsid w:val="00476274"/>
    <w:rsid w:val="0047650F"/>
    <w:rsid w:val="00477E6D"/>
    <w:rsid w:val="00480B4A"/>
    <w:rsid w:val="00480DF0"/>
    <w:rsid w:val="00482406"/>
    <w:rsid w:val="004826AE"/>
    <w:rsid w:val="00483595"/>
    <w:rsid w:val="00483A4E"/>
    <w:rsid w:val="00483CA0"/>
    <w:rsid w:val="00484242"/>
    <w:rsid w:val="00484470"/>
    <w:rsid w:val="004846CB"/>
    <w:rsid w:val="0048590D"/>
    <w:rsid w:val="004865AB"/>
    <w:rsid w:val="00487309"/>
    <w:rsid w:val="0048730B"/>
    <w:rsid w:val="00487BFE"/>
    <w:rsid w:val="0049049A"/>
    <w:rsid w:val="004908F9"/>
    <w:rsid w:val="004910A7"/>
    <w:rsid w:val="00492AC6"/>
    <w:rsid w:val="004934C9"/>
    <w:rsid w:val="0049458C"/>
    <w:rsid w:val="004950EA"/>
    <w:rsid w:val="0049671C"/>
    <w:rsid w:val="00496ACE"/>
    <w:rsid w:val="004979A9"/>
    <w:rsid w:val="004A04BB"/>
    <w:rsid w:val="004A0AEC"/>
    <w:rsid w:val="004A1740"/>
    <w:rsid w:val="004A1BF9"/>
    <w:rsid w:val="004A1CEC"/>
    <w:rsid w:val="004A29E0"/>
    <w:rsid w:val="004A3088"/>
    <w:rsid w:val="004A318D"/>
    <w:rsid w:val="004A32AB"/>
    <w:rsid w:val="004A383D"/>
    <w:rsid w:val="004A3A34"/>
    <w:rsid w:val="004A3D55"/>
    <w:rsid w:val="004A4B7A"/>
    <w:rsid w:val="004A58E7"/>
    <w:rsid w:val="004A59E2"/>
    <w:rsid w:val="004A6B55"/>
    <w:rsid w:val="004B0B9F"/>
    <w:rsid w:val="004B15A9"/>
    <w:rsid w:val="004B1F4D"/>
    <w:rsid w:val="004B379F"/>
    <w:rsid w:val="004B38ED"/>
    <w:rsid w:val="004B3F62"/>
    <w:rsid w:val="004B419F"/>
    <w:rsid w:val="004B474D"/>
    <w:rsid w:val="004B5A29"/>
    <w:rsid w:val="004B6A85"/>
    <w:rsid w:val="004B6D75"/>
    <w:rsid w:val="004B7771"/>
    <w:rsid w:val="004B79C8"/>
    <w:rsid w:val="004C3D5B"/>
    <w:rsid w:val="004C3F48"/>
    <w:rsid w:val="004C4820"/>
    <w:rsid w:val="004C49F9"/>
    <w:rsid w:val="004C538B"/>
    <w:rsid w:val="004C56B2"/>
    <w:rsid w:val="004C5836"/>
    <w:rsid w:val="004C5894"/>
    <w:rsid w:val="004C7B78"/>
    <w:rsid w:val="004D036D"/>
    <w:rsid w:val="004D10CE"/>
    <w:rsid w:val="004D16C1"/>
    <w:rsid w:val="004D39D1"/>
    <w:rsid w:val="004D53C3"/>
    <w:rsid w:val="004D5A64"/>
    <w:rsid w:val="004D6023"/>
    <w:rsid w:val="004D667A"/>
    <w:rsid w:val="004D6C51"/>
    <w:rsid w:val="004D7A7B"/>
    <w:rsid w:val="004E08E3"/>
    <w:rsid w:val="004E0EA6"/>
    <w:rsid w:val="004E2314"/>
    <w:rsid w:val="004E2443"/>
    <w:rsid w:val="004E26E9"/>
    <w:rsid w:val="004E2BEA"/>
    <w:rsid w:val="004E3552"/>
    <w:rsid w:val="004E4140"/>
    <w:rsid w:val="004E4606"/>
    <w:rsid w:val="004E4BC4"/>
    <w:rsid w:val="004E5286"/>
    <w:rsid w:val="004E5FD1"/>
    <w:rsid w:val="004F1D8A"/>
    <w:rsid w:val="004F3E6B"/>
    <w:rsid w:val="004F4F08"/>
    <w:rsid w:val="004F4FCD"/>
    <w:rsid w:val="004F5E7A"/>
    <w:rsid w:val="00500B72"/>
    <w:rsid w:val="00500B99"/>
    <w:rsid w:val="00500BF2"/>
    <w:rsid w:val="00500E1B"/>
    <w:rsid w:val="00502D3B"/>
    <w:rsid w:val="005050A9"/>
    <w:rsid w:val="005057CB"/>
    <w:rsid w:val="00507EBA"/>
    <w:rsid w:val="00511213"/>
    <w:rsid w:val="00511773"/>
    <w:rsid w:val="00511B14"/>
    <w:rsid w:val="00511BAB"/>
    <w:rsid w:val="005125D5"/>
    <w:rsid w:val="00512B67"/>
    <w:rsid w:val="005136C6"/>
    <w:rsid w:val="00513775"/>
    <w:rsid w:val="005140A2"/>
    <w:rsid w:val="00514589"/>
    <w:rsid w:val="00514C9F"/>
    <w:rsid w:val="00514ED1"/>
    <w:rsid w:val="00514F57"/>
    <w:rsid w:val="005151D4"/>
    <w:rsid w:val="0051618C"/>
    <w:rsid w:val="005178EE"/>
    <w:rsid w:val="00520755"/>
    <w:rsid w:val="005227E6"/>
    <w:rsid w:val="00522C25"/>
    <w:rsid w:val="00522ECC"/>
    <w:rsid w:val="005232E2"/>
    <w:rsid w:val="005233B0"/>
    <w:rsid w:val="00524157"/>
    <w:rsid w:val="00524B71"/>
    <w:rsid w:val="005259DD"/>
    <w:rsid w:val="005278B1"/>
    <w:rsid w:val="005301F5"/>
    <w:rsid w:val="005302E2"/>
    <w:rsid w:val="0053078C"/>
    <w:rsid w:val="00530C14"/>
    <w:rsid w:val="00530CFB"/>
    <w:rsid w:val="00531EF6"/>
    <w:rsid w:val="00532B8B"/>
    <w:rsid w:val="00533050"/>
    <w:rsid w:val="005331C2"/>
    <w:rsid w:val="005338A5"/>
    <w:rsid w:val="005340FD"/>
    <w:rsid w:val="00536540"/>
    <w:rsid w:val="00537CC0"/>
    <w:rsid w:val="00537D21"/>
    <w:rsid w:val="00541353"/>
    <w:rsid w:val="00543502"/>
    <w:rsid w:val="00543819"/>
    <w:rsid w:val="00544AF4"/>
    <w:rsid w:val="005453BB"/>
    <w:rsid w:val="00547454"/>
    <w:rsid w:val="00550783"/>
    <w:rsid w:val="005520AA"/>
    <w:rsid w:val="00553392"/>
    <w:rsid w:val="005550E1"/>
    <w:rsid w:val="00556E84"/>
    <w:rsid w:val="00560323"/>
    <w:rsid w:val="00560F6C"/>
    <w:rsid w:val="0056130C"/>
    <w:rsid w:val="005614CE"/>
    <w:rsid w:val="00562309"/>
    <w:rsid w:val="00562B27"/>
    <w:rsid w:val="0056424D"/>
    <w:rsid w:val="00564754"/>
    <w:rsid w:val="00564BBF"/>
    <w:rsid w:val="00565769"/>
    <w:rsid w:val="00565807"/>
    <w:rsid w:val="00565E78"/>
    <w:rsid w:val="0056603B"/>
    <w:rsid w:val="00570132"/>
    <w:rsid w:val="00570324"/>
    <w:rsid w:val="005723F6"/>
    <w:rsid w:val="005727D0"/>
    <w:rsid w:val="005728B0"/>
    <w:rsid w:val="005738C1"/>
    <w:rsid w:val="00574A2A"/>
    <w:rsid w:val="0057606A"/>
    <w:rsid w:val="005762D6"/>
    <w:rsid w:val="00576686"/>
    <w:rsid w:val="005808AC"/>
    <w:rsid w:val="005816C6"/>
    <w:rsid w:val="0058240B"/>
    <w:rsid w:val="00582893"/>
    <w:rsid w:val="00582D13"/>
    <w:rsid w:val="00583555"/>
    <w:rsid w:val="00584908"/>
    <w:rsid w:val="00584DA6"/>
    <w:rsid w:val="00585A1C"/>
    <w:rsid w:val="00585C40"/>
    <w:rsid w:val="00585D46"/>
    <w:rsid w:val="00586740"/>
    <w:rsid w:val="0059095E"/>
    <w:rsid w:val="0059108A"/>
    <w:rsid w:val="005917B7"/>
    <w:rsid w:val="00591F80"/>
    <w:rsid w:val="00593405"/>
    <w:rsid w:val="00593580"/>
    <w:rsid w:val="005938EC"/>
    <w:rsid w:val="00594387"/>
    <w:rsid w:val="00595347"/>
    <w:rsid w:val="005956CB"/>
    <w:rsid w:val="00595E25"/>
    <w:rsid w:val="005961E4"/>
    <w:rsid w:val="00596372"/>
    <w:rsid w:val="005970D7"/>
    <w:rsid w:val="005A1776"/>
    <w:rsid w:val="005A19F6"/>
    <w:rsid w:val="005A266C"/>
    <w:rsid w:val="005A29F4"/>
    <w:rsid w:val="005A313A"/>
    <w:rsid w:val="005A4ACE"/>
    <w:rsid w:val="005A4F25"/>
    <w:rsid w:val="005A7B41"/>
    <w:rsid w:val="005B1989"/>
    <w:rsid w:val="005B1BCA"/>
    <w:rsid w:val="005B1F0A"/>
    <w:rsid w:val="005B2DBF"/>
    <w:rsid w:val="005B3052"/>
    <w:rsid w:val="005B3D04"/>
    <w:rsid w:val="005B401F"/>
    <w:rsid w:val="005B468C"/>
    <w:rsid w:val="005B4CF2"/>
    <w:rsid w:val="005B57CC"/>
    <w:rsid w:val="005B670C"/>
    <w:rsid w:val="005B6C9B"/>
    <w:rsid w:val="005B6E0D"/>
    <w:rsid w:val="005C02F0"/>
    <w:rsid w:val="005C045D"/>
    <w:rsid w:val="005C0789"/>
    <w:rsid w:val="005C07AB"/>
    <w:rsid w:val="005C1532"/>
    <w:rsid w:val="005C2263"/>
    <w:rsid w:val="005C2542"/>
    <w:rsid w:val="005C3644"/>
    <w:rsid w:val="005C3812"/>
    <w:rsid w:val="005C66E2"/>
    <w:rsid w:val="005D020E"/>
    <w:rsid w:val="005D0C78"/>
    <w:rsid w:val="005D28F2"/>
    <w:rsid w:val="005D2DC5"/>
    <w:rsid w:val="005D740F"/>
    <w:rsid w:val="005D787C"/>
    <w:rsid w:val="005D7AE1"/>
    <w:rsid w:val="005E10D0"/>
    <w:rsid w:val="005E157F"/>
    <w:rsid w:val="005E1EF3"/>
    <w:rsid w:val="005E2A39"/>
    <w:rsid w:val="005E376D"/>
    <w:rsid w:val="005E399F"/>
    <w:rsid w:val="005E3C2C"/>
    <w:rsid w:val="005E46E3"/>
    <w:rsid w:val="005E5586"/>
    <w:rsid w:val="005E56F9"/>
    <w:rsid w:val="005E6DA9"/>
    <w:rsid w:val="005E70A7"/>
    <w:rsid w:val="005F0FAA"/>
    <w:rsid w:val="005F17DA"/>
    <w:rsid w:val="005F2530"/>
    <w:rsid w:val="005F445D"/>
    <w:rsid w:val="005F47D4"/>
    <w:rsid w:val="005F49ED"/>
    <w:rsid w:val="005F4BC8"/>
    <w:rsid w:val="005F4DBC"/>
    <w:rsid w:val="005F58DB"/>
    <w:rsid w:val="005F660B"/>
    <w:rsid w:val="005F6769"/>
    <w:rsid w:val="005F7696"/>
    <w:rsid w:val="005F77ED"/>
    <w:rsid w:val="00600937"/>
    <w:rsid w:val="00600D33"/>
    <w:rsid w:val="0060114B"/>
    <w:rsid w:val="006013C5"/>
    <w:rsid w:val="00601875"/>
    <w:rsid w:val="00602AD2"/>
    <w:rsid w:val="00602E1A"/>
    <w:rsid w:val="006047F4"/>
    <w:rsid w:val="00605AC6"/>
    <w:rsid w:val="00605BDB"/>
    <w:rsid w:val="00607A93"/>
    <w:rsid w:val="006112C2"/>
    <w:rsid w:val="00611530"/>
    <w:rsid w:val="00611BF3"/>
    <w:rsid w:val="00611D18"/>
    <w:rsid w:val="00613280"/>
    <w:rsid w:val="00613290"/>
    <w:rsid w:val="006135AD"/>
    <w:rsid w:val="00613BAD"/>
    <w:rsid w:val="006146C0"/>
    <w:rsid w:val="006146C2"/>
    <w:rsid w:val="00615643"/>
    <w:rsid w:val="00615A38"/>
    <w:rsid w:val="0061607D"/>
    <w:rsid w:val="00616B9A"/>
    <w:rsid w:val="006207B3"/>
    <w:rsid w:val="00621F58"/>
    <w:rsid w:val="006234E4"/>
    <w:rsid w:val="00624403"/>
    <w:rsid w:val="0062688F"/>
    <w:rsid w:val="00626F32"/>
    <w:rsid w:val="00627DAD"/>
    <w:rsid w:val="00630117"/>
    <w:rsid w:val="006308E2"/>
    <w:rsid w:val="00631905"/>
    <w:rsid w:val="00634303"/>
    <w:rsid w:val="006349ED"/>
    <w:rsid w:val="00634F9E"/>
    <w:rsid w:val="0063593A"/>
    <w:rsid w:val="00637351"/>
    <w:rsid w:val="00637F22"/>
    <w:rsid w:val="00640354"/>
    <w:rsid w:val="006403C3"/>
    <w:rsid w:val="00641AB0"/>
    <w:rsid w:val="00642A82"/>
    <w:rsid w:val="00643909"/>
    <w:rsid w:val="00645D0B"/>
    <w:rsid w:val="00646039"/>
    <w:rsid w:val="006471EB"/>
    <w:rsid w:val="00647327"/>
    <w:rsid w:val="00647A00"/>
    <w:rsid w:val="006512FE"/>
    <w:rsid w:val="00651304"/>
    <w:rsid w:val="0065188A"/>
    <w:rsid w:val="00651D9E"/>
    <w:rsid w:val="0065247B"/>
    <w:rsid w:val="00652720"/>
    <w:rsid w:val="00653253"/>
    <w:rsid w:val="0065478F"/>
    <w:rsid w:val="00654CB5"/>
    <w:rsid w:val="00655B15"/>
    <w:rsid w:val="00656F9A"/>
    <w:rsid w:val="00657D08"/>
    <w:rsid w:val="00660D8F"/>
    <w:rsid w:val="00661B22"/>
    <w:rsid w:val="00661F84"/>
    <w:rsid w:val="00662C8A"/>
    <w:rsid w:val="00662D89"/>
    <w:rsid w:val="00663BBC"/>
    <w:rsid w:val="00664A11"/>
    <w:rsid w:val="00664AD2"/>
    <w:rsid w:val="00666F86"/>
    <w:rsid w:val="00672A70"/>
    <w:rsid w:val="00674AB0"/>
    <w:rsid w:val="00675088"/>
    <w:rsid w:val="00675ADB"/>
    <w:rsid w:val="00675BF3"/>
    <w:rsid w:val="00675E15"/>
    <w:rsid w:val="006776C9"/>
    <w:rsid w:val="00681135"/>
    <w:rsid w:val="00681D80"/>
    <w:rsid w:val="00682752"/>
    <w:rsid w:val="0068283A"/>
    <w:rsid w:val="0068304F"/>
    <w:rsid w:val="00683956"/>
    <w:rsid w:val="00685A14"/>
    <w:rsid w:val="00690E3A"/>
    <w:rsid w:val="0069128D"/>
    <w:rsid w:val="006912FE"/>
    <w:rsid w:val="0069147A"/>
    <w:rsid w:val="00692824"/>
    <w:rsid w:val="00692A75"/>
    <w:rsid w:val="006941DE"/>
    <w:rsid w:val="006946E8"/>
    <w:rsid w:val="0069488C"/>
    <w:rsid w:val="006962AC"/>
    <w:rsid w:val="0069671B"/>
    <w:rsid w:val="00697982"/>
    <w:rsid w:val="006A0ADF"/>
    <w:rsid w:val="006A1426"/>
    <w:rsid w:val="006A186C"/>
    <w:rsid w:val="006A1BCE"/>
    <w:rsid w:val="006A30B6"/>
    <w:rsid w:val="006A38AE"/>
    <w:rsid w:val="006A3E29"/>
    <w:rsid w:val="006A3E8D"/>
    <w:rsid w:val="006A3FC3"/>
    <w:rsid w:val="006A4ABD"/>
    <w:rsid w:val="006A602E"/>
    <w:rsid w:val="006B0828"/>
    <w:rsid w:val="006B24AA"/>
    <w:rsid w:val="006B2707"/>
    <w:rsid w:val="006B4DB6"/>
    <w:rsid w:val="006B55A1"/>
    <w:rsid w:val="006B64D9"/>
    <w:rsid w:val="006B79A7"/>
    <w:rsid w:val="006B7CE3"/>
    <w:rsid w:val="006C1753"/>
    <w:rsid w:val="006C3820"/>
    <w:rsid w:val="006C3A06"/>
    <w:rsid w:val="006C4FDF"/>
    <w:rsid w:val="006C56F0"/>
    <w:rsid w:val="006C5B1E"/>
    <w:rsid w:val="006C7C82"/>
    <w:rsid w:val="006D024A"/>
    <w:rsid w:val="006D3B9C"/>
    <w:rsid w:val="006D3EFD"/>
    <w:rsid w:val="006D75C7"/>
    <w:rsid w:val="006D7CC8"/>
    <w:rsid w:val="006E0F84"/>
    <w:rsid w:val="006E1284"/>
    <w:rsid w:val="006E245E"/>
    <w:rsid w:val="006E2A95"/>
    <w:rsid w:val="006E531F"/>
    <w:rsid w:val="006E5CEB"/>
    <w:rsid w:val="006E7A7A"/>
    <w:rsid w:val="006E7C0E"/>
    <w:rsid w:val="006F0923"/>
    <w:rsid w:val="006F2FFB"/>
    <w:rsid w:val="006F3B82"/>
    <w:rsid w:val="006F3C57"/>
    <w:rsid w:val="006F402B"/>
    <w:rsid w:val="006F494A"/>
    <w:rsid w:val="006F5733"/>
    <w:rsid w:val="006F6147"/>
    <w:rsid w:val="006F658A"/>
    <w:rsid w:val="006F7B88"/>
    <w:rsid w:val="006F7F0C"/>
    <w:rsid w:val="006F7F69"/>
    <w:rsid w:val="0070210C"/>
    <w:rsid w:val="00702CC8"/>
    <w:rsid w:val="00703131"/>
    <w:rsid w:val="00705309"/>
    <w:rsid w:val="00705706"/>
    <w:rsid w:val="00710985"/>
    <w:rsid w:val="00710F62"/>
    <w:rsid w:val="0071228F"/>
    <w:rsid w:val="007127CC"/>
    <w:rsid w:val="00713209"/>
    <w:rsid w:val="007145D7"/>
    <w:rsid w:val="007149C8"/>
    <w:rsid w:val="00714A94"/>
    <w:rsid w:val="00715626"/>
    <w:rsid w:val="00717613"/>
    <w:rsid w:val="00721576"/>
    <w:rsid w:val="00721BCE"/>
    <w:rsid w:val="00722290"/>
    <w:rsid w:val="00722A86"/>
    <w:rsid w:val="00723C4D"/>
    <w:rsid w:val="0072463C"/>
    <w:rsid w:val="00724D99"/>
    <w:rsid w:val="00730F2E"/>
    <w:rsid w:val="00731882"/>
    <w:rsid w:val="00731F22"/>
    <w:rsid w:val="007320E1"/>
    <w:rsid w:val="007333CD"/>
    <w:rsid w:val="0073429F"/>
    <w:rsid w:val="0073448A"/>
    <w:rsid w:val="007366FE"/>
    <w:rsid w:val="00736BCF"/>
    <w:rsid w:val="00740AD2"/>
    <w:rsid w:val="007411BA"/>
    <w:rsid w:val="00741801"/>
    <w:rsid w:val="00742328"/>
    <w:rsid w:val="00743334"/>
    <w:rsid w:val="00744AAD"/>
    <w:rsid w:val="0074557C"/>
    <w:rsid w:val="007455FF"/>
    <w:rsid w:val="007458AB"/>
    <w:rsid w:val="00746B11"/>
    <w:rsid w:val="0074731C"/>
    <w:rsid w:val="00750A4C"/>
    <w:rsid w:val="00752203"/>
    <w:rsid w:val="00752A1D"/>
    <w:rsid w:val="00752BD2"/>
    <w:rsid w:val="00752C31"/>
    <w:rsid w:val="007545EF"/>
    <w:rsid w:val="00755309"/>
    <w:rsid w:val="0075712A"/>
    <w:rsid w:val="007609C8"/>
    <w:rsid w:val="0076121D"/>
    <w:rsid w:val="0076141E"/>
    <w:rsid w:val="00761E1C"/>
    <w:rsid w:val="007628CF"/>
    <w:rsid w:val="007651EC"/>
    <w:rsid w:val="00765D4E"/>
    <w:rsid w:val="00765F4B"/>
    <w:rsid w:val="007666BD"/>
    <w:rsid w:val="00766EFC"/>
    <w:rsid w:val="007677FD"/>
    <w:rsid w:val="007700A4"/>
    <w:rsid w:val="00770915"/>
    <w:rsid w:val="007710F7"/>
    <w:rsid w:val="00772E45"/>
    <w:rsid w:val="00775630"/>
    <w:rsid w:val="00775755"/>
    <w:rsid w:val="007757B2"/>
    <w:rsid w:val="00775BE5"/>
    <w:rsid w:val="00780267"/>
    <w:rsid w:val="007811A6"/>
    <w:rsid w:val="007816D3"/>
    <w:rsid w:val="00782F2C"/>
    <w:rsid w:val="007833D3"/>
    <w:rsid w:val="007855A5"/>
    <w:rsid w:val="007878F6"/>
    <w:rsid w:val="007916F3"/>
    <w:rsid w:val="00791B6B"/>
    <w:rsid w:val="007932AA"/>
    <w:rsid w:val="007954C1"/>
    <w:rsid w:val="007963DC"/>
    <w:rsid w:val="007971E0"/>
    <w:rsid w:val="00797CE1"/>
    <w:rsid w:val="00797F96"/>
    <w:rsid w:val="007A17B4"/>
    <w:rsid w:val="007A1887"/>
    <w:rsid w:val="007A2747"/>
    <w:rsid w:val="007A3097"/>
    <w:rsid w:val="007A5ACC"/>
    <w:rsid w:val="007B2372"/>
    <w:rsid w:val="007B3257"/>
    <w:rsid w:val="007B3594"/>
    <w:rsid w:val="007B4AA4"/>
    <w:rsid w:val="007B4DD8"/>
    <w:rsid w:val="007B50FA"/>
    <w:rsid w:val="007B5B68"/>
    <w:rsid w:val="007B7047"/>
    <w:rsid w:val="007B7229"/>
    <w:rsid w:val="007C1D90"/>
    <w:rsid w:val="007C1EBE"/>
    <w:rsid w:val="007C23D1"/>
    <w:rsid w:val="007C2B5B"/>
    <w:rsid w:val="007C38AF"/>
    <w:rsid w:val="007C3C53"/>
    <w:rsid w:val="007C473F"/>
    <w:rsid w:val="007C526A"/>
    <w:rsid w:val="007C61A2"/>
    <w:rsid w:val="007C63E7"/>
    <w:rsid w:val="007D0A7B"/>
    <w:rsid w:val="007D0C8A"/>
    <w:rsid w:val="007D3343"/>
    <w:rsid w:val="007D33CE"/>
    <w:rsid w:val="007D4E36"/>
    <w:rsid w:val="007D50AE"/>
    <w:rsid w:val="007D59A4"/>
    <w:rsid w:val="007D5C13"/>
    <w:rsid w:val="007D6728"/>
    <w:rsid w:val="007D7AA6"/>
    <w:rsid w:val="007E0A68"/>
    <w:rsid w:val="007E15BF"/>
    <w:rsid w:val="007E23C7"/>
    <w:rsid w:val="007E3296"/>
    <w:rsid w:val="007E32B9"/>
    <w:rsid w:val="007E3697"/>
    <w:rsid w:val="007E58C1"/>
    <w:rsid w:val="007E5AD2"/>
    <w:rsid w:val="007E63B4"/>
    <w:rsid w:val="007E64ED"/>
    <w:rsid w:val="007E6D08"/>
    <w:rsid w:val="007E7CE3"/>
    <w:rsid w:val="007F0405"/>
    <w:rsid w:val="007F1026"/>
    <w:rsid w:val="007F1201"/>
    <w:rsid w:val="007F2F90"/>
    <w:rsid w:val="007F4124"/>
    <w:rsid w:val="007F4313"/>
    <w:rsid w:val="007F5DC6"/>
    <w:rsid w:val="007F6C95"/>
    <w:rsid w:val="007F6F9B"/>
    <w:rsid w:val="00800F04"/>
    <w:rsid w:val="00800F0B"/>
    <w:rsid w:val="008012B6"/>
    <w:rsid w:val="008032AC"/>
    <w:rsid w:val="008043DB"/>
    <w:rsid w:val="008047FB"/>
    <w:rsid w:val="00805CDC"/>
    <w:rsid w:val="0081107B"/>
    <w:rsid w:val="00812E67"/>
    <w:rsid w:val="00813069"/>
    <w:rsid w:val="008130EA"/>
    <w:rsid w:val="00813D20"/>
    <w:rsid w:val="00813DFF"/>
    <w:rsid w:val="00814EB1"/>
    <w:rsid w:val="008159DE"/>
    <w:rsid w:val="00816151"/>
    <w:rsid w:val="00816BDF"/>
    <w:rsid w:val="00820A9E"/>
    <w:rsid w:val="00820C0F"/>
    <w:rsid w:val="008212E7"/>
    <w:rsid w:val="00825506"/>
    <w:rsid w:val="00827E2C"/>
    <w:rsid w:val="0083038D"/>
    <w:rsid w:val="0083185F"/>
    <w:rsid w:val="00831C9A"/>
    <w:rsid w:val="00831FA1"/>
    <w:rsid w:val="008321E1"/>
    <w:rsid w:val="00832E22"/>
    <w:rsid w:val="008363FF"/>
    <w:rsid w:val="00837E2A"/>
    <w:rsid w:val="00841963"/>
    <w:rsid w:val="00844749"/>
    <w:rsid w:val="008447EA"/>
    <w:rsid w:val="00844979"/>
    <w:rsid w:val="0084551C"/>
    <w:rsid w:val="008463D4"/>
    <w:rsid w:val="00850534"/>
    <w:rsid w:val="00851C3B"/>
    <w:rsid w:val="008528D0"/>
    <w:rsid w:val="00852C78"/>
    <w:rsid w:val="00854962"/>
    <w:rsid w:val="00854F02"/>
    <w:rsid w:val="00855760"/>
    <w:rsid w:val="008558C3"/>
    <w:rsid w:val="008562AC"/>
    <w:rsid w:val="00856487"/>
    <w:rsid w:val="00856861"/>
    <w:rsid w:val="00860956"/>
    <w:rsid w:val="00861269"/>
    <w:rsid w:val="00861445"/>
    <w:rsid w:val="00861606"/>
    <w:rsid w:val="00861661"/>
    <w:rsid w:val="00863AC2"/>
    <w:rsid w:val="00865C71"/>
    <w:rsid w:val="00865E82"/>
    <w:rsid w:val="008660B8"/>
    <w:rsid w:val="00866172"/>
    <w:rsid w:val="00867F62"/>
    <w:rsid w:val="00870EBF"/>
    <w:rsid w:val="00871657"/>
    <w:rsid w:val="0087270C"/>
    <w:rsid w:val="00872E3F"/>
    <w:rsid w:val="00872FF0"/>
    <w:rsid w:val="0087379A"/>
    <w:rsid w:val="008743D4"/>
    <w:rsid w:val="00874B4A"/>
    <w:rsid w:val="00875527"/>
    <w:rsid w:val="00876916"/>
    <w:rsid w:val="00876C9B"/>
    <w:rsid w:val="008773D7"/>
    <w:rsid w:val="0088130A"/>
    <w:rsid w:val="008816C4"/>
    <w:rsid w:val="00881730"/>
    <w:rsid w:val="008817C6"/>
    <w:rsid w:val="00882F1F"/>
    <w:rsid w:val="008832DF"/>
    <w:rsid w:val="00885139"/>
    <w:rsid w:val="008870E9"/>
    <w:rsid w:val="00890267"/>
    <w:rsid w:val="00890B36"/>
    <w:rsid w:val="00891D23"/>
    <w:rsid w:val="00891FEC"/>
    <w:rsid w:val="0089235D"/>
    <w:rsid w:val="00892B8B"/>
    <w:rsid w:val="00892BCD"/>
    <w:rsid w:val="008947EC"/>
    <w:rsid w:val="00895BB4"/>
    <w:rsid w:val="0089638A"/>
    <w:rsid w:val="008966CC"/>
    <w:rsid w:val="0089709A"/>
    <w:rsid w:val="008A0082"/>
    <w:rsid w:val="008A0386"/>
    <w:rsid w:val="008A0762"/>
    <w:rsid w:val="008A0BBE"/>
    <w:rsid w:val="008A25BC"/>
    <w:rsid w:val="008A3999"/>
    <w:rsid w:val="008A418A"/>
    <w:rsid w:val="008A4345"/>
    <w:rsid w:val="008A490A"/>
    <w:rsid w:val="008A5089"/>
    <w:rsid w:val="008A54B1"/>
    <w:rsid w:val="008A5B26"/>
    <w:rsid w:val="008A6636"/>
    <w:rsid w:val="008A675C"/>
    <w:rsid w:val="008A7171"/>
    <w:rsid w:val="008B322B"/>
    <w:rsid w:val="008B3A43"/>
    <w:rsid w:val="008B4BF8"/>
    <w:rsid w:val="008B57D5"/>
    <w:rsid w:val="008B5A53"/>
    <w:rsid w:val="008B60FE"/>
    <w:rsid w:val="008B77BF"/>
    <w:rsid w:val="008C12F2"/>
    <w:rsid w:val="008C1389"/>
    <w:rsid w:val="008C24A0"/>
    <w:rsid w:val="008C39DC"/>
    <w:rsid w:val="008C427C"/>
    <w:rsid w:val="008C4768"/>
    <w:rsid w:val="008C4872"/>
    <w:rsid w:val="008C5013"/>
    <w:rsid w:val="008C5B57"/>
    <w:rsid w:val="008C5C88"/>
    <w:rsid w:val="008D0381"/>
    <w:rsid w:val="008D0465"/>
    <w:rsid w:val="008D172A"/>
    <w:rsid w:val="008D2D22"/>
    <w:rsid w:val="008D3993"/>
    <w:rsid w:val="008D41C4"/>
    <w:rsid w:val="008D5847"/>
    <w:rsid w:val="008D6512"/>
    <w:rsid w:val="008D6788"/>
    <w:rsid w:val="008D6798"/>
    <w:rsid w:val="008D6A9A"/>
    <w:rsid w:val="008D720C"/>
    <w:rsid w:val="008E0292"/>
    <w:rsid w:val="008E0D49"/>
    <w:rsid w:val="008E1055"/>
    <w:rsid w:val="008E1781"/>
    <w:rsid w:val="008E1CCC"/>
    <w:rsid w:val="008E2264"/>
    <w:rsid w:val="008E3E57"/>
    <w:rsid w:val="008E4033"/>
    <w:rsid w:val="008E4980"/>
    <w:rsid w:val="008E580D"/>
    <w:rsid w:val="008E67A2"/>
    <w:rsid w:val="008E6A83"/>
    <w:rsid w:val="008E78A8"/>
    <w:rsid w:val="008E7ACF"/>
    <w:rsid w:val="008E7EB0"/>
    <w:rsid w:val="008E7EF0"/>
    <w:rsid w:val="008E7F2D"/>
    <w:rsid w:val="008F04CC"/>
    <w:rsid w:val="008F076E"/>
    <w:rsid w:val="008F0CA8"/>
    <w:rsid w:val="008F29EC"/>
    <w:rsid w:val="008F2F06"/>
    <w:rsid w:val="008F64F6"/>
    <w:rsid w:val="008F71BE"/>
    <w:rsid w:val="008F73C9"/>
    <w:rsid w:val="008F7435"/>
    <w:rsid w:val="00900CB0"/>
    <w:rsid w:val="00901A4A"/>
    <w:rsid w:val="00902228"/>
    <w:rsid w:val="009029CD"/>
    <w:rsid w:val="009038EB"/>
    <w:rsid w:val="00903C4E"/>
    <w:rsid w:val="00904F57"/>
    <w:rsid w:val="00905946"/>
    <w:rsid w:val="009070BD"/>
    <w:rsid w:val="00907922"/>
    <w:rsid w:val="009108F0"/>
    <w:rsid w:val="009112F8"/>
    <w:rsid w:val="0091277C"/>
    <w:rsid w:val="00913A8C"/>
    <w:rsid w:val="00915C85"/>
    <w:rsid w:val="009164AC"/>
    <w:rsid w:val="00916962"/>
    <w:rsid w:val="0091706D"/>
    <w:rsid w:val="009219EA"/>
    <w:rsid w:val="00922A2B"/>
    <w:rsid w:val="00922FC2"/>
    <w:rsid w:val="00923F25"/>
    <w:rsid w:val="009248D3"/>
    <w:rsid w:val="00924A45"/>
    <w:rsid w:val="00926F6A"/>
    <w:rsid w:val="00927185"/>
    <w:rsid w:val="00927F5F"/>
    <w:rsid w:val="009303EF"/>
    <w:rsid w:val="00930703"/>
    <w:rsid w:val="009314B9"/>
    <w:rsid w:val="009318FE"/>
    <w:rsid w:val="009348AF"/>
    <w:rsid w:val="00934D47"/>
    <w:rsid w:val="0093502D"/>
    <w:rsid w:val="009368A7"/>
    <w:rsid w:val="009374E5"/>
    <w:rsid w:val="00937A5D"/>
    <w:rsid w:val="00940619"/>
    <w:rsid w:val="009409EB"/>
    <w:rsid w:val="009410DF"/>
    <w:rsid w:val="009413F4"/>
    <w:rsid w:val="0094154F"/>
    <w:rsid w:val="009448C1"/>
    <w:rsid w:val="00945C89"/>
    <w:rsid w:val="00946572"/>
    <w:rsid w:val="00946757"/>
    <w:rsid w:val="009469BD"/>
    <w:rsid w:val="00946FD5"/>
    <w:rsid w:val="009473D9"/>
    <w:rsid w:val="00947B66"/>
    <w:rsid w:val="00947CC0"/>
    <w:rsid w:val="00947F8C"/>
    <w:rsid w:val="009502D9"/>
    <w:rsid w:val="00951CCB"/>
    <w:rsid w:val="00953992"/>
    <w:rsid w:val="00954662"/>
    <w:rsid w:val="00954D98"/>
    <w:rsid w:val="00954F05"/>
    <w:rsid w:val="00956937"/>
    <w:rsid w:val="00956ECD"/>
    <w:rsid w:val="00956FF5"/>
    <w:rsid w:val="00957036"/>
    <w:rsid w:val="00960828"/>
    <w:rsid w:val="00960861"/>
    <w:rsid w:val="00960CA7"/>
    <w:rsid w:val="0096136E"/>
    <w:rsid w:val="00961DC1"/>
    <w:rsid w:val="00961E1F"/>
    <w:rsid w:val="009620B0"/>
    <w:rsid w:val="00963545"/>
    <w:rsid w:val="00963900"/>
    <w:rsid w:val="00965AB0"/>
    <w:rsid w:val="009663BF"/>
    <w:rsid w:val="009669E2"/>
    <w:rsid w:val="00971095"/>
    <w:rsid w:val="009715E4"/>
    <w:rsid w:val="0097168F"/>
    <w:rsid w:val="00971805"/>
    <w:rsid w:val="00971D63"/>
    <w:rsid w:val="00971E73"/>
    <w:rsid w:val="009724C0"/>
    <w:rsid w:val="0097392B"/>
    <w:rsid w:val="00973B13"/>
    <w:rsid w:val="00973BE6"/>
    <w:rsid w:val="00974115"/>
    <w:rsid w:val="00974B86"/>
    <w:rsid w:val="00974C88"/>
    <w:rsid w:val="00976331"/>
    <w:rsid w:val="0098006F"/>
    <w:rsid w:val="00981985"/>
    <w:rsid w:val="00981B96"/>
    <w:rsid w:val="00981FDB"/>
    <w:rsid w:val="009820C9"/>
    <w:rsid w:val="00982409"/>
    <w:rsid w:val="00982A25"/>
    <w:rsid w:val="009845ED"/>
    <w:rsid w:val="0098496A"/>
    <w:rsid w:val="00984D04"/>
    <w:rsid w:val="00985D19"/>
    <w:rsid w:val="00986077"/>
    <w:rsid w:val="00986896"/>
    <w:rsid w:val="00987187"/>
    <w:rsid w:val="00990894"/>
    <w:rsid w:val="00990CB9"/>
    <w:rsid w:val="00991942"/>
    <w:rsid w:val="00993A0F"/>
    <w:rsid w:val="00993D6B"/>
    <w:rsid w:val="009948B3"/>
    <w:rsid w:val="00995760"/>
    <w:rsid w:val="009957E0"/>
    <w:rsid w:val="00995EAD"/>
    <w:rsid w:val="00997450"/>
    <w:rsid w:val="009A1166"/>
    <w:rsid w:val="009A2AF1"/>
    <w:rsid w:val="009A30D9"/>
    <w:rsid w:val="009A3AE4"/>
    <w:rsid w:val="009A4DAA"/>
    <w:rsid w:val="009A5D36"/>
    <w:rsid w:val="009A74E1"/>
    <w:rsid w:val="009B0423"/>
    <w:rsid w:val="009B0769"/>
    <w:rsid w:val="009B105F"/>
    <w:rsid w:val="009B1D46"/>
    <w:rsid w:val="009B2455"/>
    <w:rsid w:val="009B3AAB"/>
    <w:rsid w:val="009B48C5"/>
    <w:rsid w:val="009B4BE8"/>
    <w:rsid w:val="009B6D48"/>
    <w:rsid w:val="009B76B9"/>
    <w:rsid w:val="009C01B9"/>
    <w:rsid w:val="009C1F67"/>
    <w:rsid w:val="009C2599"/>
    <w:rsid w:val="009C3598"/>
    <w:rsid w:val="009C3BD7"/>
    <w:rsid w:val="009C43B1"/>
    <w:rsid w:val="009C4860"/>
    <w:rsid w:val="009C49C1"/>
    <w:rsid w:val="009C4ACF"/>
    <w:rsid w:val="009C4D62"/>
    <w:rsid w:val="009C5605"/>
    <w:rsid w:val="009C6ACF"/>
    <w:rsid w:val="009C77ED"/>
    <w:rsid w:val="009C7870"/>
    <w:rsid w:val="009D0E6B"/>
    <w:rsid w:val="009D3626"/>
    <w:rsid w:val="009D390D"/>
    <w:rsid w:val="009D42EA"/>
    <w:rsid w:val="009D4481"/>
    <w:rsid w:val="009D56AC"/>
    <w:rsid w:val="009D5A73"/>
    <w:rsid w:val="009D6E05"/>
    <w:rsid w:val="009D7B54"/>
    <w:rsid w:val="009E0529"/>
    <w:rsid w:val="009E06FD"/>
    <w:rsid w:val="009E14AD"/>
    <w:rsid w:val="009E1899"/>
    <w:rsid w:val="009E1B98"/>
    <w:rsid w:val="009E35D9"/>
    <w:rsid w:val="009E3EB0"/>
    <w:rsid w:val="009E42FD"/>
    <w:rsid w:val="009E5741"/>
    <w:rsid w:val="009E6DE2"/>
    <w:rsid w:val="009E6E52"/>
    <w:rsid w:val="009E7994"/>
    <w:rsid w:val="009E7D96"/>
    <w:rsid w:val="009F0604"/>
    <w:rsid w:val="009F0784"/>
    <w:rsid w:val="009F0796"/>
    <w:rsid w:val="009F3CCD"/>
    <w:rsid w:val="009F4E89"/>
    <w:rsid w:val="009F674B"/>
    <w:rsid w:val="009F75EC"/>
    <w:rsid w:val="009F7788"/>
    <w:rsid w:val="009F7947"/>
    <w:rsid w:val="00A017F6"/>
    <w:rsid w:val="00A02789"/>
    <w:rsid w:val="00A02819"/>
    <w:rsid w:val="00A02970"/>
    <w:rsid w:val="00A0404F"/>
    <w:rsid w:val="00A04319"/>
    <w:rsid w:val="00A0521D"/>
    <w:rsid w:val="00A05270"/>
    <w:rsid w:val="00A052C6"/>
    <w:rsid w:val="00A055AB"/>
    <w:rsid w:val="00A07471"/>
    <w:rsid w:val="00A12277"/>
    <w:rsid w:val="00A1299F"/>
    <w:rsid w:val="00A137A2"/>
    <w:rsid w:val="00A13FED"/>
    <w:rsid w:val="00A16597"/>
    <w:rsid w:val="00A16989"/>
    <w:rsid w:val="00A173C3"/>
    <w:rsid w:val="00A1741A"/>
    <w:rsid w:val="00A1797E"/>
    <w:rsid w:val="00A17FE8"/>
    <w:rsid w:val="00A2310F"/>
    <w:rsid w:val="00A234EA"/>
    <w:rsid w:val="00A25333"/>
    <w:rsid w:val="00A268FD"/>
    <w:rsid w:val="00A2740C"/>
    <w:rsid w:val="00A300EA"/>
    <w:rsid w:val="00A305B6"/>
    <w:rsid w:val="00A30852"/>
    <w:rsid w:val="00A30B55"/>
    <w:rsid w:val="00A31026"/>
    <w:rsid w:val="00A31B9D"/>
    <w:rsid w:val="00A32644"/>
    <w:rsid w:val="00A32A5F"/>
    <w:rsid w:val="00A32E79"/>
    <w:rsid w:val="00A33223"/>
    <w:rsid w:val="00A34A68"/>
    <w:rsid w:val="00A34C13"/>
    <w:rsid w:val="00A35282"/>
    <w:rsid w:val="00A356D8"/>
    <w:rsid w:val="00A3653B"/>
    <w:rsid w:val="00A3676D"/>
    <w:rsid w:val="00A375E8"/>
    <w:rsid w:val="00A408CB"/>
    <w:rsid w:val="00A40925"/>
    <w:rsid w:val="00A41A27"/>
    <w:rsid w:val="00A41AA8"/>
    <w:rsid w:val="00A41AF4"/>
    <w:rsid w:val="00A4290E"/>
    <w:rsid w:val="00A42B1F"/>
    <w:rsid w:val="00A42FCC"/>
    <w:rsid w:val="00A431D2"/>
    <w:rsid w:val="00A43B11"/>
    <w:rsid w:val="00A4588D"/>
    <w:rsid w:val="00A46D82"/>
    <w:rsid w:val="00A47B7A"/>
    <w:rsid w:val="00A47B92"/>
    <w:rsid w:val="00A5041D"/>
    <w:rsid w:val="00A531EA"/>
    <w:rsid w:val="00A53ACB"/>
    <w:rsid w:val="00A55E9E"/>
    <w:rsid w:val="00A57819"/>
    <w:rsid w:val="00A608AE"/>
    <w:rsid w:val="00A6261A"/>
    <w:rsid w:val="00A631DB"/>
    <w:rsid w:val="00A6356A"/>
    <w:rsid w:val="00A6419B"/>
    <w:rsid w:val="00A64A7D"/>
    <w:rsid w:val="00A64B0D"/>
    <w:rsid w:val="00A64EDB"/>
    <w:rsid w:val="00A650CC"/>
    <w:rsid w:val="00A66C9B"/>
    <w:rsid w:val="00A67879"/>
    <w:rsid w:val="00A71926"/>
    <w:rsid w:val="00A71D44"/>
    <w:rsid w:val="00A723DA"/>
    <w:rsid w:val="00A7395C"/>
    <w:rsid w:val="00A73CFA"/>
    <w:rsid w:val="00A73D0A"/>
    <w:rsid w:val="00A74935"/>
    <w:rsid w:val="00A75C42"/>
    <w:rsid w:val="00A76BBC"/>
    <w:rsid w:val="00A77D86"/>
    <w:rsid w:val="00A8097B"/>
    <w:rsid w:val="00A81979"/>
    <w:rsid w:val="00A848C3"/>
    <w:rsid w:val="00A85BD7"/>
    <w:rsid w:val="00A86AB1"/>
    <w:rsid w:val="00A86D8F"/>
    <w:rsid w:val="00A8711A"/>
    <w:rsid w:val="00A8775F"/>
    <w:rsid w:val="00A9052A"/>
    <w:rsid w:val="00A90958"/>
    <w:rsid w:val="00A90D29"/>
    <w:rsid w:val="00A9181D"/>
    <w:rsid w:val="00A91E54"/>
    <w:rsid w:val="00A931B1"/>
    <w:rsid w:val="00A933E7"/>
    <w:rsid w:val="00A93CE9"/>
    <w:rsid w:val="00A945E4"/>
    <w:rsid w:val="00A9467A"/>
    <w:rsid w:val="00A94AD8"/>
    <w:rsid w:val="00A94AED"/>
    <w:rsid w:val="00A94BF0"/>
    <w:rsid w:val="00A954F5"/>
    <w:rsid w:val="00A96855"/>
    <w:rsid w:val="00A970B1"/>
    <w:rsid w:val="00A97805"/>
    <w:rsid w:val="00AA11CB"/>
    <w:rsid w:val="00AA2430"/>
    <w:rsid w:val="00AA3F21"/>
    <w:rsid w:val="00AA4246"/>
    <w:rsid w:val="00AA4B28"/>
    <w:rsid w:val="00AA4CD5"/>
    <w:rsid w:val="00AA6DDF"/>
    <w:rsid w:val="00AA6FEF"/>
    <w:rsid w:val="00AB151D"/>
    <w:rsid w:val="00AB1709"/>
    <w:rsid w:val="00AB2059"/>
    <w:rsid w:val="00AB29D1"/>
    <w:rsid w:val="00AB2DAB"/>
    <w:rsid w:val="00AB2E38"/>
    <w:rsid w:val="00AB30F9"/>
    <w:rsid w:val="00AB38A1"/>
    <w:rsid w:val="00AB478F"/>
    <w:rsid w:val="00AB64F8"/>
    <w:rsid w:val="00AB749D"/>
    <w:rsid w:val="00AB7B2D"/>
    <w:rsid w:val="00AC073E"/>
    <w:rsid w:val="00AC082F"/>
    <w:rsid w:val="00AC0B0F"/>
    <w:rsid w:val="00AC0B99"/>
    <w:rsid w:val="00AC1BE5"/>
    <w:rsid w:val="00AC1C74"/>
    <w:rsid w:val="00AC1DDB"/>
    <w:rsid w:val="00AC5047"/>
    <w:rsid w:val="00AC6339"/>
    <w:rsid w:val="00AC6DB1"/>
    <w:rsid w:val="00AC7042"/>
    <w:rsid w:val="00AD1334"/>
    <w:rsid w:val="00AD19DB"/>
    <w:rsid w:val="00AD1C00"/>
    <w:rsid w:val="00AD1F09"/>
    <w:rsid w:val="00AD2F28"/>
    <w:rsid w:val="00AD36C5"/>
    <w:rsid w:val="00AD3844"/>
    <w:rsid w:val="00AD516D"/>
    <w:rsid w:val="00AD641E"/>
    <w:rsid w:val="00AD6872"/>
    <w:rsid w:val="00AE050D"/>
    <w:rsid w:val="00AE193F"/>
    <w:rsid w:val="00AE1DFE"/>
    <w:rsid w:val="00AE206F"/>
    <w:rsid w:val="00AE2472"/>
    <w:rsid w:val="00AE3663"/>
    <w:rsid w:val="00AE44DA"/>
    <w:rsid w:val="00AE45F8"/>
    <w:rsid w:val="00AE49DC"/>
    <w:rsid w:val="00AE5E61"/>
    <w:rsid w:val="00AE6088"/>
    <w:rsid w:val="00AE63A1"/>
    <w:rsid w:val="00AE7522"/>
    <w:rsid w:val="00AF15F7"/>
    <w:rsid w:val="00AF25F4"/>
    <w:rsid w:val="00AF34D2"/>
    <w:rsid w:val="00AF470B"/>
    <w:rsid w:val="00AF48EC"/>
    <w:rsid w:val="00AF54D4"/>
    <w:rsid w:val="00AF6A79"/>
    <w:rsid w:val="00AF6DF1"/>
    <w:rsid w:val="00AF6E15"/>
    <w:rsid w:val="00AF73D6"/>
    <w:rsid w:val="00AF7E8F"/>
    <w:rsid w:val="00B00097"/>
    <w:rsid w:val="00B00498"/>
    <w:rsid w:val="00B00549"/>
    <w:rsid w:val="00B008FD"/>
    <w:rsid w:val="00B01DCD"/>
    <w:rsid w:val="00B0312D"/>
    <w:rsid w:val="00B03492"/>
    <w:rsid w:val="00B03F63"/>
    <w:rsid w:val="00B0629E"/>
    <w:rsid w:val="00B06FDB"/>
    <w:rsid w:val="00B10D40"/>
    <w:rsid w:val="00B1120B"/>
    <w:rsid w:val="00B12223"/>
    <w:rsid w:val="00B12926"/>
    <w:rsid w:val="00B12ADA"/>
    <w:rsid w:val="00B12C05"/>
    <w:rsid w:val="00B12D03"/>
    <w:rsid w:val="00B137F2"/>
    <w:rsid w:val="00B13A50"/>
    <w:rsid w:val="00B13CD6"/>
    <w:rsid w:val="00B14599"/>
    <w:rsid w:val="00B14618"/>
    <w:rsid w:val="00B16315"/>
    <w:rsid w:val="00B1762E"/>
    <w:rsid w:val="00B21969"/>
    <w:rsid w:val="00B23091"/>
    <w:rsid w:val="00B23475"/>
    <w:rsid w:val="00B240CD"/>
    <w:rsid w:val="00B240E9"/>
    <w:rsid w:val="00B2553D"/>
    <w:rsid w:val="00B255DF"/>
    <w:rsid w:val="00B26149"/>
    <w:rsid w:val="00B2790D"/>
    <w:rsid w:val="00B3021B"/>
    <w:rsid w:val="00B30568"/>
    <w:rsid w:val="00B32297"/>
    <w:rsid w:val="00B3235C"/>
    <w:rsid w:val="00B32760"/>
    <w:rsid w:val="00B340BB"/>
    <w:rsid w:val="00B34E84"/>
    <w:rsid w:val="00B3524D"/>
    <w:rsid w:val="00B361EB"/>
    <w:rsid w:val="00B3692D"/>
    <w:rsid w:val="00B36E57"/>
    <w:rsid w:val="00B41C9D"/>
    <w:rsid w:val="00B41CAD"/>
    <w:rsid w:val="00B41FC4"/>
    <w:rsid w:val="00B42D82"/>
    <w:rsid w:val="00B43766"/>
    <w:rsid w:val="00B43DA3"/>
    <w:rsid w:val="00B43EBA"/>
    <w:rsid w:val="00B45046"/>
    <w:rsid w:val="00B4516A"/>
    <w:rsid w:val="00B4739B"/>
    <w:rsid w:val="00B508D4"/>
    <w:rsid w:val="00B50BAB"/>
    <w:rsid w:val="00B5216E"/>
    <w:rsid w:val="00B5253D"/>
    <w:rsid w:val="00B525C7"/>
    <w:rsid w:val="00B529BB"/>
    <w:rsid w:val="00B52B64"/>
    <w:rsid w:val="00B53F36"/>
    <w:rsid w:val="00B563D2"/>
    <w:rsid w:val="00B56669"/>
    <w:rsid w:val="00B57262"/>
    <w:rsid w:val="00B576E3"/>
    <w:rsid w:val="00B57CEE"/>
    <w:rsid w:val="00B57E81"/>
    <w:rsid w:val="00B6096B"/>
    <w:rsid w:val="00B60C97"/>
    <w:rsid w:val="00B60CCC"/>
    <w:rsid w:val="00B62484"/>
    <w:rsid w:val="00B62A61"/>
    <w:rsid w:val="00B62EFB"/>
    <w:rsid w:val="00B63B06"/>
    <w:rsid w:val="00B645E4"/>
    <w:rsid w:val="00B64CAA"/>
    <w:rsid w:val="00B64E8F"/>
    <w:rsid w:val="00B67BBE"/>
    <w:rsid w:val="00B7124E"/>
    <w:rsid w:val="00B71E7F"/>
    <w:rsid w:val="00B72430"/>
    <w:rsid w:val="00B72518"/>
    <w:rsid w:val="00B72A0D"/>
    <w:rsid w:val="00B73CE0"/>
    <w:rsid w:val="00B74127"/>
    <w:rsid w:val="00B74663"/>
    <w:rsid w:val="00B750D4"/>
    <w:rsid w:val="00B754EA"/>
    <w:rsid w:val="00B75AE3"/>
    <w:rsid w:val="00B76547"/>
    <w:rsid w:val="00B77B72"/>
    <w:rsid w:val="00B801B5"/>
    <w:rsid w:val="00B80C9F"/>
    <w:rsid w:val="00B810CC"/>
    <w:rsid w:val="00B819F2"/>
    <w:rsid w:val="00B81D15"/>
    <w:rsid w:val="00B833E4"/>
    <w:rsid w:val="00B85154"/>
    <w:rsid w:val="00B8659B"/>
    <w:rsid w:val="00B86977"/>
    <w:rsid w:val="00B86AC7"/>
    <w:rsid w:val="00B87E23"/>
    <w:rsid w:val="00B87EFA"/>
    <w:rsid w:val="00B91B47"/>
    <w:rsid w:val="00B92B99"/>
    <w:rsid w:val="00B92D2A"/>
    <w:rsid w:val="00B93AB4"/>
    <w:rsid w:val="00B95CCB"/>
    <w:rsid w:val="00B97345"/>
    <w:rsid w:val="00BA13F9"/>
    <w:rsid w:val="00BA14CD"/>
    <w:rsid w:val="00BA1D1B"/>
    <w:rsid w:val="00BA2579"/>
    <w:rsid w:val="00BA2CF7"/>
    <w:rsid w:val="00BA5255"/>
    <w:rsid w:val="00BA6840"/>
    <w:rsid w:val="00BA6F13"/>
    <w:rsid w:val="00BA72C6"/>
    <w:rsid w:val="00BA7BE8"/>
    <w:rsid w:val="00BB061B"/>
    <w:rsid w:val="00BB35CE"/>
    <w:rsid w:val="00BB3A97"/>
    <w:rsid w:val="00BB3CB3"/>
    <w:rsid w:val="00BB4C53"/>
    <w:rsid w:val="00BB7838"/>
    <w:rsid w:val="00BC08A3"/>
    <w:rsid w:val="00BC12B7"/>
    <w:rsid w:val="00BC13A0"/>
    <w:rsid w:val="00BC1BDB"/>
    <w:rsid w:val="00BC21A2"/>
    <w:rsid w:val="00BC4AE1"/>
    <w:rsid w:val="00BC74C2"/>
    <w:rsid w:val="00BC7577"/>
    <w:rsid w:val="00BC7704"/>
    <w:rsid w:val="00BC7850"/>
    <w:rsid w:val="00BC7F55"/>
    <w:rsid w:val="00BD03B6"/>
    <w:rsid w:val="00BD03E2"/>
    <w:rsid w:val="00BD1227"/>
    <w:rsid w:val="00BD143C"/>
    <w:rsid w:val="00BD154D"/>
    <w:rsid w:val="00BD318B"/>
    <w:rsid w:val="00BD32A8"/>
    <w:rsid w:val="00BD46D0"/>
    <w:rsid w:val="00BD46FA"/>
    <w:rsid w:val="00BD4B7D"/>
    <w:rsid w:val="00BD55F8"/>
    <w:rsid w:val="00BE035D"/>
    <w:rsid w:val="00BE19A1"/>
    <w:rsid w:val="00BE1A9B"/>
    <w:rsid w:val="00BE2299"/>
    <w:rsid w:val="00BE2639"/>
    <w:rsid w:val="00BE3DCC"/>
    <w:rsid w:val="00BE55D1"/>
    <w:rsid w:val="00BE597B"/>
    <w:rsid w:val="00BE5FD8"/>
    <w:rsid w:val="00BE6B11"/>
    <w:rsid w:val="00BE6B75"/>
    <w:rsid w:val="00BE6B81"/>
    <w:rsid w:val="00BF030F"/>
    <w:rsid w:val="00BF0D8F"/>
    <w:rsid w:val="00BF0F3B"/>
    <w:rsid w:val="00BF2128"/>
    <w:rsid w:val="00BF25A5"/>
    <w:rsid w:val="00BF299A"/>
    <w:rsid w:val="00BF38FE"/>
    <w:rsid w:val="00BF3A90"/>
    <w:rsid w:val="00BF44D7"/>
    <w:rsid w:val="00BF6D7C"/>
    <w:rsid w:val="00C001EC"/>
    <w:rsid w:val="00C00261"/>
    <w:rsid w:val="00C00670"/>
    <w:rsid w:val="00C015A4"/>
    <w:rsid w:val="00C01651"/>
    <w:rsid w:val="00C01946"/>
    <w:rsid w:val="00C04D79"/>
    <w:rsid w:val="00C0523C"/>
    <w:rsid w:val="00C065D1"/>
    <w:rsid w:val="00C066D9"/>
    <w:rsid w:val="00C10E43"/>
    <w:rsid w:val="00C11EEF"/>
    <w:rsid w:val="00C12779"/>
    <w:rsid w:val="00C154AE"/>
    <w:rsid w:val="00C15B61"/>
    <w:rsid w:val="00C20C85"/>
    <w:rsid w:val="00C20FA3"/>
    <w:rsid w:val="00C21B88"/>
    <w:rsid w:val="00C22556"/>
    <w:rsid w:val="00C2277C"/>
    <w:rsid w:val="00C22CCA"/>
    <w:rsid w:val="00C24804"/>
    <w:rsid w:val="00C2512E"/>
    <w:rsid w:val="00C27149"/>
    <w:rsid w:val="00C2777F"/>
    <w:rsid w:val="00C302FD"/>
    <w:rsid w:val="00C30E64"/>
    <w:rsid w:val="00C31209"/>
    <w:rsid w:val="00C31245"/>
    <w:rsid w:val="00C312D0"/>
    <w:rsid w:val="00C31D87"/>
    <w:rsid w:val="00C3271B"/>
    <w:rsid w:val="00C32DD5"/>
    <w:rsid w:val="00C33663"/>
    <w:rsid w:val="00C36506"/>
    <w:rsid w:val="00C36A50"/>
    <w:rsid w:val="00C36E15"/>
    <w:rsid w:val="00C36EE8"/>
    <w:rsid w:val="00C370C6"/>
    <w:rsid w:val="00C3715B"/>
    <w:rsid w:val="00C37B90"/>
    <w:rsid w:val="00C41D6C"/>
    <w:rsid w:val="00C42B4D"/>
    <w:rsid w:val="00C432B5"/>
    <w:rsid w:val="00C433F3"/>
    <w:rsid w:val="00C43709"/>
    <w:rsid w:val="00C43F3F"/>
    <w:rsid w:val="00C43FD8"/>
    <w:rsid w:val="00C47132"/>
    <w:rsid w:val="00C478BB"/>
    <w:rsid w:val="00C508F2"/>
    <w:rsid w:val="00C52262"/>
    <w:rsid w:val="00C52BEF"/>
    <w:rsid w:val="00C551F8"/>
    <w:rsid w:val="00C5539F"/>
    <w:rsid w:val="00C5548A"/>
    <w:rsid w:val="00C55ED5"/>
    <w:rsid w:val="00C56B26"/>
    <w:rsid w:val="00C57BEB"/>
    <w:rsid w:val="00C57FC2"/>
    <w:rsid w:val="00C61290"/>
    <w:rsid w:val="00C61A56"/>
    <w:rsid w:val="00C63EB5"/>
    <w:rsid w:val="00C64032"/>
    <w:rsid w:val="00C64544"/>
    <w:rsid w:val="00C65686"/>
    <w:rsid w:val="00C65ECC"/>
    <w:rsid w:val="00C66B58"/>
    <w:rsid w:val="00C67524"/>
    <w:rsid w:val="00C7026F"/>
    <w:rsid w:val="00C70456"/>
    <w:rsid w:val="00C70761"/>
    <w:rsid w:val="00C70A5F"/>
    <w:rsid w:val="00C70AD3"/>
    <w:rsid w:val="00C71459"/>
    <w:rsid w:val="00C714D6"/>
    <w:rsid w:val="00C71545"/>
    <w:rsid w:val="00C71899"/>
    <w:rsid w:val="00C71BF6"/>
    <w:rsid w:val="00C71E60"/>
    <w:rsid w:val="00C71FD4"/>
    <w:rsid w:val="00C72274"/>
    <w:rsid w:val="00C72643"/>
    <w:rsid w:val="00C72D77"/>
    <w:rsid w:val="00C739A0"/>
    <w:rsid w:val="00C73C02"/>
    <w:rsid w:val="00C74523"/>
    <w:rsid w:val="00C74E0B"/>
    <w:rsid w:val="00C76372"/>
    <w:rsid w:val="00C76981"/>
    <w:rsid w:val="00C77A24"/>
    <w:rsid w:val="00C77EBD"/>
    <w:rsid w:val="00C80DA2"/>
    <w:rsid w:val="00C81B01"/>
    <w:rsid w:val="00C824D8"/>
    <w:rsid w:val="00C8292A"/>
    <w:rsid w:val="00C82B0E"/>
    <w:rsid w:val="00C82DBE"/>
    <w:rsid w:val="00C83975"/>
    <w:rsid w:val="00C844FA"/>
    <w:rsid w:val="00C84739"/>
    <w:rsid w:val="00C849F3"/>
    <w:rsid w:val="00C85042"/>
    <w:rsid w:val="00C85DAB"/>
    <w:rsid w:val="00C86129"/>
    <w:rsid w:val="00C863F4"/>
    <w:rsid w:val="00C866FC"/>
    <w:rsid w:val="00C867C9"/>
    <w:rsid w:val="00C87448"/>
    <w:rsid w:val="00C95275"/>
    <w:rsid w:val="00C952D4"/>
    <w:rsid w:val="00C960E1"/>
    <w:rsid w:val="00C96184"/>
    <w:rsid w:val="00C96476"/>
    <w:rsid w:val="00C96E94"/>
    <w:rsid w:val="00C9781D"/>
    <w:rsid w:val="00CA0188"/>
    <w:rsid w:val="00CA01F7"/>
    <w:rsid w:val="00CA06D6"/>
    <w:rsid w:val="00CA15E2"/>
    <w:rsid w:val="00CA2631"/>
    <w:rsid w:val="00CA36B5"/>
    <w:rsid w:val="00CA4CCB"/>
    <w:rsid w:val="00CB0267"/>
    <w:rsid w:val="00CB07F5"/>
    <w:rsid w:val="00CB0F94"/>
    <w:rsid w:val="00CB43E3"/>
    <w:rsid w:val="00CB4DF8"/>
    <w:rsid w:val="00CB5F3F"/>
    <w:rsid w:val="00CB6380"/>
    <w:rsid w:val="00CB6D76"/>
    <w:rsid w:val="00CC04A9"/>
    <w:rsid w:val="00CC70E4"/>
    <w:rsid w:val="00CC75BB"/>
    <w:rsid w:val="00CD02F1"/>
    <w:rsid w:val="00CD04A9"/>
    <w:rsid w:val="00CD0C9D"/>
    <w:rsid w:val="00CD196A"/>
    <w:rsid w:val="00CD2763"/>
    <w:rsid w:val="00CD2D3E"/>
    <w:rsid w:val="00CD348A"/>
    <w:rsid w:val="00CD3501"/>
    <w:rsid w:val="00CD3D38"/>
    <w:rsid w:val="00CD4698"/>
    <w:rsid w:val="00CD5456"/>
    <w:rsid w:val="00CD582A"/>
    <w:rsid w:val="00CD7485"/>
    <w:rsid w:val="00CD75BD"/>
    <w:rsid w:val="00CE1040"/>
    <w:rsid w:val="00CE12A9"/>
    <w:rsid w:val="00CE160B"/>
    <w:rsid w:val="00CE16B9"/>
    <w:rsid w:val="00CE3025"/>
    <w:rsid w:val="00CE36DC"/>
    <w:rsid w:val="00CE46E9"/>
    <w:rsid w:val="00CE52C2"/>
    <w:rsid w:val="00CE5EAD"/>
    <w:rsid w:val="00CF033E"/>
    <w:rsid w:val="00CF04AD"/>
    <w:rsid w:val="00CF05C9"/>
    <w:rsid w:val="00CF1159"/>
    <w:rsid w:val="00CF2D48"/>
    <w:rsid w:val="00CF4424"/>
    <w:rsid w:val="00CF4E8A"/>
    <w:rsid w:val="00CF50BB"/>
    <w:rsid w:val="00CF530D"/>
    <w:rsid w:val="00CF682B"/>
    <w:rsid w:val="00CF693E"/>
    <w:rsid w:val="00CF6A7F"/>
    <w:rsid w:val="00CF72E1"/>
    <w:rsid w:val="00CF740E"/>
    <w:rsid w:val="00D003D6"/>
    <w:rsid w:val="00D00AB4"/>
    <w:rsid w:val="00D012C4"/>
    <w:rsid w:val="00D01F5E"/>
    <w:rsid w:val="00D023E8"/>
    <w:rsid w:val="00D03BAE"/>
    <w:rsid w:val="00D0484A"/>
    <w:rsid w:val="00D05F4C"/>
    <w:rsid w:val="00D06774"/>
    <w:rsid w:val="00D110C9"/>
    <w:rsid w:val="00D141EB"/>
    <w:rsid w:val="00D14325"/>
    <w:rsid w:val="00D146E7"/>
    <w:rsid w:val="00D16689"/>
    <w:rsid w:val="00D20D29"/>
    <w:rsid w:val="00D20DA4"/>
    <w:rsid w:val="00D218EE"/>
    <w:rsid w:val="00D21FA5"/>
    <w:rsid w:val="00D224CD"/>
    <w:rsid w:val="00D22999"/>
    <w:rsid w:val="00D234F8"/>
    <w:rsid w:val="00D23F4E"/>
    <w:rsid w:val="00D2484D"/>
    <w:rsid w:val="00D25102"/>
    <w:rsid w:val="00D257DB"/>
    <w:rsid w:val="00D3034D"/>
    <w:rsid w:val="00D30CB7"/>
    <w:rsid w:val="00D312F1"/>
    <w:rsid w:val="00D316AD"/>
    <w:rsid w:val="00D31ED6"/>
    <w:rsid w:val="00D32268"/>
    <w:rsid w:val="00D34784"/>
    <w:rsid w:val="00D34C26"/>
    <w:rsid w:val="00D3533F"/>
    <w:rsid w:val="00D37454"/>
    <w:rsid w:val="00D379F8"/>
    <w:rsid w:val="00D37EF2"/>
    <w:rsid w:val="00D41228"/>
    <w:rsid w:val="00D43A0A"/>
    <w:rsid w:val="00D43DE9"/>
    <w:rsid w:val="00D44E5C"/>
    <w:rsid w:val="00D45D3C"/>
    <w:rsid w:val="00D4633D"/>
    <w:rsid w:val="00D4648F"/>
    <w:rsid w:val="00D46A41"/>
    <w:rsid w:val="00D478E8"/>
    <w:rsid w:val="00D50EDC"/>
    <w:rsid w:val="00D53074"/>
    <w:rsid w:val="00D53AB7"/>
    <w:rsid w:val="00D53D91"/>
    <w:rsid w:val="00D54FC1"/>
    <w:rsid w:val="00D551B6"/>
    <w:rsid w:val="00D55203"/>
    <w:rsid w:val="00D556A0"/>
    <w:rsid w:val="00D55D90"/>
    <w:rsid w:val="00D62B8B"/>
    <w:rsid w:val="00D65208"/>
    <w:rsid w:val="00D66EA1"/>
    <w:rsid w:val="00D67199"/>
    <w:rsid w:val="00D70522"/>
    <w:rsid w:val="00D707DB"/>
    <w:rsid w:val="00D71F05"/>
    <w:rsid w:val="00D74124"/>
    <w:rsid w:val="00D7450A"/>
    <w:rsid w:val="00D745F6"/>
    <w:rsid w:val="00D75C11"/>
    <w:rsid w:val="00D77446"/>
    <w:rsid w:val="00D77C26"/>
    <w:rsid w:val="00D77CB5"/>
    <w:rsid w:val="00D80604"/>
    <w:rsid w:val="00D80EB3"/>
    <w:rsid w:val="00D80FC4"/>
    <w:rsid w:val="00D814B3"/>
    <w:rsid w:val="00D83E3F"/>
    <w:rsid w:val="00D90B62"/>
    <w:rsid w:val="00D90C8D"/>
    <w:rsid w:val="00D91863"/>
    <w:rsid w:val="00D9207D"/>
    <w:rsid w:val="00D93B0D"/>
    <w:rsid w:val="00D948F5"/>
    <w:rsid w:val="00D94AE2"/>
    <w:rsid w:val="00D95884"/>
    <w:rsid w:val="00D9613A"/>
    <w:rsid w:val="00D9633F"/>
    <w:rsid w:val="00D97702"/>
    <w:rsid w:val="00DA01C4"/>
    <w:rsid w:val="00DA0EF8"/>
    <w:rsid w:val="00DA2B08"/>
    <w:rsid w:val="00DA2FB1"/>
    <w:rsid w:val="00DA33E0"/>
    <w:rsid w:val="00DA4CEF"/>
    <w:rsid w:val="00DA4FCD"/>
    <w:rsid w:val="00DA6BDC"/>
    <w:rsid w:val="00DA7868"/>
    <w:rsid w:val="00DA7F72"/>
    <w:rsid w:val="00DB02AC"/>
    <w:rsid w:val="00DB0862"/>
    <w:rsid w:val="00DB19B4"/>
    <w:rsid w:val="00DB3545"/>
    <w:rsid w:val="00DB3708"/>
    <w:rsid w:val="00DB3E56"/>
    <w:rsid w:val="00DB645E"/>
    <w:rsid w:val="00DB713F"/>
    <w:rsid w:val="00DB7509"/>
    <w:rsid w:val="00DB7E09"/>
    <w:rsid w:val="00DC03E6"/>
    <w:rsid w:val="00DC0681"/>
    <w:rsid w:val="00DC1609"/>
    <w:rsid w:val="00DC1C18"/>
    <w:rsid w:val="00DC28DB"/>
    <w:rsid w:val="00DC295F"/>
    <w:rsid w:val="00DC2B93"/>
    <w:rsid w:val="00DC498B"/>
    <w:rsid w:val="00DC4BCD"/>
    <w:rsid w:val="00DC4C1F"/>
    <w:rsid w:val="00DC561C"/>
    <w:rsid w:val="00DD0094"/>
    <w:rsid w:val="00DD0904"/>
    <w:rsid w:val="00DD1EE1"/>
    <w:rsid w:val="00DD6DB8"/>
    <w:rsid w:val="00DE0E28"/>
    <w:rsid w:val="00DE24E2"/>
    <w:rsid w:val="00DE2949"/>
    <w:rsid w:val="00DE33B3"/>
    <w:rsid w:val="00DE3C9D"/>
    <w:rsid w:val="00DE3DC8"/>
    <w:rsid w:val="00DE5C38"/>
    <w:rsid w:val="00DE6FAE"/>
    <w:rsid w:val="00DE712B"/>
    <w:rsid w:val="00DE7FAA"/>
    <w:rsid w:val="00DF00F3"/>
    <w:rsid w:val="00DF03AA"/>
    <w:rsid w:val="00DF078A"/>
    <w:rsid w:val="00DF0A5A"/>
    <w:rsid w:val="00DF0D19"/>
    <w:rsid w:val="00DF2086"/>
    <w:rsid w:val="00DF209E"/>
    <w:rsid w:val="00DF2EBC"/>
    <w:rsid w:val="00DF3A97"/>
    <w:rsid w:val="00DF3CD0"/>
    <w:rsid w:val="00DF3EC3"/>
    <w:rsid w:val="00DF4DC5"/>
    <w:rsid w:val="00DF54CB"/>
    <w:rsid w:val="00DF61D5"/>
    <w:rsid w:val="00DF6A15"/>
    <w:rsid w:val="00DF7382"/>
    <w:rsid w:val="00DF7DDA"/>
    <w:rsid w:val="00E00244"/>
    <w:rsid w:val="00E00453"/>
    <w:rsid w:val="00E00578"/>
    <w:rsid w:val="00E008BD"/>
    <w:rsid w:val="00E011F1"/>
    <w:rsid w:val="00E02294"/>
    <w:rsid w:val="00E025B6"/>
    <w:rsid w:val="00E02B70"/>
    <w:rsid w:val="00E043C9"/>
    <w:rsid w:val="00E0441E"/>
    <w:rsid w:val="00E054C4"/>
    <w:rsid w:val="00E062A8"/>
    <w:rsid w:val="00E068C9"/>
    <w:rsid w:val="00E07F35"/>
    <w:rsid w:val="00E10A22"/>
    <w:rsid w:val="00E118F5"/>
    <w:rsid w:val="00E122E9"/>
    <w:rsid w:val="00E1467E"/>
    <w:rsid w:val="00E14F3C"/>
    <w:rsid w:val="00E16035"/>
    <w:rsid w:val="00E16153"/>
    <w:rsid w:val="00E163EF"/>
    <w:rsid w:val="00E2013C"/>
    <w:rsid w:val="00E20CAD"/>
    <w:rsid w:val="00E21011"/>
    <w:rsid w:val="00E215C2"/>
    <w:rsid w:val="00E21704"/>
    <w:rsid w:val="00E21D2F"/>
    <w:rsid w:val="00E22DE3"/>
    <w:rsid w:val="00E230AC"/>
    <w:rsid w:val="00E23888"/>
    <w:rsid w:val="00E25FF8"/>
    <w:rsid w:val="00E31327"/>
    <w:rsid w:val="00E32004"/>
    <w:rsid w:val="00E329DE"/>
    <w:rsid w:val="00E33017"/>
    <w:rsid w:val="00E333A9"/>
    <w:rsid w:val="00E33DC4"/>
    <w:rsid w:val="00E3525E"/>
    <w:rsid w:val="00E35F30"/>
    <w:rsid w:val="00E36125"/>
    <w:rsid w:val="00E36609"/>
    <w:rsid w:val="00E376B3"/>
    <w:rsid w:val="00E40140"/>
    <w:rsid w:val="00E401E3"/>
    <w:rsid w:val="00E41CCF"/>
    <w:rsid w:val="00E41F51"/>
    <w:rsid w:val="00E43520"/>
    <w:rsid w:val="00E44C25"/>
    <w:rsid w:val="00E455DE"/>
    <w:rsid w:val="00E46181"/>
    <w:rsid w:val="00E4645C"/>
    <w:rsid w:val="00E46520"/>
    <w:rsid w:val="00E46650"/>
    <w:rsid w:val="00E46F95"/>
    <w:rsid w:val="00E47731"/>
    <w:rsid w:val="00E50598"/>
    <w:rsid w:val="00E52B9F"/>
    <w:rsid w:val="00E5304D"/>
    <w:rsid w:val="00E539DA"/>
    <w:rsid w:val="00E53D44"/>
    <w:rsid w:val="00E53E8D"/>
    <w:rsid w:val="00E55E06"/>
    <w:rsid w:val="00E560D2"/>
    <w:rsid w:val="00E561E3"/>
    <w:rsid w:val="00E5773D"/>
    <w:rsid w:val="00E57BE1"/>
    <w:rsid w:val="00E609CD"/>
    <w:rsid w:val="00E6211F"/>
    <w:rsid w:val="00E6225B"/>
    <w:rsid w:val="00E625BC"/>
    <w:rsid w:val="00E6294F"/>
    <w:rsid w:val="00E62AFE"/>
    <w:rsid w:val="00E631B8"/>
    <w:rsid w:val="00E6340D"/>
    <w:rsid w:val="00E6354C"/>
    <w:rsid w:val="00E642D9"/>
    <w:rsid w:val="00E64F50"/>
    <w:rsid w:val="00E65B66"/>
    <w:rsid w:val="00E65C97"/>
    <w:rsid w:val="00E66C39"/>
    <w:rsid w:val="00E70358"/>
    <w:rsid w:val="00E70F7C"/>
    <w:rsid w:val="00E71E36"/>
    <w:rsid w:val="00E72EBC"/>
    <w:rsid w:val="00E747D4"/>
    <w:rsid w:val="00E75DA9"/>
    <w:rsid w:val="00E804C7"/>
    <w:rsid w:val="00E805C0"/>
    <w:rsid w:val="00E857F0"/>
    <w:rsid w:val="00E85957"/>
    <w:rsid w:val="00E85D5D"/>
    <w:rsid w:val="00E87513"/>
    <w:rsid w:val="00E87B24"/>
    <w:rsid w:val="00E87CE2"/>
    <w:rsid w:val="00E90A29"/>
    <w:rsid w:val="00E90B35"/>
    <w:rsid w:val="00E90F80"/>
    <w:rsid w:val="00E91393"/>
    <w:rsid w:val="00E93B78"/>
    <w:rsid w:val="00E9439E"/>
    <w:rsid w:val="00E9499C"/>
    <w:rsid w:val="00E9589F"/>
    <w:rsid w:val="00E96525"/>
    <w:rsid w:val="00E9757B"/>
    <w:rsid w:val="00E97C9B"/>
    <w:rsid w:val="00EA0892"/>
    <w:rsid w:val="00EA08EF"/>
    <w:rsid w:val="00EA105A"/>
    <w:rsid w:val="00EA276E"/>
    <w:rsid w:val="00EA37D8"/>
    <w:rsid w:val="00EA431D"/>
    <w:rsid w:val="00EA54D1"/>
    <w:rsid w:val="00EA7B9A"/>
    <w:rsid w:val="00EB0FD6"/>
    <w:rsid w:val="00EB2734"/>
    <w:rsid w:val="00EB340F"/>
    <w:rsid w:val="00EB3513"/>
    <w:rsid w:val="00EB35AF"/>
    <w:rsid w:val="00EB49DE"/>
    <w:rsid w:val="00EB5667"/>
    <w:rsid w:val="00EB5C46"/>
    <w:rsid w:val="00EB617B"/>
    <w:rsid w:val="00EB68F2"/>
    <w:rsid w:val="00EB76BB"/>
    <w:rsid w:val="00EB7FD8"/>
    <w:rsid w:val="00EC17B6"/>
    <w:rsid w:val="00EC2468"/>
    <w:rsid w:val="00EC3532"/>
    <w:rsid w:val="00EC46E2"/>
    <w:rsid w:val="00EC4B44"/>
    <w:rsid w:val="00EC4DC6"/>
    <w:rsid w:val="00EC565B"/>
    <w:rsid w:val="00EC58FA"/>
    <w:rsid w:val="00EC64E5"/>
    <w:rsid w:val="00ED0D00"/>
    <w:rsid w:val="00ED138D"/>
    <w:rsid w:val="00ED1A9E"/>
    <w:rsid w:val="00ED2309"/>
    <w:rsid w:val="00ED2587"/>
    <w:rsid w:val="00ED2BDC"/>
    <w:rsid w:val="00ED310C"/>
    <w:rsid w:val="00ED468B"/>
    <w:rsid w:val="00ED5909"/>
    <w:rsid w:val="00ED6843"/>
    <w:rsid w:val="00EE015A"/>
    <w:rsid w:val="00EE064F"/>
    <w:rsid w:val="00EE0BC9"/>
    <w:rsid w:val="00EE1AF8"/>
    <w:rsid w:val="00EE1EE4"/>
    <w:rsid w:val="00EE27ED"/>
    <w:rsid w:val="00EE380C"/>
    <w:rsid w:val="00EE4468"/>
    <w:rsid w:val="00EE4F37"/>
    <w:rsid w:val="00EE52B9"/>
    <w:rsid w:val="00EE5BC6"/>
    <w:rsid w:val="00EE7939"/>
    <w:rsid w:val="00EF04A9"/>
    <w:rsid w:val="00EF0682"/>
    <w:rsid w:val="00EF0FA0"/>
    <w:rsid w:val="00EF1F6B"/>
    <w:rsid w:val="00EF2BDB"/>
    <w:rsid w:val="00EF2C8B"/>
    <w:rsid w:val="00EF3217"/>
    <w:rsid w:val="00EF3CDD"/>
    <w:rsid w:val="00EF412E"/>
    <w:rsid w:val="00EF47E9"/>
    <w:rsid w:val="00EF4821"/>
    <w:rsid w:val="00EF4B43"/>
    <w:rsid w:val="00EF4FE7"/>
    <w:rsid w:val="00EF5EA4"/>
    <w:rsid w:val="00EF60F0"/>
    <w:rsid w:val="00EF71A8"/>
    <w:rsid w:val="00EF7BBC"/>
    <w:rsid w:val="00F003C5"/>
    <w:rsid w:val="00F00BCE"/>
    <w:rsid w:val="00F00D40"/>
    <w:rsid w:val="00F01925"/>
    <w:rsid w:val="00F01992"/>
    <w:rsid w:val="00F028EC"/>
    <w:rsid w:val="00F03F9F"/>
    <w:rsid w:val="00F04722"/>
    <w:rsid w:val="00F04C84"/>
    <w:rsid w:val="00F04F9D"/>
    <w:rsid w:val="00F051FF"/>
    <w:rsid w:val="00F05DDD"/>
    <w:rsid w:val="00F0630C"/>
    <w:rsid w:val="00F0716A"/>
    <w:rsid w:val="00F075EB"/>
    <w:rsid w:val="00F10CD8"/>
    <w:rsid w:val="00F10CE7"/>
    <w:rsid w:val="00F11BF2"/>
    <w:rsid w:val="00F1200C"/>
    <w:rsid w:val="00F1261F"/>
    <w:rsid w:val="00F1305F"/>
    <w:rsid w:val="00F13469"/>
    <w:rsid w:val="00F13842"/>
    <w:rsid w:val="00F13C69"/>
    <w:rsid w:val="00F14C6B"/>
    <w:rsid w:val="00F1772C"/>
    <w:rsid w:val="00F20989"/>
    <w:rsid w:val="00F20BB5"/>
    <w:rsid w:val="00F20CF2"/>
    <w:rsid w:val="00F21B8D"/>
    <w:rsid w:val="00F22C59"/>
    <w:rsid w:val="00F23185"/>
    <w:rsid w:val="00F24177"/>
    <w:rsid w:val="00F2503C"/>
    <w:rsid w:val="00F254DA"/>
    <w:rsid w:val="00F2589D"/>
    <w:rsid w:val="00F259A8"/>
    <w:rsid w:val="00F25E62"/>
    <w:rsid w:val="00F26316"/>
    <w:rsid w:val="00F2736D"/>
    <w:rsid w:val="00F27AFB"/>
    <w:rsid w:val="00F304A6"/>
    <w:rsid w:val="00F31BE8"/>
    <w:rsid w:val="00F32377"/>
    <w:rsid w:val="00F323C5"/>
    <w:rsid w:val="00F32E22"/>
    <w:rsid w:val="00F333D9"/>
    <w:rsid w:val="00F33D1D"/>
    <w:rsid w:val="00F341C3"/>
    <w:rsid w:val="00F3436C"/>
    <w:rsid w:val="00F351D6"/>
    <w:rsid w:val="00F35959"/>
    <w:rsid w:val="00F37ED9"/>
    <w:rsid w:val="00F41AB5"/>
    <w:rsid w:val="00F4281B"/>
    <w:rsid w:val="00F42F15"/>
    <w:rsid w:val="00F44F3C"/>
    <w:rsid w:val="00F45339"/>
    <w:rsid w:val="00F45CAC"/>
    <w:rsid w:val="00F468B7"/>
    <w:rsid w:val="00F516FE"/>
    <w:rsid w:val="00F51C0B"/>
    <w:rsid w:val="00F51FA6"/>
    <w:rsid w:val="00F521D4"/>
    <w:rsid w:val="00F529F5"/>
    <w:rsid w:val="00F54BFE"/>
    <w:rsid w:val="00F567BA"/>
    <w:rsid w:val="00F60131"/>
    <w:rsid w:val="00F60BDA"/>
    <w:rsid w:val="00F60F15"/>
    <w:rsid w:val="00F61C98"/>
    <w:rsid w:val="00F62166"/>
    <w:rsid w:val="00F626C3"/>
    <w:rsid w:val="00F63D7C"/>
    <w:rsid w:val="00F64E08"/>
    <w:rsid w:val="00F653D4"/>
    <w:rsid w:val="00F67E44"/>
    <w:rsid w:val="00F700A2"/>
    <w:rsid w:val="00F7020D"/>
    <w:rsid w:val="00F706B1"/>
    <w:rsid w:val="00F72B59"/>
    <w:rsid w:val="00F73BFB"/>
    <w:rsid w:val="00F74331"/>
    <w:rsid w:val="00F74B1F"/>
    <w:rsid w:val="00F75150"/>
    <w:rsid w:val="00F7547F"/>
    <w:rsid w:val="00F772F9"/>
    <w:rsid w:val="00F80007"/>
    <w:rsid w:val="00F8074A"/>
    <w:rsid w:val="00F818E4"/>
    <w:rsid w:val="00F81913"/>
    <w:rsid w:val="00F82E5E"/>
    <w:rsid w:val="00F84358"/>
    <w:rsid w:val="00F848E1"/>
    <w:rsid w:val="00F84925"/>
    <w:rsid w:val="00F8495D"/>
    <w:rsid w:val="00F84B24"/>
    <w:rsid w:val="00F87F19"/>
    <w:rsid w:val="00F90129"/>
    <w:rsid w:val="00F90951"/>
    <w:rsid w:val="00F90ED9"/>
    <w:rsid w:val="00F9209C"/>
    <w:rsid w:val="00F920D4"/>
    <w:rsid w:val="00F921D3"/>
    <w:rsid w:val="00F927DC"/>
    <w:rsid w:val="00F92A4C"/>
    <w:rsid w:val="00F936E0"/>
    <w:rsid w:val="00F937CF"/>
    <w:rsid w:val="00F93BD4"/>
    <w:rsid w:val="00F93C8B"/>
    <w:rsid w:val="00F94AE5"/>
    <w:rsid w:val="00F94F9C"/>
    <w:rsid w:val="00F95610"/>
    <w:rsid w:val="00F95850"/>
    <w:rsid w:val="00F95A36"/>
    <w:rsid w:val="00F95CC3"/>
    <w:rsid w:val="00F96393"/>
    <w:rsid w:val="00F96CCB"/>
    <w:rsid w:val="00F97302"/>
    <w:rsid w:val="00F975B3"/>
    <w:rsid w:val="00FA020F"/>
    <w:rsid w:val="00FA0390"/>
    <w:rsid w:val="00FA0981"/>
    <w:rsid w:val="00FA126D"/>
    <w:rsid w:val="00FA1944"/>
    <w:rsid w:val="00FA3B18"/>
    <w:rsid w:val="00FA4861"/>
    <w:rsid w:val="00FA5A92"/>
    <w:rsid w:val="00FA5EF5"/>
    <w:rsid w:val="00FA646D"/>
    <w:rsid w:val="00FA6C0F"/>
    <w:rsid w:val="00FA79B1"/>
    <w:rsid w:val="00FB01C5"/>
    <w:rsid w:val="00FB02CC"/>
    <w:rsid w:val="00FB2B62"/>
    <w:rsid w:val="00FB33CC"/>
    <w:rsid w:val="00FB3682"/>
    <w:rsid w:val="00FB4491"/>
    <w:rsid w:val="00FB47DE"/>
    <w:rsid w:val="00FB4E3E"/>
    <w:rsid w:val="00FB5636"/>
    <w:rsid w:val="00FB57B2"/>
    <w:rsid w:val="00FB5B59"/>
    <w:rsid w:val="00FB66AC"/>
    <w:rsid w:val="00FB74C6"/>
    <w:rsid w:val="00FB7E2F"/>
    <w:rsid w:val="00FC0298"/>
    <w:rsid w:val="00FC1120"/>
    <w:rsid w:val="00FC1205"/>
    <w:rsid w:val="00FC2472"/>
    <w:rsid w:val="00FC26F5"/>
    <w:rsid w:val="00FC2CF6"/>
    <w:rsid w:val="00FC2EB9"/>
    <w:rsid w:val="00FC6C1A"/>
    <w:rsid w:val="00FD140B"/>
    <w:rsid w:val="00FD1C67"/>
    <w:rsid w:val="00FD22DC"/>
    <w:rsid w:val="00FD2D17"/>
    <w:rsid w:val="00FD2DA5"/>
    <w:rsid w:val="00FD34FC"/>
    <w:rsid w:val="00FD48A0"/>
    <w:rsid w:val="00FD5794"/>
    <w:rsid w:val="00FD644D"/>
    <w:rsid w:val="00FD64F1"/>
    <w:rsid w:val="00FD6C7E"/>
    <w:rsid w:val="00FE0837"/>
    <w:rsid w:val="00FE0C9B"/>
    <w:rsid w:val="00FE10D6"/>
    <w:rsid w:val="00FE1DF5"/>
    <w:rsid w:val="00FE243A"/>
    <w:rsid w:val="00FE26B8"/>
    <w:rsid w:val="00FE3231"/>
    <w:rsid w:val="00FE3C65"/>
    <w:rsid w:val="00FE49DE"/>
    <w:rsid w:val="00FE5912"/>
    <w:rsid w:val="00FE5E97"/>
    <w:rsid w:val="00FE708A"/>
    <w:rsid w:val="00FF01A1"/>
    <w:rsid w:val="00FF0485"/>
    <w:rsid w:val="00FF094B"/>
    <w:rsid w:val="00FF0EB1"/>
    <w:rsid w:val="00FF1067"/>
    <w:rsid w:val="00FF12CB"/>
    <w:rsid w:val="00FF305B"/>
    <w:rsid w:val="00FF4DF8"/>
    <w:rsid w:val="00FF6435"/>
    <w:rsid w:val="00FF646A"/>
    <w:rsid w:val="00FF730A"/>
    <w:rsid w:val="00FF7A1F"/>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B1495"/>
  <w15:docId w15:val="{2F412EE5-CFA4-41AC-8B4F-A7B6F3A4F5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note text"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Followed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04F57"/>
    <w:pPr>
      <w:spacing w:after="240"/>
    </w:pPr>
    <w:rPr>
      <w:rFonts w:ascii="Gill Sans MT" w:eastAsia="Times New Roman" w:hAnsi="Gill Sans MT"/>
      <w:sz w:val="26"/>
      <w:szCs w:val="24"/>
      <w:lang w:eastAsia="en-US"/>
    </w:rPr>
  </w:style>
  <w:style w:type="paragraph" w:styleId="Heading1">
    <w:name w:val="heading 1"/>
    <w:basedOn w:val="Normal"/>
    <w:next w:val="Normal"/>
    <w:link w:val="Heading1Char"/>
    <w:qFormat/>
    <w:rsid w:val="001F1901"/>
    <w:pPr>
      <w:spacing w:after="0"/>
      <w:outlineLvl w:val="0"/>
    </w:pPr>
    <w:rPr>
      <w:rFonts w:ascii="Rockwell" w:hAnsi="Rockwell"/>
      <w:b/>
      <w:color w:val="CC3399"/>
      <w:sz w:val="56"/>
      <w:szCs w:val="56"/>
    </w:rPr>
  </w:style>
  <w:style w:type="paragraph" w:styleId="Heading2">
    <w:name w:val="heading 2"/>
    <w:basedOn w:val="Normal"/>
    <w:next w:val="Normal"/>
    <w:link w:val="Heading2Char"/>
    <w:qFormat/>
    <w:rsid w:val="001F1901"/>
    <w:pPr>
      <w:spacing w:after="0"/>
      <w:outlineLvl w:val="1"/>
    </w:pPr>
    <w:rPr>
      <w:rFonts w:ascii="Rockwell" w:hAnsi="Rockwell"/>
      <w:b/>
      <w:color w:val="CC3399"/>
      <w:sz w:val="32"/>
      <w:szCs w:val="32"/>
    </w:rPr>
  </w:style>
  <w:style w:type="paragraph" w:styleId="Heading3">
    <w:name w:val="heading 3"/>
    <w:basedOn w:val="Normal"/>
    <w:next w:val="Normal"/>
    <w:link w:val="Heading3Char"/>
    <w:qFormat/>
    <w:rsid w:val="001F1901"/>
    <w:pPr>
      <w:spacing w:after="0"/>
      <w:outlineLvl w:val="2"/>
    </w:pPr>
    <w:rPr>
      <w:rFonts w:ascii="Rockwell" w:hAnsi="Rockwell"/>
      <w:b/>
      <w:color w:val="CC3399"/>
      <w:sz w:val="28"/>
      <w:szCs w:val="28"/>
    </w:rPr>
  </w:style>
  <w:style w:type="paragraph" w:styleId="Heading4">
    <w:name w:val="heading 4"/>
    <w:basedOn w:val="Normal"/>
    <w:next w:val="Normal"/>
    <w:qFormat/>
    <w:rsid w:val="00B14618"/>
    <w:pPr>
      <w:keepNext/>
      <w:spacing w:after="0"/>
      <w:outlineLvl w:val="3"/>
    </w:pPr>
    <w:rPr>
      <w:b/>
      <w:bCs/>
      <w:color w:val="333333"/>
    </w:rPr>
  </w:style>
  <w:style w:type="paragraph" w:styleId="Heading5">
    <w:name w:val="heading 5"/>
    <w:basedOn w:val="Normal"/>
    <w:next w:val="Normal"/>
    <w:qFormat/>
    <w:rsid w:val="00B14618"/>
    <w:pPr>
      <w:spacing w:after="0"/>
      <w:outlineLvl w:val="4"/>
    </w:pPr>
    <w:rPr>
      <w:b/>
      <w:bCs/>
      <w:i/>
      <w:iCs/>
      <w:szCs w:val="26"/>
    </w:rPr>
  </w:style>
  <w:style w:type="paragraph" w:styleId="Heading6">
    <w:name w:val="heading 6"/>
    <w:basedOn w:val="Normal"/>
    <w:next w:val="Normal"/>
    <w:qFormat/>
    <w:rsid w:val="00B14618"/>
    <w:pPr>
      <w:spacing w:after="0"/>
      <w:outlineLvl w:val="5"/>
    </w:pPr>
    <w:rPr>
      <w:b/>
      <w:bCs/>
      <w:i/>
      <w:sz w:val="22"/>
      <w:szCs w:val="22"/>
    </w:rPr>
  </w:style>
  <w:style w:type="paragraph" w:styleId="Heading7">
    <w:name w:val="heading 7"/>
    <w:basedOn w:val="Normal"/>
    <w:next w:val="Normal"/>
    <w:qFormat/>
    <w:rsid w:val="00B14618"/>
    <w:pPr>
      <w:keepNext/>
      <w:spacing w:after="0"/>
      <w:jc w:val="center"/>
      <w:outlineLvl w:val="6"/>
    </w:pPr>
    <w:rPr>
      <w:rFonts w:cs="Arial"/>
      <w:b/>
      <w:sz w:val="22"/>
      <w:szCs w:val="40"/>
    </w:rPr>
  </w:style>
  <w:style w:type="paragraph" w:styleId="Heading8">
    <w:name w:val="heading 8"/>
    <w:basedOn w:val="Normal"/>
    <w:next w:val="Normal"/>
    <w:qFormat/>
    <w:rsid w:val="00B14618"/>
    <w:pPr>
      <w:keepNext/>
      <w:spacing w:after="0"/>
      <w:outlineLvl w:val="7"/>
    </w:pPr>
    <w:rPr>
      <w:b/>
      <w:i/>
      <w:sz w:val="22"/>
    </w:rPr>
  </w:style>
  <w:style w:type="paragraph" w:styleId="Heading9">
    <w:name w:val="heading 9"/>
    <w:basedOn w:val="Normal"/>
    <w:next w:val="Normal"/>
    <w:qFormat/>
    <w:rsid w:val="00B14618"/>
    <w:pPr>
      <w:keepNext/>
      <w:spacing w:after="0"/>
      <w:outlineLvl w:val="8"/>
    </w:pPr>
    <w:rPr>
      <w:rFonts w:cs="Arial"/>
      <w:i/>
      <w:sz w:val="2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breviation">
    <w:name w:val="Abbreviation"/>
    <w:rPr>
      <w:u w:val="dottedHeavy"/>
    </w:rPr>
  </w:style>
  <w:style w:type="character" w:customStyle="1" w:styleId="Acronym">
    <w:name w:val="Acronym"/>
    <w:rPr>
      <w:u w:val="dotted"/>
    </w:rPr>
  </w:style>
  <w:style w:type="paragraph" w:styleId="CommentText">
    <w:name w:val="annotation text"/>
    <w:basedOn w:val="Normal"/>
    <w:link w:val="CommentTextChar"/>
    <w:semiHidden/>
    <w:rPr>
      <w:rFonts w:ascii="Arial" w:hAnsi="Arial"/>
      <w:sz w:val="20"/>
      <w:lang w:val="x-none"/>
    </w:rPr>
  </w:style>
  <w:style w:type="character" w:customStyle="1" w:styleId="CommentTextChar">
    <w:name w:val="Comment Text Char"/>
    <w:link w:val="CommentText"/>
    <w:semiHidden/>
    <w:rsid w:val="00181FE6"/>
    <w:rPr>
      <w:rFonts w:ascii="Arial" w:eastAsia="Times New Roman" w:hAnsi="Arial"/>
      <w:szCs w:val="24"/>
      <w:lang w:eastAsia="en-US"/>
    </w:rPr>
  </w:style>
  <w:style w:type="paragraph" w:customStyle="1" w:styleId="BlockQuote">
    <w:name w:val="Block Quote"/>
    <w:basedOn w:val="Normal"/>
    <w:qFormat/>
    <w:rsid w:val="00B14618"/>
    <w:pPr>
      <w:ind w:left="720" w:right="720"/>
    </w:pPr>
  </w:style>
  <w:style w:type="paragraph" w:styleId="BlockText">
    <w:name w:val="Block Text"/>
    <w:basedOn w:val="Normal"/>
    <w:pPr>
      <w:spacing w:after="120"/>
      <w:ind w:left="1440" w:right="1440"/>
    </w:pPr>
  </w:style>
  <w:style w:type="paragraph" w:styleId="TOC1">
    <w:name w:val="toc 1"/>
    <w:basedOn w:val="Normal"/>
    <w:next w:val="Normal"/>
    <w:autoRedefine/>
    <w:uiPriority w:val="39"/>
    <w:qFormat/>
    <w:rsid w:val="007A5ACC"/>
    <w:pPr>
      <w:keepNext/>
      <w:keepLines/>
      <w:tabs>
        <w:tab w:val="right" w:leader="dot" w:pos="8714"/>
      </w:tabs>
      <w:spacing w:before="120" w:after="60"/>
    </w:pPr>
    <w:rPr>
      <w:b/>
    </w:rPr>
  </w:style>
  <w:style w:type="paragraph" w:styleId="BodyTextIndent">
    <w:name w:val="Body Text Indent"/>
    <w:basedOn w:val="Normal"/>
    <w:link w:val="BodyTextIndentChar"/>
    <w:pPr>
      <w:spacing w:after="120"/>
      <w:ind w:left="283"/>
    </w:pPr>
    <w:rPr>
      <w:rFonts w:ascii="Arial" w:hAnsi="Arial"/>
      <w:sz w:val="24"/>
      <w:lang w:val="x-none"/>
    </w:rPr>
  </w:style>
  <w:style w:type="character" w:customStyle="1" w:styleId="BodyTextIndentChar">
    <w:name w:val="Body Text Indent Char"/>
    <w:link w:val="BodyTextIndent"/>
    <w:rsid w:val="00181FE6"/>
    <w:rPr>
      <w:rFonts w:ascii="Arial" w:eastAsia="Times New Roman" w:hAnsi="Arial"/>
      <w:sz w:val="24"/>
      <w:szCs w:val="24"/>
      <w:lang w:eastAsia="en-US"/>
    </w:rPr>
  </w:style>
  <w:style w:type="paragraph" w:styleId="Caption">
    <w:name w:val="caption"/>
    <w:basedOn w:val="Normal"/>
    <w:next w:val="Normal"/>
    <w:qFormat/>
    <w:rsid w:val="00B14618"/>
    <w:pPr>
      <w:spacing w:after="120"/>
      <w:jc w:val="center"/>
    </w:pPr>
    <w:rPr>
      <w:b/>
      <w:bCs/>
    </w:rPr>
  </w:style>
  <w:style w:type="paragraph" w:styleId="Date">
    <w:name w:val="Date"/>
    <w:basedOn w:val="Normal"/>
    <w:next w:val="Normal"/>
    <w:rPr>
      <w:i/>
    </w:rPr>
  </w:style>
  <w:style w:type="paragraph" w:customStyle="1" w:styleId="DefinitionDescription">
    <w:name w:val="Definition Description"/>
    <w:basedOn w:val="Normal"/>
    <w:next w:val="Normal"/>
    <w:pPr>
      <w:ind w:left="1077"/>
    </w:pPr>
  </w:style>
  <w:style w:type="paragraph" w:customStyle="1" w:styleId="DefinitionTerm">
    <w:name w:val="Definition Term"/>
    <w:basedOn w:val="Normal"/>
    <w:next w:val="DefinitionDescription"/>
    <w:rPr>
      <w:b/>
    </w:rPr>
  </w:style>
  <w:style w:type="paragraph" w:styleId="DocumentMap">
    <w:name w:val="Document Map"/>
    <w:basedOn w:val="Normal"/>
    <w:semiHidden/>
    <w:pPr>
      <w:shd w:val="clear" w:color="auto" w:fill="000080"/>
    </w:pPr>
    <w:rPr>
      <w:rFonts w:ascii="Tahoma" w:hAnsi="Tahoma" w:cs="Tahoma"/>
      <w:sz w:val="20"/>
    </w:rPr>
  </w:style>
  <w:style w:type="character" w:styleId="Emphasis">
    <w:name w:val="Emphasis"/>
    <w:qFormat/>
    <w:rsid w:val="00B14618"/>
    <w:rPr>
      <w:rFonts w:ascii="Gill Sans MT" w:hAnsi="Gill Sans MT"/>
      <w:i/>
    </w:rPr>
  </w:style>
  <w:style w:type="character" w:styleId="FollowedHyperlink">
    <w:name w:val="FollowedHyperlink"/>
    <w:uiPriority w:val="99"/>
    <w:rPr>
      <w:color w:val="800080"/>
      <w:u w:val="single"/>
    </w:rPr>
  </w:style>
  <w:style w:type="paragraph" w:styleId="Footer">
    <w:name w:val="footer"/>
    <w:basedOn w:val="Normal"/>
    <w:link w:val="FooterChar"/>
    <w:uiPriority w:val="99"/>
    <w:pPr>
      <w:tabs>
        <w:tab w:val="center" w:pos="4153"/>
        <w:tab w:val="right" w:pos="8306"/>
      </w:tabs>
      <w:spacing w:before="60" w:after="60"/>
    </w:pPr>
    <w:rPr>
      <w:color w:val="323232"/>
      <w:sz w:val="20"/>
      <w:szCs w:val="20"/>
    </w:rPr>
  </w:style>
  <w:style w:type="paragraph" w:customStyle="1" w:styleId="GraphCaption">
    <w:name w:val="GraphCaption"/>
    <w:basedOn w:val="Normal"/>
    <w:rsid w:val="00B76547"/>
    <w:pPr>
      <w:keepNext/>
      <w:keepLines/>
      <w:spacing w:after="120"/>
      <w:jc w:val="center"/>
    </w:pPr>
    <w:rPr>
      <w:b/>
    </w:rPr>
  </w:style>
  <w:style w:type="paragraph" w:styleId="Header">
    <w:name w:val="header"/>
    <w:basedOn w:val="Normal"/>
    <w:link w:val="HeaderChar"/>
    <w:rsid w:val="00F351D6"/>
    <w:pPr>
      <w:tabs>
        <w:tab w:val="center" w:pos="4320"/>
        <w:tab w:val="right" w:pos="8640"/>
      </w:tabs>
      <w:spacing w:after="120"/>
    </w:pPr>
    <w:rPr>
      <w:color w:val="333333"/>
      <w:sz w:val="22"/>
      <w:szCs w:val="20"/>
    </w:rPr>
  </w:style>
  <w:style w:type="character" w:styleId="Hyperlink">
    <w:name w:val="Hyperlink"/>
    <w:uiPriority w:val="99"/>
    <w:rPr>
      <w:color w:val="0000FF"/>
      <w:u w:val="single"/>
    </w:rPr>
  </w:style>
  <w:style w:type="paragraph" w:styleId="ListBullet">
    <w:name w:val="List Bullet"/>
    <w:aliases w:val="List Bullet Char,List Bullet Char Char Char Char Char"/>
    <w:basedOn w:val="Normal"/>
    <w:pPr>
      <w:numPr>
        <w:numId w:val="1"/>
      </w:numPr>
      <w:spacing w:before="120" w:after="120"/>
    </w:pPr>
  </w:style>
  <w:style w:type="paragraph" w:styleId="ListBullet2">
    <w:name w:val="List Bullet 2"/>
    <w:basedOn w:val="Normal"/>
    <w:pPr>
      <w:numPr>
        <w:numId w:val="2"/>
      </w:numPr>
      <w:spacing w:before="60" w:after="60"/>
    </w:pPr>
  </w:style>
  <w:style w:type="paragraph" w:styleId="ListBullet3">
    <w:name w:val="List Bullet 3"/>
    <w:basedOn w:val="Normal"/>
    <w:pPr>
      <w:numPr>
        <w:numId w:val="3"/>
      </w:numPr>
      <w:spacing w:before="60" w:after="60"/>
    </w:pPr>
  </w:style>
  <w:style w:type="paragraph" w:styleId="ListContinue">
    <w:name w:val="List Continue"/>
    <w:basedOn w:val="Normal"/>
    <w:pPr>
      <w:spacing w:before="120" w:after="120"/>
      <w:ind w:left="357"/>
    </w:pPr>
  </w:style>
  <w:style w:type="paragraph" w:styleId="ListContinue2">
    <w:name w:val="List Continue 2"/>
    <w:basedOn w:val="Normal"/>
    <w:pPr>
      <w:spacing w:before="60" w:after="60"/>
      <w:ind w:left="641"/>
    </w:pPr>
  </w:style>
  <w:style w:type="paragraph" w:styleId="ListContinue3">
    <w:name w:val="List Continue 3"/>
    <w:basedOn w:val="Normal"/>
    <w:pPr>
      <w:spacing w:before="60" w:after="60"/>
      <w:ind w:left="924"/>
    </w:pPr>
  </w:style>
  <w:style w:type="paragraph" w:styleId="ListNumber">
    <w:name w:val="List Number"/>
    <w:basedOn w:val="Normal"/>
    <w:pPr>
      <w:numPr>
        <w:numId w:val="4"/>
      </w:numPr>
      <w:tabs>
        <w:tab w:val="clear" w:pos="360"/>
      </w:tabs>
      <w:spacing w:after="120"/>
    </w:pPr>
  </w:style>
  <w:style w:type="paragraph" w:styleId="ListNumber2">
    <w:name w:val="List Number 2"/>
    <w:basedOn w:val="Normal"/>
    <w:pPr>
      <w:numPr>
        <w:numId w:val="5"/>
      </w:numPr>
      <w:tabs>
        <w:tab w:val="clear" w:pos="641"/>
        <w:tab w:val="num" w:pos="643"/>
      </w:tabs>
      <w:spacing w:before="60" w:after="60"/>
    </w:pPr>
  </w:style>
  <w:style w:type="paragraph" w:styleId="ListNumber3">
    <w:name w:val="List Number 3"/>
    <w:basedOn w:val="Normal"/>
    <w:pPr>
      <w:numPr>
        <w:numId w:val="6"/>
      </w:numPr>
      <w:tabs>
        <w:tab w:val="clear" w:pos="926"/>
        <w:tab w:val="num" w:pos="360"/>
      </w:tabs>
      <w:spacing w:before="60" w:after="60"/>
      <w:ind w:left="357" w:hanging="357"/>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60" w:after="60"/>
    </w:pPr>
    <w:rPr>
      <w:rFonts w:ascii="Courier New" w:eastAsia="Times New Roman" w:hAnsi="Courier New" w:cs="Courier New"/>
      <w:lang w:eastAsia="en-US"/>
    </w:rPr>
  </w:style>
  <w:style w:type="paragraph" w:styleId="NormalIndent">
    <w:name w:val="Normal Indent"/>
    <w:basedOn w:val="Normal"/>
    <w:pPr>
      <w:ind w:left="720"/>
    </w:pPr>
  </w:style>
  <w:style w:type="paragraph" w:customStyle="1" w:styleId="Note">
    <w:name w:val="Note"/>
    <w:basedOn w:val="Normal"/>
    <w:rsid w:val="00B76547"/>
    <w:pPr>
      <w:keepLines/>
      <w:pBdr>
        <w:top w:val="single" w:sz="12" w:space="1" w:color="808080"/>
        <w:bottom w:val="single" w:sz="12" w:space="1" w:color="808080"/>
      </w:pBdr>
      <w:spacing w:before="120"/>
      <w:jc w:val="center"/>
    </w:pPr>
    <w:rPr>
      <w:sz w:val="22"/>
      <w:lang w:val="en-GB"/>
    </w:rPr>
  </w:style>
  <w:style w:type="character" w:styleId="PageNumber">
    <w:name w:val="page number"/>
    <w:basedOn w:val="DefaultParagraphFont"/>
  </w:style>
  <w:style w:type="character" w:customStyle="1" w:styleId="Quote1">
    <w:name w:val="Quote1"/>
    <w:rPr>
      <w:i/>
    </w:rPr>
  </w:style>
  <w:style w:type="paragraph" w:styleId="Subtitle">
    <w:name w:val="Subtitle"/>
    <w:basedOn w:val="Normal"/>
    <w:next w:val="Normal"/>
    <w:qFormat/>
    <w:pPr>
      <w:jc w:val="center"/>
      <w:outlineLvl w:val="1"/>
    </w:pPr>
    <w:rPr>
      <w:sz w:val="28"/>
    </w:rPr>
  </w:style>
  <w:style w:type="paragraph" w:customStyle="1" w:styleId="TableCell">
    <w:name w:val="Table Cell"/>
    <w:basedOn w:val="Normal"/>
    <w:pPr>
      <w:spacing w:after="0"/>
    </w:pPr>
  </w:style>
  <w:style w:type="paragraph" w:customStyle="1" w:styleId="TableHead">
    <w:name w:val="Table Head"/>
    <w:basedOn w:val="Normal"/>
    <w:next w:val="Normal"/>
    <w:pPr>
      <w:spacing w:after="0"/>
    </w:pPr>
    <w:rPr>
      <w:b/>
    </w:rPr>
  </w:style>
  <w:style w:type="paragraph" w:customStyle="1" w:styleId="TableNote">
    <w:name w:val="Table Note"/>
    <w:basedOn w:val="Normal"/>
    <w:next w:val="Normal"/>
    <w:pPr>
      <w:spacing w:before="120"/>
      <w:jc w:val="center"/>
    </w:pPr>
    <w:rPr>
      <w:sz w:val="20"/>
      <w:szCs w:val="20"/>
    </w:rPr>
  </w:style>
  <w:style w:type="paragraph" w:customStyle="1" w:styleId="TableRowHead">
    <w:name w:val="Table Row Head"/>
    <w:basedOn w:val="Normal"/>
    <w:pPr>
      <w:keepNext/>
      <w:spacing w:after="0"/>
    </w:pPr>
    <w:rPr>
      <w:rFonts w:ascii="Arial Bold" w:hAnsi="Arial Bold"/>
      <w:b/>
    </w:rPr>
  </w:style>
  <w:style w:type="paragraph" w:customStyle="1" w:styleId="TableSummary">
    <w:name w:val="Table Summary"/>
    <w:basedOn w:val="Normal"/>
    <w:next w:val="TableHead"/>
    <w:pPr>
      <w:ind w:left="567" w:right="567"/>
      <w:jc w:val="center"/>
    </w:pPr>
    <w:rPr>
      <w:i/>
    </w:rPr>
  </w:style>
  <w:style w:type="paragraph" w:customStyle="1" w:styleId="TableTitle">
    <w:name w:val="Table Title"/>
    <w:basedOn w:val="Normal"/>
    <w:next w:val="TableSummary"/>
    <w:rsid w:val="00B76547"/>
    <w:pPr>
      <w:keepNext/>
      <w:keepLines/>
      <w:spacing w:after="120"/>
      <w:jc w:val="center"/>
    </w:pPr>
    <w:rPr>
      <w:b/>
    </w:rPr>
  </w:style>
  <w:style w:type="paragraph" w:customStyle="1" w:styleId="TaggedText">
    <w:name w:val="Tagged Text"/>
    <w:basedOn w:val="Normal"/>
    <w:pPr>
      <w:suppressAutoHyphens/>
      <w:spacing w:after="0"/>
    </w:pPr>
    <w:rPr>
      <w:rFonts w:ascii="Courier New" w:hAnsi="Courier New"/>
      <w:color w:val="FF0000"/>
    </w:rPr>
  </w:style>
  <w:style w:type="paragraph" w:styleId="Title">
    <w:name w:val="Title"/>
    <w:basedOn w:val="Normal"/>
    <w:next w:val="Normal"/>
    <w:link w:val="TitleChar"/>
    <w:qFormat/>
    <w:rsid w:val="003B10EC"/>
    <w:pPr>
      <w:spacing w:after="360"/>
      <w:jc w:val="center"/>
      <w:outlineLvl w:val="0"/>
    </w:pPr>
    <w:rPr>
      <w:rFonts w:cs="Arial"/>
      <w:b/>
      <w:bCs/>
      <w:kern w:val="28"/>
      <w:sz w:val="36"/>
      <w:szCs w:val="32"/>
    </w:rPr>
  </w:style>
  <w:style w:type="paragraph" w:customStyle="1" w:styleId="NormalBeforeList">
    <w:name w:val="Normal (Before List)"/>
    <w:basedOn w:val="Normal"/>
    <w:qFormat/>
    <w:rsid w:val="00BA2579"/>
    <w:pPr>
      <w:spacing w:after="120"/>
    </w:pPr>
  </w:style>
  <w:style w:type="paragraph" w:customStyle="1" w:styleId="TableHeadRight">
    <w:name w:val="Table Head Right"/>
    <w:basedOn w:val="TableHead"/>
    <w:pPr>
      <w:jc w:val="right"/>
    </w:pPr>
  </w:style>
  <w:style w:type="paragraph" w:customStyle="1" w:styleId="TableCellLeft">
    <w:name w:val="Table Cell Left"/>
    <w:basedOn w:val="TableCell"/>
  </w:style>
  <w:style w:type="paragraph" w:styleId="FootnoteText">
    <w:name w:val="footnote text"/>
    <w:basedOn w:val="Normal"/>
    <w:link w:val="FootnoteTextChar"/>
    <w:uiPriority w:val="99"/>
    <w:rsid w:val="00287B8E"/>
    <w:pPr>
      <w:spacing w:after="120"/>
    </w:pPr>
    <w:rPr>
      <w:sz w:val="22"/>
      <w:szCs w:val="20"/>
    </w:rPr>
  </w:style>
  <w:style w:type="paragraph" w:styleId="TOC2">
    <w:name w:val="toc 2"/>
    <w:basedOn w:val="Normal"/>
    <w:next w:val="Normal"/>
    <w:autoRedefine/>
    <w:uiPriority w:val="39"/>
    <w:qFormat/>
    <w:rsid w:val="003343F5"/>
    <w:pPr>
      <w:keepLines/>
      <w:tabs>
        <w:tab w:val="right" w:leader="dot" w:pos="8714"/>
      </w:tabs>
      <w:spacing w:after="60"/>
      <w:ind w:left="261"/>
    </w:pPr>
  </w:style>
  <w:style w:type="paragraph" w:customStyle="1" w:styleId="NormalAfterList">
    <w:name w:val="Normal (After List)"/>
    <w:basedOn w:val="Normal"/>
    <w:qFormat/>
    <w:rsid w:val="00C154AE"/>
    <w:pPr>
      <w:spacing w:before="120"/>
    </w:pPr>
  </w:style>
  <w:style w:type="character" w:styleId="FootnoteReference">
    <w:name w:val="footnote reference"/>
    <w:rsid w:val="00287B8E"/>
    <w:rPr>
      <w:rFonts w:ascii="Gill Sans" w:hAnsi="Gill Sans"/>
      <w:sz w:val="22"/>
      <w:vertAlign w:val="superscript"/>
    </w:rPr>
  </w:style>
  <w:style w:type="character" w:styleId="Strong">
    <w:name w:val="Strong"/>
    <w:basedOn w:val="DefaultParagraphFont"/>
    <w:qFormat/>
    <w:rsid w:val="00B14618"/>
    <w:rPr>
      <w:rFonts w:ascii="Gill Sans MT" w:hAnsi="Gill Sans MT"/>
      <w:b/>
      <w:bCs/>
    </w:rPr>
  </w:style>
  <w:style w:type="paragraph" w:styleId="Quote">
    <w:name w:val="Quote"/>
    <w:basedOn w:val="Normal"/>
    <w:next w:val="Normal"/>
    <w:link w:val="QuoteChar"/>
    <w:uiPriority w:val="29"/>
    <w:qFormat/>
    <w:rsid w:val="00B14618"/>
    <w:rPr>
      <w:i/>
      <w:iCs/>
      <w:color w:val="000000"/>
    </w:rPr>
  </w:style>
  <w:style w:type="character" w:customStyle="1" w:styleId="QuoteChar">
    <w:name w:val="Quote Char"/>
    <w:basedOn w:val="DefaultParagraphFont"/>
    <w:link w:val="Quote"/>
    <w:uiPriority w:val="29"/>
    <w:rsid w:val="00B14618"/>
    <w:rPr>
      <w:rFonts w:ascii="Gill Sans MT" w:eastAsia="Times New Roman" w:hAnsi="Gill Sans MT"/>
      <w:i/>
      <w:iCs/>
      <w:color w:val="000000"/>
      <w:sz w:val="26"/>
      <w:szCs w:val="24"/>
      <w:lang w:eastAsia="en-US"/>
    </w:rPr>
  </w:style>
  <w:style w:type="paragraph" w:styleId="IntenseQuote">
    <w:name w:val="Intense Quote"/>
    <w:basedOn w:val="Normal"/>
    <w:next w:val="Normal"/>
    <w:link w:val="IntenseQuoteChar"/>
    <w:uiPriority w:val="30"/>
    <w:qFormat/>
    <w:rsid w:val="00B1461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30"/>
    <w:rsid w:val="00B14618"/>
    <w:rPr>
      <w:rFonts w:ascii="Gill Sans MT" w:eastAsia="Times New Roman" w:hAnsi="Gill Sans MT"/>
      <w:b/>
      <w:bCs/>
      <w:i/>
      <w:iCs/>
      <w:color w:val="4F81BD"/>
      <w:sz w:val="26"/>
      <w:szCs w:val="24"/>
      <w:lang w:eastAsia="en-US"/>
    </w:rPr>
  </w:style>
  <w:style w:type="character" w:styleId="SubtleReference">
    <w:name w:val="Subtle Reference"/>
    <w:basedOn w:val="DefaultParagraphFont"/>
    <w:uiPriority w:val="31"/>
    <w:qFormat/>
    <w:rsid w:val="00B14618"/>
    <w:rPr>
      <w:rFonts w:ascii="Gill Sans MT" w:hAnsi="Gill Sans MT"/>
      <w:smallCaps/>
      <w:color w:val="C0504D"/>
      <w:u w:val="single"/>
    </w:rPr>
  </w:style>
  <w:style w:type="table" w:customStyle="1" w:styleId="TableGrid11">
    <w:name w:val="Table Grid11"/>
    <w:basedOn w:val="TableNormal"/>
    <w:next w:val="TableGrid"/>
    <w:rsid w:val="002D500C"/>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rsid w:val="002D5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379AD"/>
    <w:pPr>
      <w:ind w:left="720"/>
      <w:contextualSpacing/>
    </w:pPr>
    <w:rPr>
      <w:rFonts w:ascii="Gill Sans" w:hAnsi="Gill Sans"/>
    </w:rPr>
  </w:style>
  <w:style w:type="paragraph" w:styleId="TOCHeading">
    <w:name w:val="TOC Heading"/>
    <w:basedOn w:val="Heading1"/>
    <w:next w:val="Normal"/>
    <w:uiPriority w:val="39"/>
    <w:semiHidden/>
    <w:unhideWhenUsed/>
    <w:qFormat/>
    <w:rsid w:val="004379AD"/>
    <w:pPr>
      <w:keepLines/>
      <w:spacing w:before="480" w:line="276" w:lineRule="auto"/>
      <w:outlineLvl w:val="9"/>
    </w:pPr>
    <w:rPr>
      <w:rFonts w:asciiTheme="majorHAnsi" w:eastAsiaTheme="majorEastAsia" w:hAnsiTheme="majorHAnsi" w:cstheme="majorBidi"/>
      <w:color w:val="2E74B5" w:themeColor="accent1" w:themeShade="BF"/>
      <w:sz w:val="28"/>
      <w:szCs w:val="28"/>
      <w:lang w:val="en-US"/>
    </w:rPr>
  </w:style>
  <w:style w:type="paragraph" w:styleId="TOC3">
    <w:name w:val="toc 3"/>
    <w:basedOn w:val="Normal"/>
    <w:next w:val="Normal"/>
    <w:autoRedefine/>
    <w:uiPriority w:val="39"/>
    <w:qFormat/>
    <w:rsid w:val="004379AD"/>
    <w:pPr>
      <w:spacing w:after="100"/>
      <w:ind w:left="520"/>
    </w:pPr>
    <w:rPr>
      <w:rFonts w:ascii="Gill Sans" w:hAnsi="Gill Sans"/>
    </w:rPr>
  </w:style>
  <w:style w:type="paragraph" w:styleId="BalloonText">
    <w:name w:val="Balloon Text"/>
    <w:basedOn w:val="Normal"/>
    <w:link w:val="BalloonTextChar"/>
    <w:rsid w:val="004379AD"/>
    <w:pPr>
      <w:spacing w:after="0"/>
    </w:pPr>
    <w:rPr>
      <w:rFonts w:ascii="Tahoma" w:hAnsi="Tahoma" w:cs="Tahoma"/>
      <w:sz w:val="16"/>
      <w:szCs w:val="16"/>
    </w:rPr>
  </w:style>
  <w:style w:type="character" w:customStyle="1" w:styleId="BalloonTextChar">
    <w:name w:val="Balloon Text Char"/>
    <w:basedOn w:val="DefaultParagraphFont"/>
    <w:link w:val="BalloonText"/>
    <w:rsid w:val="004379AD"/>
    <w:rPr>
      <w:rFonts w:ascii="Tahoma" w:eastAsia="Times New Roman" w:hAnsi="Tahoma" w:cs="Tahoma"/>
      <w:sz w:val="16"/>
      <w:szCs w:val="16"/>
      <w:lang w:eastAsia="en-US"/>
    </w:rPr>
  </w:style>
  <w:style w:type="character" w:customStyle="1" w:styleId="FooterChar">
    <w:name w:val="Footer Char"/>
    <w:basedOn w:val="DefaultParagraphFont"/>
    <w:link w:val="Footer"/>
    <w:uiPriority w:val="99"/>
    <w:rsid w:val="004379AD"/>
    <w:rPr>
      <w:rFonts w:ascii="Gill Sans MT" w:eastAsia="Times New Roman" w:hAnsi="Gill Sans MT"/>
      <w:color w:val="323232"/>
      <w:lang w:eastAsia="en-US"/>
    </w:rPr>
  </w:style>
  <w:style w:type="character" w:customStyle="1" w:styleId="Heading3Char">
    <w:name w:val="Heading 3 Char"/>
    <w:basedOn w:val="DefaultParagraphFont"/>
    <w:link w:val="Heading3"/>
    <w:rsid w:val="001F1901"/>
    <w:rPr>
      <w:rFonts w:ascii="Rockwell" w:eastAsia="Times New Roman" w:hAnsi="Rockwell"/>
      <w:b/>
      <w:color w:val="CC3399"/>
      <w:sz w:val="28"/>
      <w:szCs w:val="28"/>
      <w:lang w:eastAsia="en-US"/>
    </w:rPr>
  </w:style>
  <w:style w:type="table" w:customStyle="1" w:styleId="TableGrid1">
    <w:name w:val="Table Grid1"/>
    <w:basedOn w:val="TableNormal"/>
    <w:next w:val="TableGrid"/>
    <w:rsid w:val="004379AD"/>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379AD"/>
    <w:rPr>
      <w:sz w:val="16"/>
      <w:szCs w:val="16"/>
    </w:rPr>
  </w:style>
  <w:style w:type="paragraph" w:styleId="CommentSubject">
    <w:name w:val="annotation subject"/>
    <w:basedOn w:val="CommentText"/>
    <w:next w:val="CommentText"/>
    <w:link w:val="CommentSubjectChar"/>
    <w:unhideWhenUsed/>
    <w:rsid w:val="004379AD"/>
    <w:rPr>
      <w:rFonts w:ascii="Gill Sans" w:hAnsi="Gill Sans"/>
      <w:b/>
      <w:bCs/>
      <w:szCs w:val="20"/>
      <w:lang w:val="en-IE"/>
    </w:rPr>
  </w:style>
  <w:style w:type="character" w:customStyle="1" w:styleId="CommentSubjectChar">
    <w:name w:val="Comment Subject Char"/>
    <w:basedOn w:val="CommentTextChar"/>
    <w:link w:val="CommentSubject"/>
    <w:rsid w:val="004379AD"/>
    <w:rPr>
      <w:rFonts w:ascii="Gill Sans" w:eastAsia="Times New Roman" w:hAnsi="Gill Sans"/>
      <w:b/>
      <w:bCs/>
      <w:szCs w:val="24"/>
      <w:lang w:eastAsia="en-US"/>
    </w:rPr>
  </w:style>
  <w:style w:type="paragraph" w:customStyle="1" w:styleId="DecimalAligned">
    <w:name w:val="Decimal Aligned"/>
    <w:basedOn w:val="Normal"/>
    <w:uiPriority w:val="40"/>
    <w:qFormat/>
    <w:rsid w:val="004379AD"/>
    <w:pPr>
      <w:tabs>
        <w:tab w:val="decimal" w:pos="360"/>
      </w:tabs>
      <w:spacing w:after="200" w:line="276" w:lineRule="auto"/>
    </w:pPr>
    <w:rPr>
      <w:rFonts w:asciiTheme="minorHAnsi" w:eastAsiaTheme="minorEastAsia" w:hAnsiTheme="minorHAnsi"/>
      <w:sz w:val="22"/>
      <w:szCs w:val="22"/>
      <w:lang w:val="en-US"/>
    </w:rPr>
  </w:style>
  <w:style w:type="character" w:customStyle="1" w:styleId="FootnoteTextChar">
    <w:name w:val="Footnote Text Char"/>
    <w:basedOn w:val="DefaultParagraphFont"/>
    <w:link w:val="FootnoteText"/>
    <w:uiPriority w:val="99"/>
    <w:rsid w:val="004379AD"/>
    <w:rPr>
      <w:rFonts w:ascii="Gill Sans MT" w:eastAsia="Times New Roman" w:hAnsi="Gill Sans MT"/>
      <w:sz w:val="22"/>
      <w:lang w:eastAsia="en-US"/>
    </w:rPr>
  </w:style>
  <w:style w:type="character" w:styleId="SubtleEmphasis">
    <w:name w:val="Subtle Emphasis"/>
    <w:basedOn w:val="DefaultParagraphFont"/>
    <w:uiPriority w:val="19"/>
    <w:qFormat/>
    <w:rsid w:val="004379AD"/>
    <w:rPr>
      <w:i/>
      <w:iCs/>
    </w:rPr>
  </w:style>
  <w:style w:type="table" w:styleId="MediumShading2-Accent5">
    <w:name w:val="Medium Shading 2 Accent 5"/>
    <w:basedOn w:val="TableNormal"/>
    <w:uiPriority w:val="64"/>
    <w:rsid w:val="004379AD"/>
    <w:rPr>
      <w:rFonts w:asciiTheme="minorHAnsi" w:eastAsiaTheme="minorEastAsia" w:hAnsiTheme="minorHAnsi" w:cstheme="minorBidi"/>
      <w:sz w:val="22"/>
      <w:szCs w:val="22"/>
      <w:lang w:val="en-US"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Revision">
    <w:name w:val="Revision"/>
    <w:hidden/>
    <w:uiPriority w:val="99"/>
    <w:semiHidden/>
    <w:rsid w:val="004379AD"/>
    <w:rPr>
      <w:rFonts w:ascii="Gill Sans" w:eastAsia="Times New Roman" w:hAnsi="Gill Sans"/>
      <w:sz w:val="26"/>
      <w:szCs w:val="24"/>
      <w:lang w:eastAsia="en-US"/>
    </w:rPr>
  </w:style>
  <w:style w:type="character" w:customStyle="1" w:styleId="Heading1Char">
    <w:name w:val="Heading 1 Char"/>
    <w:basedOn w:val="DefaultParagraphFont"/>
    <w:link w:val="Heading1"/>
    <w:rsid w:val="001F1901"/>
    <w:rPr>
      <w:rFonts w:ascii="Rockwell" w:eastAsia="Times New Roman" w:hAnsi="Rockwell"/>
      <w:b/>
      <w:color w:val="CC3399"/>
      <w:sz w:val="56"/>
      <w:szCs w:val="56"/>
      <w:lang w:eastAsia="en-US"/>
    </w:rPr>
  </w:style>
  <w:style w:type="paragraph" w:styleId="NormalWeb">
    <w:name w:val="Normal (Web)"/>
    <w:basedOn w:val="Normal"/>
    <w:uiPriority w:val="99"/>
    <w:unhideWhenUsed/>
    <w:rsid w:val="004379AD"/>
    <w:pPr>
      <w:spacing w:before="100" w:beforeAutospacing="1" w:after="100" w:afterAutospacing="1"/>
    </w:pPr>
    <w:rPr>
      <w:rFonts w:ascii="Times New Roman" w:hAnsi="Times New Roman"/>
      <w:sz w:val="24"/>
      <w:lang w:eastAsia="en-IE"/>
    </w:rPr>
  </w:style>
  <w:style w:type="character" w:customStyle="1" w:styleId="e24kjd">
    <w:name w:val="e24kjd"/>
    <w:basedOn w:val="DefaultParagraphFont"/>
    <w:rsid w:val="004379AD"/>
  </w:style>
  <w:style w:type="table" w:customStyle="1" w:styleId="TableGrid2">
    <w:name w:val="Table Grid2"/>
    <w:basedOn w:val="TableNormal"/>
    <w:next w:val="TableGrid"/>
    <w:rsid w:val="00C714D6"/>
    <w:pPr>
      <w:spacing w:after="300" w:line="294" w:lineRule="exac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03B6"/>
    <w:pPr>
      <w:autoSpaceDE w:val="0"/>
      <w:autoSpaceDN w:val="0"/>
      <w:adjustRightInd w:val="0"/>
    </w:pPr>
    <w:rPr>
      <w:rFonts w:ascii="Gill Sans MT" w:hAnsi="Gill Sans MT" w:cs="Gill Sans MT"/>
      <w:color w:val="000000"/>
      <w:sz w:val="24"/>
      <w:szCs w:val="24"/>
    </w:rPr>
  </w:style>
  <w:style w:type="character" w:customStyle="1" w:styleId="HeaderChar">
    <w:name w:val="Header Char"/>
    <w:basedOn w:val="DefaultParagraphFont"/>
    <w:link w:val="Header"/>
    <w:rsid w:val="004C3F48"/>
    <w:rPr>
      <w:rFonts w:ascii="Gill Sans MT" w:eastAsia="Times New Roman" w:hAnsi="Gill Sans MT"/>
      <w:color w:val="333333"/>
      <w:sz w:val="22"/>
      <w:lang w:eastAsia="en-US"/>
    </w:rPr>
  </w:style>
  <w:style w:type="paragraph" w:styleId="EndnoteText">
    <w:name w:val="endnote text"/>
    <w:basedOn w:val="Normal"/>
    <w:link w:val="EndnoteTextChar"/>
    <w:rsid w:val="005E6DA9"/>
    <w:pPr>
      <w:spacing w:after="0"/>
    </w:pPr>
    <w:rPr>
      <w:sz w:val="20"/>
      <w:szCs w:val="20"/>
    </w:rPr>
  </w:style>
  <w:style w:type="character" w:customStyle="1" w:styleId="EndnoteTextChar">
    <w:name w:val="Endnote Text Char"/>
    <w:basedOn w:val="DefaultParagraphFont"/>
    <w:link w:val="EndnoteText"/>
    <w:rsid w:val="005E6DA9"/>
    <w:rPr>
      <w:rFonts w:ascii="Gill Sans MT" w:eastAsia="Times New Roman" w:hAnsi="Gill Sans MT"/>
      <w:lang w:eastAsia="en-US"/>
    </w:rPr>
  </w:style>
  <w:style w:type="character" w:styleId="EndnoteReference">
    <w:name w:val="endnote reference"/>
    <w:basedOn w:val="DefaultParagraphFont"/>
    <w:rsid w:val="005E6DA9"/>
    <w:rPr>
      <w:vertAlign w:val="superscript"/>
    </w:rPr>
  </w:style>
  <w:style w:type="character" w:customStyle="1" w:styleId="Heading2Char">
    <w:name w:val="Heading 2 Char"/>
    <w:basedOn w:val="DefaultParagraphFont"/>
    <w:link w:val="Heading2"/>
    <w:rsid w:val="003A5392"/>
    <w:rPr>
      <w:rFonts w:ascii="Rockwell" w:eastAsia="Times New Roman" w:hAnsi="Rockwell"/>
      <w:b/>
      <w:color w:val="CC3399"/>
      <w:sz w:val="32"/>
      <w:szCs w:val="32"/>
      <w:lang w:eastAsia="en-US"/>
    </w:rPr>
  </w:style>
  <w:style w:type="character" w:customStyle="1" w:styleId="TitleChar">
    <w:name w:val="Title Char"/>
    <w:basedOn w:val="DefaultParagraphFont"/>
    <w:link w:val="Title"/>
    <w:rsid w:val="00F920D4"/>
    <w:rPr>
      <w:rFonts w:ascii="Gill Sans MT" w:eastAsia="Times New Roman" w:hAnsi="Gill Sans MT" w:cs="Arial"/>
      <w:b/>
      <w:bCs/>
      <w:kern w:val="28"/>
      <w:sz w:val="36"/>
      <w:szCs w:val="32"/>
      <w:lang w:eastAsia="en-US"/>
    </w:rPr>
  </w:style>
  <w:style w:type="character" w:styleId="UnresolvedMention">
    <w:name w:val="Unresolved Mention"/>
    <w:basedOn w:val="DefaultParagraphFont"/>
    <w:uiPriority w:val="99"/>
    <w:semiHidden/>
    <w:unhideWhenUsed/>
    <w:rsid w:val="00114E29"/>
    <w:rPr>
      <w:color w:val="605E5C"/>
      <w:shd w:val="clear" w:color="auto" w:fill="E1DFDD"/>
    </w:rPr>
  </w:style>
  <w:style w:type="paragraph" w:styleId="NoSpacing">
    <w:name w:val="No Spacing"/>
    <w:uiPriority w:val="1"/>
    <w:qFormat/>
    <w:rsid w:val="00E46650"/>
    <w:rPr>
      <w:rFonts w:ascii="Gill Sans MT" w:eastAsia="Times New Roman" w:hAnsi="Gill Sans MT"/>
      <w:sz w:val="26"/>
      <w:szCs w:val="24"/>
      <w:lang w:eastAsia="en-US"/>
    </w:rPr>
  </w:style>
  <w:style w:type="character" w:customStyle="1" w:styleId="cf01">
    <w:name w:val="cf01"/>
    <w:basedOn w:val="DefaultParagraphFont"/>
    <w:rsid w:val="00D43A0A"/>
    <w:rPr>
      <w:rFonts w:ascii="Segoe UI" w:hAnsi="Segoe UI" w:cs="Segoe UI" w:hint="default"/>
      <w:sz w:val="18"/>
      <w:szCs w:val="18"/>
    </w:rPr>
  </w:style>
  <w:style w:type="paragraph" w:customStyle="1" w:styleId="pf0">
    <w:name w:val="pf0"/>
    <w:basedOn w:val="Normal"/>
    <w:rsid w:val="00D43A0A"/>
    <w:pPr>
      <w:spacing w:before="100" w:beforeAutospacing="1" w:after="100" w:afterAutospacing="1"/>
    </w:pPr>
    <w:rPr>
      <w:rFonts w:ascii="Times New Roman" w:hAnsi="Times New Roman"/>
      <w:sz w:val="24"/>
      <w:lang w:eastAsia="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05">
      <w:bodyDiv w:val="1"/>
      <w:marLeft w:val="0"/>
      <w:marRight w:val="0"/>
      <w:marTop w:val="0"/>
      <w:marBottom w:val="0"/>
      <w:divBdr>
        <w:top w:val="none" w:sz="0" w:space="0" w:color="auto"/>
        <w:left w:val="none" w:sz="0" w:space="0" w:color="auto"/>
        <w:bottom w:val="none" w:sz="0" w:space="0" w:color="auto"/>
        <w:right w:val="none" w:sz="0" w:space="0" w:color="auto"/>
      </w:divBdr>
    </w:div>
    <w:div w:id="10572907">
      <w:bodyDiv w:val="1"/>
      <w:marLeft w:val="0"/>
      <w:marRight w:val="0"/>
      <w:marTop w:val="0"/>
      <w:marBottom w:val="0"/>
      <w:divBdr>
        <w:top w:val="none" w:sz="0" w:space="0" w:color="auto"/>
        <w:left w:val="none" w:sz="0" w:space="0" w:color="auto"/>
        <w:bottom w:val="none" w:sz="0" w:space="0" w:color="auto"/>
        <w:right w:val="none" w:sz="0" w:space="0" w:color="auto"/>
      </w:divBdr>
    </w:div>
    <w:div w:id="14694645">
      <w:bodyDiv w:val="1"/>
      <w:marLeft w:val="0"/>
      <w:marRight w:val="0"/>
      <w:marTop w:val="0"/>
      <w:marBottom w:val="0"/>
      <w:divBdr>
        <w:top w:val="none" w:sz="0" w:space="0" w:color="auto"/>
        <w:left w:val="none" w:sz="0" w:space="0" w:color="auto"/>
        <w:bottom w:val="none" w:sz="0" w:space="0" w:color="auto"/>
        <w:right w:val="none" w:sz="0" w:space="0" w:color="auto"/>
      </w:divBdr>
    </w:div>
    <w:div w:id="27532342">
      <w:bodyDiv w:val="1"/>
      <w:marLeft w:val="0"/>
      <w:marRight w:val="0"/>
      <w:marTop w:val="0"/>
      <w:marBottom w:val="0"/>
      <w:divBdr>
        <w:top w:val="none" w:sz="0" w:space="0" w:color="auto"/>
        <w:left w:val="none" w:sz="0" w:space="0" w:color="auto"/>
        <w:bottom w:val="none" w:sz="0" w:space="0" w:color="auto"/>
        <w:right w:val="none" w:sz="0" w:space="0" w:color="auto"/>
      </w:divBdr>
    </w:div>
    <w:div w:id="29766270">
      <w:bodyDiv w:val="1"/>
      <w:marLeft w:val="0"/>
      <w:marRight w:val="0"/>
      <w:marTop w:val="0"/>
      <w:marBottom w:val="0"/>
      <w:divBdr>
        <w:top w:val="none" w:sz="0" w:space="0" w:color="auto"/>
        <w:left w:val="none" w:sz="0" w:space="0" w:color="auto"/>
        <w:bottom w:val="none" w:sz="0" w:space="0" w:color="auto"/>
        <w:right w:val="none" w:sz="0" w:space="0" w:color="auto"/>
      </w:divBdr>
    </w:div>
    <w:div w:id="31998964">
      <w:bodyDiv w:val="1"/>
      <w:marLeft w:val="0"/>
      <w:marRight w:val="0"/>
      <w:marTop w:val="0"/>
      <w:marBottom w:val="0"/>
      <w:divBdr>
        <w:top w:val="none" w:sz="0" w:space="0" w:color="auto"/>
        <w:left w:val="none" w:sz="0" w:space="0" w:color="auto"/>
        <w:bottom w:val="none" w:sz="0" w:space="0" w:color="auto"/>
        <w:right w:val="none" w:sz="0" w:space="0" w:color="auto"/>
      </w:divBdr>
    </w:div>
    <w:div w:id="32536114">
      <w:bodyDiv w:val="1"/>
      <w:marLeft w:val="0"/>
      <w:marRight w:val="0"/>
      <w:marTop w:val="0"/>
      <w:marBottom w:val="0"/>
      <w:divBdr>
        <w:top w:val="none" w:sz="0" w:space="0" w:color="auto"/>
        <w:left w:val="none" w:sz="0" w:space="0" w:color="auto"/>
        <w:bottom w:val="none" w:sz="0" w:space="0" w:color="auto"/>
        <w:right w:val="none" w:sz="0" w:space="0" w:color="auto"/>
      </w:divBdr>
    </w:div>
    <w:div w:id="45181654">
      <w:bodyDiv w:val="1"/>
      <w:marLeft w:val="0"/>
      <w:marRight w:val="0"/>
      <w:marTop w:val="0"/>
      <w:marBottom w:val="0"/>
      <w:divBdr>
        <w:top w:val="none" w:sz="0" w:space="0" w:color="auto"/>
        <w:left w:val="none" w:sz="0" w:space="0" w:color="auto"/>
        <w:bottom w:val="none" w:sz="0" w:space="0" w:color="auto"/>
        <w:right w:val="none" w:sz="0" w:space="0" w:color="auto"/>
      </w:divBdr>
    </w:div>
    <w:div w:id="45492332">
      <w:bodyDiv w:val="1"/>
      <w:marLeft w:val="0"/>
      <w:marRight w:val="0"/>
      <w:marTop w:val="0"/>
      <w:marBottom w:val="0"/>
      <w:divBdr>
        <w:top w:val="none" w:sz="0" w:space="0" w:color="auto"/>
        <w:left w:val="none" w:sz="0" w:space="0" w:color="auto"/>
        <w:bottom w:val="none" w:sz="0" w:space="0" w:color="auto"/>
        <w:right w:val="none" w:sz="0" w:space="0" w:color="auto"/>
      </w:divBdr>
    </w:div>
    <w:div w:id="47843306">
      <w:bodyDiv w:val="1"/>
      <w:marLeft w:val="0"/>
      <w:marRight w:val="0"/>
      <w:marTop w:val="0"/>
      <w:marBottom w:val="0"/>
      <w:divBdr>
        <w:top w:val="none" w:sz="0" w:space="0" w:color="auto"/>
        <w:left w:val="none" w:sz="0" w:space="0" w:color="auto"/>
        <w:bottom w:val="none" w:sz="0" w:space="0" w:color="auto"/>
        <w:right w:val="none" w:sz="0" w:space="0" w:color="auto"/>
      </w:divBdr>
    </w:div>
    <w:div w:id="48188934">
      <w:bodyDiv w:val="1"/>
      <w:marLeft w:val="0"/>
      <w:marRight w:val="0"/>
      <w:marTop w:val="0"/>
      <w:marBottom w:val="0"/>
      <w:divBdr>
        <w:top w:val="none" w:sz="0" w:space="0" w:color="auto"/>
        <w:left w:val="none" w:sz="0" w:space="0" w:color="auto"/>
        <w:bottom w:val="none" w:sz="0" w:space="0" w:color="auto"/>
        <w:right w:val="none" w:sz="0" w:space="0" w:color="auto"/>
      </w:divBdr>
    </w:div>
    <w:div w:id="54814233">
      <w:bodyDiv w:val="1"/>
      <w:marLeft w:val="0"/>
      <w:marRight w:val="0"/>
      <w:marTop w:val="0"/>
      <w:marBottom w:val="0"/>
      <w:divBdr>
        <w:top w:val="none" w:sz="0" w:space="0" w:color="auto"/>
        <w:left w:val="none" w:sz="0" w:space="0" w:color="auto"/>
        <w:bottom w:val="none" w:sz="0" w:space="0" w:color="auto"/>
        <w:right w:val="none" w:sz="0" w:space="0" w:color="auto"/>
      </w:divBdr>
    </w:div>
    <w:div w:id="56050381">
      <w:bodyDiv w:val="1"/>
      <w:marLeft w:val="0"/>
      <w:marRight w:val="0"/>
      <w:marTop w:val="0"/>
      <w:marBottom w:val="0"/>
      <w:divBdr>
        <w:top w:val="none" w:sz="0" w:space="0" w:color="auto"/>
        <w:left w:val="none" w:sz="0" w:space="0" w:color="auto"/>
        <w:bottom w:val="none" w:sz="0" w:space="0" w:color="auto"/>
        <w:right w:val="none" w:sz="0" w:space="0" w:color="auto"/>
      </w:divBdr>
    </w:div>
    <w:div w:id="62530575">
      <w:bodyDiv w:val="1"/>
      <w:marLeft w:val="0"/>
      <w:marRight w:val="0"/>
      <w:marTop w:val="0"/>
      <w:marBottom w:val="0"/>
      <w:divBdr>
        <w:top w:val="none" w:sz="0" w:space="0" w:color="auto"/>
        <w:left w:val="none" w:sz="0" w:space="0" w:color="auto"/>
        <w:bottom w:val="none" w:sz="0" w:space="0" w:color="auto"/>
        <w:right w:val="none" w:sz="0" w:space="0" w:color="auto"/>
      </w:divBdr>
    </w:div>
    <w:div w:id="77334736">
      <w:bodyDiv w:val="1"/>
      <w:marLeft w:val="0"/>
      <w:marRight w:val="0"/>
      <w:marTop w:val="0"/>
      <w:marBottom w:val="0"/>
      <w:divBdr>
        <w:top w:val="none" w:sz="0" w:space="0" w:color="auto"/>
        <w:left w:val="none" w:sz="0" w:space="0" w:color="auto"/>
        <w:bottom w:val="none" w:sz="0" w:space="0" w:color="auto"/>
        <w:right w:val="none" w:sz="0" w:space="0" w:color="auto"/>
      </w:divBdr>
    </w:div>
    <w:div w:id="86780589">
      <w:bodyDiv w:val="1"/>
      <w:marLeft w:val="0"/>
      <w:marRight w:val="0"/>
      <w:marTop w:val="0"/>
      <w:marBottom w:val="0"/>
      <w:divBdr>
        <w:top w:val="none" w:sz="0" w:space="0" w:color="auto"/>
        <w:left w:val="none" w:sz="0" w:space="0" w:color="auto"/>
        <w:bottom w:val="none" w:sz="0" w:space="0" w:color="auto"/>
        <w:right w:val="none" w:sz="0" w:space="0" w:color="auto"/>
      </w:divBdr>
    </w:div>
    <w:div w:id="86925283">
      <w:bodyDiv w:val="1"/>
      <w:marLeft w:val="0"/>
      <w:marRight w:val="0"/>
      <w:marTop w:val="0"/>
      <w:marBottom w:val="0"/>
      <w:divBdr>
        <w:top w:val="none" w:sz="0" w:space="0" w:color="auto"/>
        <w:left w:val="none" w:sz="0" w:space="0" w:color="auto"/>
        <w:bottom w:val="none" w:sz="0" w:space="0" w:color="auto"/>
        <w:right w:val="none" w:sz="0" w:space="0" w:color="auto"/>
      </w:divBdr>
    </w:div>
    <w:div w:id="87167119">
      <w:bodyDiv w:val="1"/>
      <w:marLeft w:val="0"/>
      <w:marRight w:val="0"/>
      <w:marTop w:val="0"/>
      <w:marBottom w:val="0"/>
      <w:divBdr>
        <w:top w:val="none" w:sz="0" w:space="0" w:color="auto"/>
        <w:left w:val="none" w:sz="0" w:space="0" w:color="auto"/>
        <w:bottom w:val="none" w:sz="0" w:space="0" w:color="auto"/>
        <w:right w:val="none" w:sz="0" w:space="0" w:color="auto"/>
      </w:divBdr>
    </w:div>
    <w:div w:id="89933209">
      <w:bodyDiv w:val="1"/>
      <w:marLeft w:val="0"/>
      <w:marRight w:val="0"/>
      <w:marTop w:val="0"/>
      <w:marBottom w:val="0"/>
      <w:divBdr>
        <w:top w:val="none" w:sz="0" w:space="0" w:color="auto"/>
        <w:left w:val="none" w:sz="0" w:space="0" w:color="auto"/>
        <w:bottom w:val="none" w:sz="0" w:space="0" w:color="auto"/>
        <w:right w:val="none" w:sz="0" w:space="0" w:color="auto"/>
      </w:divBdr>
    </w:div>
    <w:div w:id="90129991">
      <w:bodyDiv w:val="1"/>
      <w:marLeft w:val="0"/>
      <w:marRight w:val="0"/>
      <w:marTop w:val="0"/>
      <w:marBottom w:val="0"/>
      <w:divBdr>
        <w:top w:val="none" w:sz="0" w:space="0" w:color="auto"/>
        <w:left w:val="none" w:sz="0" w:space="0" w:color="auto"/>
        <w:bottom w:val="none" w:sz="0" w:space="0" w:color="auto"/>
        <w:right w:val="none" w:sz="0" w:space="0" w:color="auto"/>
      </w:divBdr>
    </w:div>
    <w:div w:id="99378392">
      <w:bodyDiv w:val="1"/>
      <w:marLeft w:val="0"/>
      <w:marRight w:val="0"/>
      <w:marTop w:val="0"/>
      <w:marBottom w:val="0"/>
      <w:divBdr>
        <w:top w:val="none" w:sz="0" w:space="0" w:color="auto"/>
        <w:left w:val="none" w:sz="0" w:space="0" w:color="auto"/>
        <w:bottom w:val="none" w:sz="0" w:space="0" w:color="auto"/>
        <w:right w:val="none" w:sz="0" w:space="0" w:color="auto"/>
      </w:divBdr>
    </w:div>
    <w:div w:id="103185781">
      <w:bodyDiv w:val="1"/>
      <w:marLeft w:val="0"/>
      <w:marRight w:val="0"/>
      <w:marTop w:val="0"/>
      <w:marBottom w:val="0"/>
      <w:divBdr>
        <w:top w:val="none" w:sz="0" w:space="0" w:color="auto"/>
        <w:left w:val="none" w:sz="0" w:space="0" w:color="auto"/>
        <w:bottom w:val="none" w:sz="0" w:space="0" w:color="auto"/>
        <w:right w:val="none" w:sz="0" w:space="0" w:color="auto"/>
      </w:divBdr>
    </w:div>
    <w:div w:id="108205528">
      <w:bodyDiv w:val="1"/>
      <w:marLeft w:val="0"/>
      <w:marRight w:val="0"/>
      <w:marTop w:val="0"/>
      <w:marBottom w:val="0"/>
      <w:divBdr>
        <w:top w:val="none" w:sz="0" w:space="0" w:color="auto"/>
        <w:left w:val="none" w:sz="0" w:space="0" w:color="auto"/>
        <w:bottom w:val="none" w:sz="0" w:space="0" w:color="auto"/>
        <w:right w:val="none" w:sz="0" w:space="0" w:color="auto"/>
      </w:divBdr>
    </w:div>
    <w:div w:id="112284005">
      <w:bodyDiv w:val="1"/>
      <w:marLeft w:val="0"/>
      <w:marRight w:val="0"/>
      <w:marTop w:val="0"/>
      <w:marBottom w:val="0"/>
      <w:divBdr>
        <w:top w:val="none" w:sz="0" w:space="0" w:color="auto"/>
        <w:left w:val="none" w:sz="0" w:space="0" w:color="auto"/>
        <w:bottom w:val="none" w:sz="0" w:space="0" w:color="auto"/>
        <w:right w:val="none" w:sz="0" w:space="0" w:color="auto"/>
      </w:divBdr>
    </w:div>
    <w:div w:id="112797558">
      <w:bodyDiv w:val="1"/>
      <w:marLeft w:val="0"/>
      <w:marRight w:val="0"/>
      <w:marTop w:val="0"/>
      <w:marBottom w:val="0"/>
      <w:divBdr>
        <w:top w:val="none" w:sz="0" w:space="0" w:color="auto"/>
        <w:left w:val="none" w:sz="0" w:space="0" w:color="auto"/>
        <w:bottom w:val="none" w:sz="0" w:space="0" w:color="auto"/>
        <w:right w:val="none" w:sz="0" w:space="0" w:color="auto"/>
      </w:divBdr>
    </w:div>
    <w:div w:id="114254576">
      <w:bodyDiv w:val="1"/>
      <w:marLeft w:val="0"/>
      <w:marRight w:val="0"/>
      <w:marTop w:val="0"/>
      <w:marBottom w:val="0"/>
      <w:divBdr>
        <w:top w:val="none" w:sz="0" w:space="0" w:color="auto"/>
        <w:left w:val="none" w:sz="0" w:space="0" w:color="auto"/>
        <w:bottom w:val="none" w:sz="0" w:space="0" w:color="auto"/>
        <w:right w:val="none" w:sz="0" w:space="0" w:color="auto"/>
      </w:divBdr>
    </w:div>
    <w:div w:id="116027842">
      <w:bodyDiv w:val="1"/>
      <w:marLeft w:val="0"/>
      <w:marRight w:val="0"/>
      <w:marTop w:val="0"/>
      <w:marBottom w:val="0"/>
      <w:divBdr>
        <w:top w:val="none" w:sz="0" w:space="0" w:color="auto"/>
        <w:left w:val="none" w:sz="0" w:space="0" w:color="auto"/>
        <w:bottom w:val="none" w:sz="0" w:space="0" w:color="auto"/>
        <w:right w:val="none" w:sz="0" w:space="0" w:color="auto"/>
      </w:divBdr>
    </w:div>
    <w:div w:id="120653681">
      <w:bodyDiv w:val="1"/>
      <w:marLeft w:val="0"/>
      <w:marRight w:val="0"/>
      <w:marTop w:val="0"/>
      <w:marBottom w:val="0"/>
      <w:divBdr>
        <w:top w:val="none" w:sz="0" w:space="0" w:color="auto"/>
        <w:left w:val="none" w:sz="0" w:space="0" w:color="auto"/>
        <w:bottom w:val="none" w:sz="0" w:space="0" w:color="auto"/>
        <w:right w:val="none" w:sz="0" w:space="0" w:color="auto"/>
      </w:divBdr>
    </w:div>
    <w:div w:id="125009736">
      <w:bodyDiv w:val="1"/>
      <w:marLeft w:val="0"/>
      <w:marRight w:val="0"/>
      <w:marTop w:val="0"/>
      <w:marBottom w:val="0"/>
      <w:divBdr>
        <w:top w:val="none" w:sz="0" w:space="0" w:color="auto"/>
        <w:left w:val="none" w:sz="0" w:space="0" w:color="auto"/>
        <w:bottom w:val="none" w:sz="0" w:space="0" w:color="auto"/>
        <w:right w:val="none" w:sz="0" w:space="0" w:color="auto"/>
      </w:divBdr>
    </w:div>
    <w:div w:id="125130522">
      <w:bodyDiv w:val="1"/>
      <w:marLeft w:val="0"/>
      <w:marRight w:val="0"/>
      <w:marTop w:val="0"/>
      <w:marBottom w:val="0"/>
      <w:divBdr>
        <w:top w:val="none" w:sz="0" w:space="0" w:color="auto"/>
        <w:left w:val="none" w:sz="0" w:space="0" w:color="auto"/>
        <w:bottom w:val="none" w:sz="0" w:space="0" w:color="auto"/>
        <w:right w:val="none" w:sz="0" w:space="0" w:color="auto"/>
      </w:divBdr>
    </w:div>
    <w:div w:id="126317448">
      <w:bodyDiv w:val="1"/>
      <w:marLeft w:val="0"/>
      <w:marRight w:val="0"/>
      <w:marTop w:val="0"/>
      <w:marBottom w:val="0"/>
      <w:divBdr>
        <w:top w:val="none" w:sz="0" w:space="0" w:color="auto"/>
        <w:left w:val="none" w:sz="0" w:space="0" w:color="auto"/>
        <w:bottom w:val="none" w:sz="0" w:space="0" w:color="auto"/>
        <w:right w:val="none" w:sz="0" w:space="0" w:color="auto"/>
      </w:divBdr>
    </w:div>
    <w:div w:id="128480374">
      <w:bodyDiv w:val="1"/>
      <w:marLeft w:val="0"/>
      <w:marRight w:val="0"/>
      <w:marTop w:val="0"/>
      <w:marBottom w:val="0"/>
      <w:divBdr>
        <w:top w:val="none" w:sz="0" w:space="0" w:color="auto"/>
        <w:left w:val="none" w:sz="0" w:space="0" w:color="auto"/>
        <w:bottom w:val="none" w:sz="0" w:space="0" w:color="auto"/>
        <w:right w:val="none" w:sz="0" w:space="0" w:color="auto"/>
      </w:divBdr>
    </w:div>
    <w:div w:id="129518111">
      <w:bodyDiv w:val="1"/>
      <w:marLeft w:val="0"/>
      <w:marRight w:val="0"/>
      <w:marTop w:val="0"/>
      <w:marBottom w:val="0"/>
      <w:divBdr>
        <w:top w:val="none" w:sz="0" w:space="0" w:color="auto"/>
        <w:left w:val="none" w:sz="0" w:space="0" w:color="auto"/>
        <w:bottom w:val="none" w:sz="0" w:space="0" w:color="auto"/>
        <w:right w:val="none" w:sz="0" w:space="0" w:color="auto"/>
      </w:divBdr>
    </w:div>
    <w:div w:id="134614442">
      <w:bodyDiv w:val="1"/>
      <w:marLeft w:val="0"/>
      <w:marRight w:val="0"/>
      <w:marTop w:val="0"/>
      <w:marBottom w:val="0"/>
      <w:divBdr>
        <w:top w:val="none" w:sz="0" w:space="0" w:color="auto"/>
        <w:left w:val="none" w:sz="0" w:space="0" w:color="auto"/>
        <w:bottom w:val="none" w:sz="0" w:space="0" w:color="auto"/>
        <w:right w:val="none" w:sz="0" w:space="0" w:color="auto"/>
      </w:divBdr>
    </w:div>
    <w:div w:id="142548513">
      <w:bodyDiv w:val="1"/>
      <w:marLeft w:val="0"/>
      <w:marRight w:val="0"/>
      <w:marTop w:val="0"/>
      <w:marBottom w:val="0"/>
      <w:divBdr>
        <w:top w:val="none" w:sz="0" w:space="0" w:color="auto"/>
        <w:left w:val="none" w:sz="0" w:space="0" w:color="auto"/>
        <w:bottom w:val="none" w:sz="0" w:space="0" w:color="auto"/>
        <w:right w:val="none" w:sz="0" w:space="0" w:color="auto"/>
      </w:divBdr>
    </w:div>
    <w:div w:id="149910280">
      <w:bodyDiv w:val="1"/>
      <w:marLeft w:val="0"/>
      <w:marRight w:val="0"/>
      <w:marTop w:val="0"/>
      <w:marBottom w:val="0"/>
      <w:divBdr>
        <w:top w:val="none" w:sz="0" w:space="0" w:color="auto"/>
        <w:left w:val="none" w:sz="0" w:space="0" w:color="auto"/>
        <w:bottom w:val="none" w:sz="0" w:space="0" w:color="auto"/>
        <w:right w:val="none" w:sz="0" w:space="0" w:color="auto"/>
      </w:divBdr>
    </w:div>
    <w:div w:id="150293696">
      <w:bodyDiv w:val="1"/>
      <w:marLeft w:val="0"/>
      <w:marRight w:val="0"/>
      <w:marTop w:val="0"/>
      <w:marBottom w:val="0"/>
      <w:divBdr>
        <w:top w:val="none" w:sz="0" w:space="0" w:color="auto"/>
        <w:left w:val="none" w:sz="0" w:space="0" w:color="auto"/>
        <w:bottom w:val="none" w:sz="0" w:space="0" w:color="auto"/>
        <w:right w:val="none" w:sz="0" w:space="0" w:color="auto"/>
      </w:divBdr>
    </w:div>
    <w:div w:id="154229983">
      <w:bodyDiv w:val="1"/>
      <w:marLeft w:val="0"/>
      <w:marRight w:val="0"/>
      <w:marTop w:val="0"/>
      <w:marBottom w:val="0"/>
      <w:divBdr>
        <w:top w:val="none" w:sz="0" w:space="0" w:color="auto"/>
        <w:left w:val="none" w:sz="0" w:space="0" w:color="auto"/>
        <w:bottom w:val="none" w:sz="0" w:space="0" w:color="auto"/>
        <w:right w:val="none" w:sz="0" w:space="0" w:color="auto"/>
      </w:divBdr>
    </w:div>
    <w:div w:id="162746902">
      <w:bodyDiv w:val="1"/>
      <w:marLeft w:val="0"/>
      <w:marRight w:val="0"/>
      <w:marTop w:val="0"/>
      <w:marBottom w:val="0"/>
      <w:divBdr>
        <w:top w:val="none" w:sz="0" w:space="0" w:color="auto"/>
        <w:left w:val="none" w:sz="0" w:space="0" w:color="auto"/>
        <w:bottom w:val="none" w:sz="0" w:space="0" w:color="auto"/>
        <w:right w:val="none" w:sz="0" w:space="0" w:color="auto"/>
      </w:divBdr>
    </w:div>
    <w:div w:id="167018152">
      <w:bodyDiv w:val="1"/>
      <w:marLeft w:val="0"/>
      <w:marRight w:val="0"/>
      <w:marTop w:val="0"/>
      <w:marBottom w:val="0"/>
      <w:divBdr>
        <w:top w:val="none" w:sz="0" w:space="0" w:color="auto"/>
        <w:left w:val="none" w:sz="0" w:space="0" w:color="auto"/>
        <w:bottom w:val="none" w:sz="0" w:space="0" w:color="auto"/>
        <w:right w:val="none" w:sz="0" w:space="0" w:color="auto"/>
      </w:divBdr>
    </w:div>
    <w:div w:id="168563363">
      <w:bodyDiv w:val="1"/>
      <w:marLeft w:val="0"/>
      <w:marRight w:val="0"/>
      <w:marTop w:val="0"/>
      <w:marBottom w:val="0"/>
      <w:divBdr>
        <w:top w:val="none" w:sz="0" w:space="0" w:color="auto"/>
        <w:left w:val="none" w:sz="0" w:space="0" w:color="auto"/>
        <w:bottom w:val="none" w:sz="0" w:space="0" w:color="auto"/>
        <w:right w:val="none" w:sz="0" w:space="0" w:color="auto"/>
      </w:divBdr>
    </w:div>
    <w:div w:id="169680039">
      <w:bodyDiv w:val="1"/>
      <w:marLeft w:val="0"/>
      <w:marRight w:val="0"/>
      <w:marTop w:val="0"/>
      <w:marBottom w:val="0"/>
      <w:divBdr>
        <w:top w:val="none" w:sz="0" w:space="0" w:color="auto"/>
        <w:left w:val="none" w:sz="0" w:space="0" w:color="auto"/>
        <w:bottom w:val="none" w:sz="0" w:space="0" w:color="auto"/>
        <w:right w:val="none" w:sz="0" w:space="0" w:color="auto"/>
      </w:divBdr>
    </w:div>
    <w:div w:id="169949485">
      <w:bodyDiv w:val="1"/>
      <w:marLeft w:val="0"/>
      <w:marRight w:val="0"/>
      <w:marTop w:val="0"/>
      <w:marBottom w:val="0"/>
      <w:divBdr>
        <w:top w:val="none" w:sz="0" w:space="0" w:color="auto"/>
        <w:left w:val="none" w:sz="0" w:space="0" w:color="auto"/>
        <w:bottom w:val="none" w:sz="0" w:space="0" w:color="auto"/>
        <w:right w:val="none" w:sz="0" w:space="0" w:color="auto"/>
      </w:divBdr>
    </w:div>
    <w:div w:id="175970218">
      <w:bodyDiv w:val="1"/>
      <w:marLeft w:val="0"/>
      <w:marRight w:val="0"/>
      <w:marTop w:val="0"/>
      <w:marBottom w:val="0"/>
      <w:divBdr>
        <w:top w:val="none" w:sz="0" w:space="0" w:color="auto"/>
        <w:left w:val="none" w:sz="0" w:space="0" w:color="auto"/>
        <w:bottom w:val="none" w:sz="0" w:space="0" w:color="auto"/>
        <w:right w:val="none" w:sz="0" w:space="0" w:color="auto"/>
      </w:divBdr>
    </w:div>
    <w:div w:id="178397908">
      <w:bodyDiv w:val="1"/>
      <w:marLeft w:val="0"/>
      <w:marRight w:val="0"/>
      <w:marTop w:val="0"/>
      <w:marBottom w:val="0"/>
      <w:divBdr>
        <w:top w:val="none" w:sz="0" w:space="0" w:color="auto"/>
        <w:left w:val="none" w:sz="0" w:space="0" w:color="auto"/>
        <w:bottom w:val="none" w:sz="0" w:space="0" w:color="auto"/>
        <w:right w:val="none" w:sz="0" w:space="0" w:color="auto"/>
      </w:divBdr>
    </w:div>
    <w:div w:id="186988594">
      <w:bodyDiv w:val="1"/>
      <w:marLeft w:val="0"/>
      <w:marRight w:val="0"/>
      <w:marTop w:val="0"/>
      <w:marBottom w:val="0"/>
      <w:divBdr>
        <w:top w:val="none" w:sz="0" w:space="0" w:color="auto"/>
        <w:left w:val="none" w:sz="0" w:space="0" w:color="auto"/>
        <w:bottom w:val="none" w:sz="0" w:space="0" w:color="auto"/>
        <w:right w:val="none" w:sz="0" w:space="0" w:color="auto"/>
      </w:divBdr>
    </w:div>
    <w:div w:id="195315922">
      <w:bodyDiv w:val="1"/>
      <w:marLeft w:val="0"/>
      <w:marRight w:val="0"/>
      <w:marTop w:val="0"/>
      <w:marBottom w:val="0"/>
      <w:divBdr>
        <w:top w:val="none" w:sz="0" w:space="0" w:color="auto"/>
        <w:left w:val="none" w:sz="0" w:space="0" w:color="auto"/>
        <w:bottom w:val="none" w:sz="0" w:space="0" w:color="auto"/>
        <w:right w:val="none" w:sz="0" w:space="0" w:color="auto"/>
      </w:divBdr>
    </w:div>
    <w:div w:id="195890660">
      <w:bodyDiv w:val="1"/>
      <w:marLeft w:val="0"/>
      <w:marRight w:val="0"/>
      <w:marTop w:val="0"/>
      <w:marBottom w:val="0"/>
      <w:divBdr>
        <w:top w:val="none" w:sz="0" w:space="0" w:color="auto"/>
        <w:left w:val="none" w:sz="0" w:space="0" w:color="auto"/>
        <w:bottom w:val="none" w:sz="0" w:space="0" w:color="auto"/>
        <w:right w:val="none" w:sz="0" w:space="0" w:color="auto"/>
      </w:divBdr>
    </w:div>
    <w:div w:id="195891173">
      <w:bodyDiv w:val="1"/>
      <w:marLeft w:val="0"/>
      <w:marRight w:val="0"/>
      <w:marTop w:val="0"/>
      <w:marBottom w:val="0"/>
      <w:divBdr>
        <w:top w:val="none" w:sz="0" w:space="0" w:color="auto"/>
        <w:left w:val="none" w:sz="0" w:space="0" w:color="auto"/>
        <w:bottom w:val="none" w:sz="0" w:space="0" w:color="auto"/>
        <w:right w:val="none" w:sz="0" w:space="0" w:color="auto"/>
      </w:divBdr>
    </w:div>
    <w:div w:id="206766762">
      <w:bodyDiv w:val="1"/>
      <w:marLeft w:val="0"/>
      <w:marRight w:val="0"/>
      <w:marTop w:val="0"/>
      <w:marBottom w:val="0"/>
      <w:divBdr>
        <w:top w:val="none" w:sz="0" w:space="0" w:color="auto"/>
        <w:left w:val="none" w:sz="0" w:space="0" w:color="auto"/>
        <w:bottom w:val="none" w:sz="0" w:space="0" w:color="auto"/>
        <w:right w:val="none" w:sz="0" w:space="0" w:color="auto"/>
      </w:divBdr>
    </w:div>
    <w:div w:id="209148100">
      <w:bodyDiv w:val="1"/>
      <w:marLeft w:val="0"/>
      <w:marRight w:val="0"/>
      <w:marTop w:val="0"/>
      <w:marBottom w:val="0"/>
      <w:divBdr>
        <w:top w:val="none" w:sz="0" w:space="0" w:color="auto"/>
        <w:left w:val="none" w:sz="0" w:space="0" w:color="auto"/>
        <w:bottom w:val="none" w:sz="0" w:space="0" w:color="auto"/>
        <w:right w:val="none" w:sz="0" w:space="0" w:color="auto"/>
      </w:divBdr>
    </w:div>
    <w:div w:id="213397647">
      <w:bodyDiv w:val="1"/>
      <w:marLeft w:val="0"/>
      <w:marRight w:val="0"/>
      <w:marTop w:val="0"/>
      <w:marBottom w:val="0"/>
      <w:divBdr>
        <w:top w:val="none" w:sz="0" w:space="0" w:color="auto"/>
        <w:left w:val="none" w:sz="0" w:space="0" w:color="auto"/>
        <w:bottom w:val="none" w:sz="0" w:space="0" w:color="auto"/>
        <w:right w:val="none" w:sz="0" w:space="0" w:color="auto"/>
      </w:divBdr>
    </w:div>
    <w:div w:id="216432130">
      <w:bodyDiv w:val="1"/>
      <w:marLeft w:val="0"/>
      <w:marRight w:val="0"/>
      <w:marTop w:val="0"/>
      <w:marBottom w:val="0"/>
      <w:divBdr>
        <w:top w:val="none" w:sz="0" w:space="0" w:color="auto"/>
        <w:left w:val="none" w:sz="0" w:space="0" w:color="auto"/>
        <w:bottom w:val="none" w:sz="0" w:space="0" w:color="auto"/>
        <w:right w:val="none" w:sz="0" w:space="0" w:color="auto"/>
      </w:divBdr>
    </w:div>
    <w:div w:id="223879189">
      <w:bodyDiv w:val="1"/>
      <w:marLeft w:val="0"/>
      <w:marRight w:val="0"/>
      <w:marTop w:val="0"/>
      <w:marBottom w:val="0"/>
      <w:divBdr>
        <w:top w:val="none" w:sz="0" w:space="0" w:color="auto"/>
        <w:left w:val="none" w:sz="0" w:space="0" w:color="auto"/>
        <w:bottom w:val="none" w:sz="0" w:space="0" w:color="auto"/>
        <w:right w:val="none" w:sz="0" w:space="0" w:color="auto"/>
      </w:divBdr>
    </w:div>
    <w:div w:id="231158308">
      <w:bodyDiv w:val="1"/>
      <w:marLeft w:val="0"/>
      <w:marRight w:val="0"/>
      <w:marTop w:val="0"/>
      <w:marBottom w:val="0"/>
      <w:divBdr>
        <w:top w:val="none" w:sz="0" w:space="0" w:color="auto"/>
        <w:left w:val="none" w:sz="0" w:space="0" w:color="auto"/>
        <w:bottom w:val="none" w:sz="0" w:space="0" w:color="auto"/>
        <w:right w:val="none" w:sz="0" w:space="0" w:color="auto"/>
      </w:divBdr>
    </w:div>
    <w:div w:id="235097586">
      <w:bodyDiv w:val="1"/>
      <w:marLeft w:val="0"/>
      <w:marRight w:val="0"/>
      <w:marTop w:val="0"/>
      <w:marBottom w:val="0"/>
      <w:divBdr>
        <w:top w:val="none" w:sz="0" w:space="0" w:color="auto"/>
        <w:left w:val="none" w:sz="0" w:space="0" w:color="auto"/>
        <w:bottom w:val="none" w:sz="0" w:space="0" w:color="auto"/>
        <w:right w:val="none" w:sz="0" w:space="0" w:color="auto"/>
      </w:divBdr>
    </w:div>
    <w:div w:id="236745742">
      <w:bodyDiv w:val="1"/>
      <w:marLeft w:val="0"/>
      <w:marRight w:val="0"/>
      <w:marTop w:val="0"/>
      <w:marBottom w:val="0"/>
      <w:divBdr>
        <w:top w:val="none" w:sz="0" w:space="0" w:color="auto"/>
        <w:left w:val="none" w:sz="0" w:space="0" w:color="auto"/>
        <w:bottom w:val="none" w:sz="0" w:space="0" w:color="auto"/>
        <w:right w:val="none" w:sz="0" w:space="0" w:color="auto"/>
      </w:divBdr>
    </w:div>
    <w:div w:id="242954282">
      <w:bodyDiv w:val="1"/>
      <w:marLeft w:val="0"/>
      <w:marRight w:val="0"/>
      <w:marTop w:val="0"/>
      <w:marBottom w:val="0"/>
      <w:divBdr>
        <w:top w:val="none" w:sz="0" w:space="0" w:color="auto"/>
        <w:left w:val="none" w:sz="0" w:space="0" w:color="auto"/>
        <w:bottom w:val="none" w:sz="0" w:space="0" w:color="auto"/>
        <w:right w:val="none" w:sz="0" w:space="0" w:color="auto"/>
      </w:divBdr>
    </w:div>
    <w:div w:id="244997920">
      <w:bodyDiv w:val="1"/>
      <w:marLeft w:val="0"/>
      <w:marRight w:val="0"/>
      <w:marTop w:val="0"/>
      <w:marBottom w:val="0"/>
      <w:divBdr>
        <w:top w:val="none" w:sz="0" w:space="0" w:color="auto"/>
        <w:left w:val="none" w:sz="0" w:space="0" w:color="auto"/>
        <w:bottom w:val="none" w:sz="0" w:space="0" w:color="auto"/>
        <w:right w:val="none" w:sz="0" w:space="0" w:color="auto"/>
      </w:divBdr>
    </w:div>
    <w:div w:id="245265410">
      <w:bodyDiv w:val="1"/>
      <w:marLeft w:val="0"/>
      <w:marRight w:val="0"/>
      <w:marTop w:val="0"/>
      <w:marBottom w:val="0"/>
      <w:divBdr>
        <w:top w:val="none" w:sz="0" w:space="0" w:color="auto"/>
        <w:left w:val="none" w:sz="0" w:space="0" w:color="auto"/>
        <w:bottom w:val="none" w:sz="0" w:space="0" w:color="auto"/>
        <w:right w:val="none" w:sz="0" w:space="0" w:color="auto"/>
      </w:divBdr>
    </w:div>
    <w:div w:id="246305718">
      <w:bodyDiv w:val="1"/>
      <w:marLeft w:val="0"/>
      <w:marRight w:val="0"/>
      <w:marTop w:val="0"/>
      <w:marBottom w:val="0"/>
      <w:divBdr>
        <w:top w:val="none" w:sz="0" w:space="0" w:color="auto"/>
        <w:left w:val="none" w:sz="0" w:space="0" w:color="auto"/>
        <w:bottom w:val="none" w:sz="0" w:space="0" w:color="auto"/>
        <w:right w:val="none" w:sz="0" w:space="0" w:color="auto"/>
      </w:divBdr>
    </w:div>
    <w:div w:id="248271297">
      <w:bodyDiv w:val="1"/>
      <w:marLeft w:val="0"/>
      <w:marRight w:val="0"/>
      <w:marTop w:val="0"/>
      <w:marBottom w:val="0"/>
      <w:divBdr>
        <w:top w:val="none" w:sz="0" w:space="0" w:color="auto"/>
        <w:left w:val="none" w:sz="0" w:space="0" w:color="auto"/>
        <w:bottom w:val="none" w:sz="0" w:space="0" w:color="auto"/>
        <w:right w:val="none" w:sz="0" w:space="0" w:color="auto"/>
      </w:divBdr>
    </w:div>
    <w:div w:id="249198040">
      <w:bodyDiv w:val="1"/>
      <w:marLeft w:val="0"/>
      <w:marRight w:val="0"/>
      <w:marTop w:val="0"/>
      <w:marBottom w:val="0"/>
      <w:divBdr>
        <w:top w:val="none" w:sz="0" w:space="0" w:color="auto"/>
        <w:left w:val="none" w:sz="0" w:space="0" w:color="auto"/>
        <w:bottom w:val="none" w:sz="0" w:space="0" w:color="auto"/>
        <w:right w:val="none" w:sz="0" w:space="0" w:color="auto"/>
      </w:divBdr>
    </w:div>
    <w:div w:id="251160015">
      <w:bodyDiv w:val="1"/>
      <w:marLeft w:val="0"/>
      <w:marRight w:val="0"/>
      <w:marTop w:val="0"/>
      <w:marBottom w:val="0"/>
      <w:divBdr>
        <w:top w:val="none" w:sz="0" w:space="0" w:color="auto"/>
        <w:left w:val="none" w:sz="0" w:space="0" w:color="auto"/>
        <w:bottom w:val="none" w:sz="0" w:space="0" w:color="auto"/>
        <w:right w:val="none" w:sz="0" w:space="0" w:color="auto"/>
      </w:divBdr>
    </w:div>
    <w:div w:id="257642033">
      <w:bodyDiv w:val="1"/>
      <w:marLeft w:val="0"/>
      <w:marRight w:val="0"/>
      <w:marTop w:val="0"/>
      <w:marBottom w:val="0"/>
      <w:divBdr>
        <w:top w:val="none" w:sz="0" w:space="0" w:color="auto"/>
        <w:left w:val="none" w:sz="0" w:space="0" w:color="auto"/>
        <w:bottom w:val="none" w:sz="0" w:space="0" w:color="auto"/>
        <w:right w:val="none" w:sz="0" w:space="0" w:color="auto"/>
      </w:divBdr>
    </w:div>
    <w:div w:id="262803390">
      <w:bodyDiv w:val="1"/>
      <w:marLeft w:val="0"/>
      <w:marRight w:val="0"/>
      <w:marTop w:val="0"/>
      <w:marBottom w:val="0"/>
      <w:divBdr>
        <w:top w:val="none" w:sz="0" w:space="0" w:color="auto"/>
        <w:left w:val="none" w:sz="0" w:space="0" w:color="auto"/>
        <w:bottom w:val="none" w:sz="0" w:space="0" w:color="auto"/>
        <w:right w:val="none" w:sz="0" w:space="0" w:color="auto"/>
      </w:divBdr>
    </w:div>
    <w:div w:id="267353904">
      <w:bodyDiv w:val="1"/>
      <w:marLeft w:val="0"/>
      <w:marRight w:val="0"/>
      <w:marTop w:val="0"/>
      <w:marBottom w:val="0"/>
      <w:divBdr>
        <w:top w:val="none" w:sz="0" w:space="0" w:color="auto"/>
        <w:left w:val="none" w:sz="0" w:space="0" w:color="auto"/>
        <w:bottom w:val="none" w:sz="0" w:space="0" w:color="auto"/>
        <w:right w:val="none" w:sz="0" w:space="0" w:color="auto"/>
      </w:divBdr>
    </w:div>
    <w:div w:id="268894644">
      <w:bodyDiv w:val="1"/>
      <w:marLeft w:val="0"/>
      <w:marRight w:val="0"/>
      <w:marTop w:val="0"/>
      <w:marBottom w:val="0"/>
      <w:divBdr>
        <w:top w:val="none" w:sz="0" w:space="0" w:color="auto"/>
        <w:left w:val="none" w:sz="0" w:space="0" w:color="auto"/>
        <w:bottom w:val="none" w:sz="0" w:space="0" w:color="auto"/>
        <w:right w:val="none" w:sz="0" w:space="0" w:color="auto"/>
      </w:divBdr>
    </w:div>
    <w:div w:id="272177563">
      <w:bodyDiv w:val="1"/>
      <w:marLeft w:val="0"/>
      <w:marRight w:val="0"/>
      <w:marTop w:val="0"/>
      <w:marBottom w:val="0"/>
      <w:divBdr>
        <w:top w:val="none" w:sz="0" w:space="0" w:color="auto"/>
        <w:left w:val="none" w:sz="0" w:space="0" w:color="auto"/>
        <w:bottom w:val="none" w:sz="0" w:space="0" w:color="auto"/>
        <w:right w:val="none" w:sz="0" w:space="0" w:color="auto"/>
      </w:divBdr>
    </w:div>
    <w:div w:id="274992887">
      <w:bodyDiv w:val="1"/>
      <w:marLeft w:val="0"/>
      <w:marRight w:val="0"/>
      <w:marTop w:val="0"/>
      <w:marBottom w:val="0"/>
      <w:divBdr>
        <w:top w:val="none" w:sz="0" w:space="0" w:color="auto"/>
        <w:left w:val="none" w:sz="0" w:space="0" w:color="auto"/>
        <w:bottom w:val="none" w:sz="0" w:space="0" w:color="auto"/>
        <w:right w:val="none" w:sz="0" w:space="0" w:color="auto"/>
      </w:divBdr>
    </w:div>
    <w:div w:id="276178630">
      <w:bodyDiv w:val="1"/>
      <w:marLeft w:val="0"/>
      <w:marRight w:val="0"/>
      <w:marTop w:val="0"/>
      <w:marBottom w:val="0"/>
      <w:divBdr>
        <w:top w:val="none" w:sz="0" w:space="0" w:color="auto"/>
        <w:left w:val="none" w:sz="0" w:space="0" w:color="auto"/>
        <w:bottom w:val="none" w:sz="0" w:space="0" w:color="auto"/>
        <w:right w:val="none" w:sz="0" w:space="0" w:color="auto"/>
      </w:divBdr>
    </w:div>
    <w:div w:id="278689303">
      <w:bodyDiv w:val="1"/>
      <w:marLeft w:val="0"/>
      <w:marRight w:val="0"/>
      <w:marTop w:val="0"/>
      <w:marBottom w:val="0"/>
      <w:divBdr>
        <w:top w:val="none" w:sz="0" w:space="0" w:color="auto"/>
        <w:left w:val="none" w:sz="0" w:space="0" w:color="auto"/>
        <w:bottom w:val="none" w:sz="0" w:space="0" w:color="auto"/>
        <w:right w:val="none" w:sz="0" w:space="0" w:color="auto"/>
      </w:divBdr>
    </w:div>
    <w:div w:id="278755980">
      <w:bodyDiv w:val="1"/>
      <w:marLeft w:val="0"/>
      <w:marRight w:val="0"/>
      <w:marTop w:val="0"/>
      <w:marBottom w:val="0"/>
      <w:divBdr>
        <w:top w:val="none" w:sz="0" w:space="0" w:color="auto"/>
        <w:left w:val="none" w:sz="0" w:space="0" w:color="auto"/>
        <w:bottom w:val="none" w:sz="0" w:space="0" w:color="auto"/>
        <w:right w:val="none" w:sz="0" w:space="0" w:color="auto"/>
      </w:divBdr>
    </w:div>
    <w:div w:id="292831927">
      <w:bodyDiv w:val="1"/>
      <w:marLeft w:val="0"/>
      <w:marRight w:val="0"/>
      <w:marTop w:val="0"/>
      <w:marBottom w:val="0"/>
      <w:divBdr>
        <w:top w:val="none" w:sz="0" w:space="0" w:color="auto"/>
        <w:left w:val="none" w:sz="0" w:space="0" w:color="auto"/>
        <w:bottom w:val="none" w:sz="0" w:space="0" w:color="auto"/>
        <w:right w:val="none" w:sz="0" w:space="0" w:color="auto"/>
      </w:divBdr>
    </w:div>
    <w:div w:id="293564930">
      <w:bodyDiv w:val="1"/>
      <w:marLeft w:val="0"/>
      <w:marRight w:val="0"/>
      <w:marTop w:val="0"/>
      <w:marBottom w:val="0"/>
      <w:divBdr>
        <w:top w:val="none" w:sz="0" w:space="0" w:color="auto"/>
        <w:left w:val="none" w:sz="0" w:space="0" w:color="auto"/>
        <w:bottom w:val="none" w:sz="0" w:space="0" w:color="auto"/>
        <w:right w:val="none" w:sz="0" w:space="0" w:color="auto"/>
      </w:divBdr>
    </w:div>
    <w:div w:id="293945365">
      <w:bodyDiv w:val="1"/>
      <w:marLeft w:val="0"/>
      <w:marRight w:val="0"/>
      <w:marTop w:val="0"/>
      <w:marBottom w:val="0"/>
      <w:divBdr>
        <w:top w:val="none" w:sz="0" w:space="0" w:color="auto"/>
        <w:left w:val="none" w:sz="0" w:space="0" w:color="auto"/>
        <w:bottom w:val="none" w:sz="0" w:space="0" w:color="auto"/>
        <w:right w:val="none" w:sz="0" w:space="0" w:color="auto"/>
      </w:divBdr>
    </w:div>
    <w:div w:id="302077122">
      <w:bodyDiv w:val="1"/>
      <w:marLeft w:val="0"/>
      <w:marRight w:val="0"/>
      <w:marTop w:val="0"/>
      <w:marBottom w:val="0"/>
      <w:divBdr>
        <w:top w:val="none" w:sz="0" w:space="0" w:color="auto"/>
        <w:left w:val="none" w:sz="0" w:space="0" w:color="auto"/>
        <w:bottom w:val="none" w:sz="0" w:space="0" w:color="auto"/>
        <w:right w:val="none" w:sz="0" w:space="0" w:color="auto"/>
      </w:divBdr>
    </w:div>
    <w:div w:id="303239650">
      <w:bodyDiv w:val="1"/>
      <w:marLeft w:val="0"/>
      <w:marRight w:val="0"/>
      <w:marTop w:val="0"/>
      <w:marBottom w:val="0"/>
      <w:divBdr>
        <w:top w:val="none" w:sz="0" w:space="0" w:color="auto"/>
        <w:left w:val="none" w:sz="0" w:space="0" w:color="auto"/>
        <w:bottom w:val="none" w:sz="0" w:space="0" w:color="auto"/>
        <w:right w:val="none" w:sz="0" w:space="0" w:color="auto"/>
      </w:divBdr>
    </w:div>
    <w:div w:id="309335865">
      <w:bodyDiv w:val="1"/>
      <w:marLeft w:val="0"/>
      <w:marRight w:val="0"/>
      <w:marTop w:val="0"/>
      <w:marBottom w:val="0"/>
      <w:divBdr>
        <w:top w:val="none" w:sz="0" w:space="0" w:color="auto"/>
        <w:left w:val="none" w:sz="0" w:space="0" w:color="auto"/>
        <w:bottom w:val="none" w:sz="0" w:space="0" w:color="auto"/>
        <w:right w:val="none" w:sz="0" w:space="0" w:color="auto"/>
      </w:divBdr>
    </w:div>
    <w:div w:id="310182363">
      <w:bodyDiv w:val="1"/>
      <w:marLeft w:val="0"/>
      <w:marRight w:val="0"/>
      <w:marTop w:val="0"/>
      <w:marBottom w:val="0"/>
      <w:divBdr>
        <w:top w:val="none" w:sz="0" w:space="0" w:color="auto"/>
        <w:left w:val="none" w:sz="0" w:space="0" w:color="auto"/>
        <w:bottom w:val="none" w:sz="0" w:space="0" w:color="auto"/>
        <w:right w:val="none" w:sz="0" w:space="0" w:color="auto"/>
      </w:divBdr>
    </w:div>
    <w:div w:id="310213604">
      <w:bodyDiv w:val="1"/>
      <w:marLeft w:val="0"/>
      <w:marRight w:val="0"/>
      <w:marTop w:val="0"/>
      <w:marBottom w:val="0"/>
      <w:divBdr>
        <w:top w:val="none" w:sz="0" w:space="0" w:color="auto"/>
        <w:left w:val="none" w:sz="0" w:space="0" w:color="auto"/>
        <w:bottom w:val="none" w:sz="0" w:space="0" w:color="auto"/>
        <w:right w:val="none" w:sz="0" w:space="0" w:color="auto"/>
      </w:divBdr>
    </w:div>
    <w:div w:id="310909194">
      <w:bodyDiv w:val="1"/>
      <w:marLeft w:val="0"/>
      <w:marRight w:val="0"/>
      <w:marTop w:val="0"/>
      <w:marBottom w:val="0"/>
      <w:divBdr>
        <w:top w:val="none" w:sz="0" w:space="0" w:color="auto"/>
        <w:left w:val="none" w:sz="0" w:space="0" w:color="auto"/>
        <w:bottom w:val="none" w:sz="0" w:space="0" w:color="auto"/>
        <w:right w:val="none" w:sz="0" w:space="0" w:color="auto"/>
      </w:divBdr>
    </w:div>
    <w:div w:id="313098151">
      <w:bodyDiv w:val="1"/>
      <w:marLeft w:val="0"/>
      <w:marRight w:val="0"/>
      <w:marTop w:val="0"/>
      <w:marBottom w:val="0"/>
      <w:divBdr>
        <w:top w:val="none" w:sz="0" w:space="0" w:color="auto"/>
        <w:left w:val="none" w:sz="0" w:space="0" w:color="auto"/>
        <w:bottom w:val="none" w:sz="0" w:space="0" w:color="auto"/>
        <w:right w:val="none" w:sz="0" w:space="0" w:color="auto"/>
      </w:divBdr>
    </w:div>
    <w:div w:id="318197498">
      <w:bodyDiv w:val="1"/>
      <w:marLeft w:val="0"/>
      <w:marRight w:val="0"/>
      <w:marTop w:val="0"/>
      <w:marBottom w:val="0"/>
      <w:divBdr>
        <w:top w:val="none" w:sz="0" w:space="0" w:color="auto"/>
        <w:left w:val="none" w:sz="0" w:space="0" w:color="auto"/>
        <w:bottom w:val="none" w:sz="0" w:space="0" w:color="auto"/>
        <w:right w:val="none" w:sz="0" w:space="0" w:color="auto"/>
      </w:divBdr>
    </w:div>
    <w:div w:id="343017596">
      <w:bodyDiv w:val="1"/>
      <w:marLeft w:val="0"/>
      <w:marRight w:val="0"/>
      <w:marTop w:val="0"/>
      <w:marBottom w:val="0"/>
      <w:divBdr>
        <w:top w:val="none" w:sz="0" w:space="0" w:color="auto"/>
        <w:left w:val="none" w:sz="0" w:space="0" w:color="auto"/>
        <w:bottom w:val="none" w:sz="0" w:space="0" w:color="auto"/>
        <w:right w:val="none" w:sz="0" w:space="0" w:color="auto"/>
      </w:divBdr>
    </w:div>
    <w:div w:id="343827789">
      <w:bodyDiv w:val="1"/>
      <w:marLeft w:val="0"/>
      <w:marRight w:val="0"/>
      <w:marTop w:val="0"/>
      <w:marBottom w:val="0"/>
      <w:divBdr>
        <w:top w:val="none" w:sz="0" w:space="0" w:color="auto"/>
        <w:left w:val="none" w:sz="0" w:space="0" w:color="auto"/>
        <w:bottom w:val="none" w:sz="0" w:space="0" w:color="auto"/>
        <w:right w:val="none" w:sz="0" w:space="0" w:color="auto"/>
      </w:divBdr>
    </w:div>
    <w:div w:id="347677007">
      <w:bodyDiv w:val="1"/>
      <w:marLeft w:val="0"/>
      <w:marRight w:val="0"/>
      <w:marTop w:val="0"/>
      <w:marBottom w:val="0"/>
      <w:divBdr>
        <w:top w:val="none" w:sz="0" w:space="0" w:color="auto"/>
        <w:left w:val="none" w:sz="0" w:space="0" w:color="auto"/>
        <w:bottom w:val="none" w:sz="0" w:space="0" w:color="auto"/>
        <w:right w:val="none" w:sz="0" w:space="0" w:color="auto"/>
      </w:divBdr>
    </w:div>
    <w:div w:id="348724217">
      <w:bodyDiv w:val="1"/>
      <w:marLeft w:val="0"/>
      <w:marRight w:val="0"/>
      <w:marTop w:val="0"/>
      <w:marBottom w:val="0"/>
      <w:divBdr>
        <w:top w:val="none" w:sz="0" w:space="0" w:color="auto"/>
        <w:left w:val="none" w:sz="0" w:space="0" w:color="auto"/>
        <w:bottom w:val="none" w:sz="0" w:space="0" w:color="auto"/>
        <w:right w:val="none" w:sz="0" w:space="0" w:color="auto"/>
      </w:divBdr>
    </w:div>
    <w:div w:id="350497697">
      <w:bodyDiv w:val="1"/>
      <w:marLeft w:val="0"/>
      <w:marRight w:val="0"/>
      <w:marTop w:val="0"/>
      <w:marBottom w:val="0"/>
      <w:divBdr>
        <w:top w:val="none" w:sz="0" w:space="0" w:color="auto"/>
        <w:left w:val="none" w:sz="0" w:space="0" w:color="auto"/>
        <w:bottom w:val="none" w:sz="0" w:space="0" w:color="auto"/>
        <w:right w:val="none" w:sz="0" w:space="0" w:color="auto"/>
      </w:divBdr>
    </w:div>
    <w:div w:id="364595877">
      <w:bodyDiv w:val="1"/>
      <w:marLeft w:val="0"/>
      <w:marRight w:val="0"/>
      <w:marTop w:val="0"/>
      <w:marBottom w:val="0"/>
      <w:divBdr>
        <w:top w:val="none" w:sz="0" w:space="0" w:color="auto"/>
        <w:left w:val="none" w:sz="0" w:space="0" w:color="auto"/>
        <w:bottom w:val="none" w:sz="0" w:space="0" w:color="auto"/>
        <w:right w:val="none" w:sz="0" w:space="0" w:color="auto"/>
      </w:divBdr>
    </w:div>
    <w:div w:id="365449294">
      <w:bodyDiv w:val="1"/>
      <w:marLeft w:val="0"/>
      <w:marRight w:val="0"/>
      <w:marTop w:val="0"/>
      <w:marBottom w:val="0"/>
      <w:divBdr>
        <w:top w:val="none" w:sz="0" w:space="0" w:color="auto"/>
        <w:left w:val="none" w:sz="0" w:space="0" w:color="auto"/>
        <w:bottom w:val="none" w:sz="0" w:space="0" w:color="auto"/>
        <w:right w:val="none" w:sz="0" w:space="0" w:color="auto"/>
      </w:divBdr>
    </w:div>
    <w:div w:id="370300895">
      <w:bodyDiv w:val="1"/>
      <w:marLeft w:val="0"/>
      <w:marRight w:val="0"/>
      <w:marTop w:val="0"/>
      <w:marBottom w:val="0"/>
      <w:divBdr>
        <w:top w:val="none" w:sz="0" w:space="0" w:color="auto"/>
        <w:left w:val="none" w:sz="0" w:space="0" w:color="auto"/>
        <w:bottom w:val="none" w:sz="0" w:space="0" w:color="auto"/>
        <w:right w:val="none" w:sz="0" w:space="0" w:color="auto"/>
      </w:divBdr>
    </w:div>
    <w:div w:id="371343371">
      <w:bodyDiv w:val="1"/>
      <w:marLeft w:val="0"/>
      <w:marRight w:val="0"/>
      <w:marTop w:val="0"/>
      <w:marBottom w:val="0"/>
      <w:divBdr>
        <w:top w:val="none" w:sz="0" w:space="0" w:color="auto"/>
        <w:left w:val="none" w:sz="0" w:space="0" w:color="auto"/>
        <w:bottom w:val="none" w:sz="0" w:space="0" w:color="auto"/>
        <w:right w:val="none" w:sz="0" w:space="0" w:color="auto"/>
      </w:divBdr>
    </w:div>
    <w:div w:id="374551299">
      <w:bodyDiv w:val="1"/>
      <w:marLeft w:val="0"/>
      <w:marRight w:val="0"/>
      <w:marTop w:val="0"/>
      <w:marBottom w:val="0"/>
      <w:divBdr>
        <w:top w:val="none" w:sz="0" w:space="0" w:color="auto"/>
        <w:left w:val="none" w:sz="0" w:space="0" w:color="auto"/>
        <w:bottom w:val="none" w:sz="0" w:space="0" w:color="auto"/>
        <w:right w:val="none" w:sz="0" w:space="0" w:color="auto"/>
      </w:divBdr>
    </w:div>
    <w:div w:id="385496434">
      <w:bodyDiv w:val="1"/>
      <w:marLeft w:val="0"/>
      <w:marRight w:val="0"/>
      <w:marTop w:val="0"/>
      <w:marBottom w:val="0"/>
      <w:divBdr>
        <w:top w:val="none" w:sz="0" w:space="0" w:color="auto"/>
        <w:left w:val="none" w:sz="0" w:space="0" w:color="auto"/>
        <w:bottom w:val="none" w:sz="0" w:space="0" w:color="auto"/>
        <w:right w:val="none" w:sz="0" w:space="0" w:color="auto"/>
      </w:divBdr>
    </w:div>
    <w:div w:id="385571590">
      <w:bodyDiv w:val="1"/>
      <w:marLeft w:val="0"/>
      <w:marRight w:val="0"/>
      <w:marTop w:val="0"/>
      <w:marBottom w:val="0"/>
      <w:divBdr>
        <w:top w:val="none" w:sz="0" w:space="0" w:color="auto"/>
        <w:left w:val="none" w:sz="0" w:space="0" w:color="auto"/>
        <w:bottom w:val="none" w:sz="0" w:space="0" w:color="auto"/>
        <w:right w:val="none" w:sz="0" w:space="0" w:color="auto"/>
      </w:divBdr>
    </w:div>
    <w:div w:id="386955958">
      <w:bodyDiv w:val="1"/>
      <w:marLeft w:val="0"/>
      <w:marRight w:val="0"/>
      <w:marTop w:val="0"/>
      <w:marBottom w:val="0"/>
      <w:divBdr>
        <w:top w:val="none" w:sz="0" w:space="0" w:color="auto"/>
        <w:left w:val="none" w:sz="0" w:space="0" w:color="auto"/>
        <w:bottom w:val="none" w:sz="0" w:space="0" w:color="auto"/>
        <w:right w:val="none" w:sz="0" w:space="0" w:color="auto"/>
      </w:divBdr>
    </w:div>
    <w:div w:id="389692083">
      <w:bodyDiv w:val="1"/>
      <w:marLeft w:val="0"/>
      <w:marRight w:val="0"/>
      <w:marTop w:val="0"/>
      <w:marBottom w:val="0"/>
      <w:divBdr>
        <w:top w:val="none" w:sz="0" w:space="0" w:color="auto"/>
        <w:left w:val="none" w:sz="0" w:space="0" w:color="auto"/>
        <w:bottom w:val="none" w:sz="0" w:space="0" w:color="auto"/>
        <w:right w:val="none" w:sz="0" w:space="0" w:color="auto"/>
      </w:divBdr>
    </w:div>
    <w:div w:id="391000846">
      <w:bodyDiv w:val="1"/>
      <w:marLeft w:val="0"/>
      <w:marRight w:val="0"/>
      <w:marTop w:val="0"/>
      <w:marBottom w:val="0"/>
      <w:divBdr>
        <w:top w:val="none" w:sz="0" w:space="0" w:color="auto"/>
        <w:left w:val="none" w:sz="0" w:space="0" w:color="auto"/>
        <w:bottom w:val="none" w:sz="0" w:space="0" w:color="auto"/>
        <w:right w:val="none" w:sz="0" w:space="0" w:color="auto"/>
      </w:divBdr>
    </w:div>
    <w:div w:id="392966347">
      <w:bodyDiv w:val="1"/>
      <w:marLeft w:val="0"/>
      <w:marRight w:val="0"/>
      <w:marTop w:val="0"/>
      <w:marBottom w:val="0"/>
      <w:divBdr>
        <w:top w:val="none" w:sz="0" w:space="0" w:color="auto"/>
        <w:left w:val="none" w:sz="0" w:space="0" w:color="auto"/>
        <w:bottom w:val="none" w:sz="0" w:space="0" w:color="auto"/>
        <w:right w:val="none" w:sz="0" w:space="0" w:color="auto"/>
      </w:divBdr>
    </w:div>
    <w:div w:id="394863810">
      <w:bodyDiv w:val="1"/>
      <w:marLeft w:val="0"/>
      <w:marRight w:val="0"/>
      <w:marTop w:val="0"/>
      <w:marBottom w:val="0"/>
      <w:divBdr>
        <w:top w:val="none" w:sz="0" w:space="0" w:color="auto"/>
        <w:left w:val="none" w:sz="0" w:space="0" w:color="auto"/>
        <w:bottom w:val="none" w:sz="0" w:space="0" w:color="auto"/>
        <w:right w:val="none" w:sz="0" w:space="0" w:color="auto"/>
      </w:divBdr>
    </w:div>
    <w:div w:id="404693237">
      <w:bodyDiv w:val="1"/>
      <w:marLeft w:val="0"/>
      <w:marRight w:val="0"/>
      <w:marTop w:val="0"/>
      <w:marBottom w:val="0"/>
      <w:divBdr>
        <w:top w:val="none" w:sz="0" w:space="0" w:color="auto"/>
        <w:left w:val="none" w:sz="0" w:space="0" w:color="auto"/>
        <w:bottom w:val="none" w:sz="0" w:space="0" w:color="auto"/>
        <w:right w:val="none" w:sz="0" w:space="0" w:color="auto"/>
      </w:divBdr>
    </w:div>
    <w:div w:id="405958734">
      <w:bodyDiv w:val="1"/>
      <w:marLeft w:val="0"/>
      <w:marRight w:val="0"/>
      <w:marTop w:val="0"/>
      <w:marBottom w:val="0"/>
      <w:divBdr>
        <w:top w:val="none" w:sz="0" w:space="0" w:color="auto"/>
        <w:left w:val="none" w:sz="0" w:space="0" w:color="auto"/>
        <w:bottom w:val="none" w:sz="0" w:space="0" w:color="auto"/>
        <w:right w:val="none" w:sz="0" w:space="0" w:color="auto"/>
      </w:divBdr>
    </w:div>
    <w:div w:id="406270949">
      <w:bodyDiv w:val="1"/>
      <w:marLeft w:val="0"/>
      <w:marRight w:val="0"/>
      <w:marTop w:val="0"/>
      <w:marBottom w:val="0"/>
      <w:divBdr>
        <w:top w:val="none" w:sz="0" w:space="0" w:color="auto"/>
        <w:left w:val="none" w:sz="0" w:space="0" w:color="auto"/>
        <w:bottom w:val="none" w:sz="0" w:space="0" w:color="auto"/>
        <w:right w:val="none" w:sz="0" w:space="0" w:color="auto"/>
      </w:divBdr>
    </w:div>
    <w:div w:id="412505677">
      <w:bodyDiv w:val="1"/>
      <w:marLeft w:val="0"/>
      <w:marRight w:val="0"/>
      <w:marTop w:val="0"/>
      <w:marBottom w:val="0"/>
      <w:divBdr>
        <w:top w:val="none" w:sz="0" w:space="0" w:color="auto"/>
        <w:left w:val="none" w:sz="0" w:space="0" w:color="auto"/>
        <w:bottom w:val="none" w:sz="0" w:space="0" w:color="auto"/>
        <w:right w:val="none" w:sz="0" w:space="0" w:color="auto"/>
      </w:divBdr>
    </w:div>
    <w:div w:id="415328564">
      <w:bodyDiv w:val="1"/>
      <w:marLeft w:val="0"/>
      <w:marRight w:val="0"/>
      <w:marTop w:val="0"/>
      <w:marBottom w:val="0"/>
      <w:divBdr>
        <w:top w:val="none" w:sz="0" w:space="0" w:color="auto"/>
        <w:left w:val="none" w:sz="0" w:space="0" w:color="auto"/>
        <w:bottom w:val="none" w:sz="0" w:space="0" w:color="auto"/>
        <w:right w:val="none" w:sz="0" w:space="0" w:color="auto"/>
      </w:divBdr>
    </w:div>
    <w:div w:id="415716089">
      <w:bodyDiv w:val="1"/>
      <w:marLeft w:val="0"/>
      <w:marRight w:val="0"/>
      <w:marTop w:val="0"/>
      <w:marBottom w:val="0"/>
      <w:divBdr>
        <w:top w:val="none" w:sz="0" w:space="0" w:color="auto"/>
        <w:left w:val="none" w:sz="0" w:space="0" w:color="auto"/>
        <w:bottom w:val="none" w:sz="0" w:space="0" w:color="auto"/>
        <w:right w:val="none" w:sz="0" w:space="0" w:color="auto"/>
      </w:divBdr>
    </w:div>
    <w:div w:id="416830413">
      <w:bodyDiv w:val="1"/>
      <w:marLeft w:val="0"/>
      <w:marRight w:val="0"/>
      <w:marTop w:val="0"/>
      <w:marBottom w:val="0"/>
      <w:divBdr>
        <w:top w:val="none" w:sz="0" w:space="0" w:color="auto"/>
        <w:left w:val="none" w:sz="0" w:space="0" w:color="auto"/>
        <w:bottom w:val="none" w:sz="0" w:space="0" w:color="auto"/>
        <w:right w:val="none" w:sz="0" w:space="0" w:color="auto"/>
      </w:divBdr>
    </w:div>
    <w:div w:id="417990780">
      <w:bodyDiv w:val="1"/>
      <w:marLeft w:val="0"/>
      <w:marRight w:val="0"/>
      <w:marTop w:val="0"/>
      <w:marBottom w:val="0"/>
      <w:divBdr>
        <w:top w:val="none" w:sz="0" w:space="0" w:color="auto"/>
        <w:left w:val="none" w:sz="0" w:space="0" w:color="auto"/>
        <w:bottom w:val="none" w:sz="0" w:space="0" w:color="auto"/>
        <w:right w:val="none" w:sz="0" w:space="0" w:color="auto"/>
      </w:divBdr>
    </w:div>
    <w:div w:id="419378896">
      <w:bodyDiv w:val="1"/>
      <w:marLeft w:val="0"/>
      <w:marRight w:val="0"/>
      <w:marTop w:val="0"/>
      <w:marBottom w:val="0"/>
      <w:divBdr>
        <w:top w:val="none" w:sz="0" w:space="0" w:color="auto"/>
        <w:left w:val="none" w:sz="0" w:space="0" w:color="auto"/>
        <w:bottom w:val="none" w:sz="0" w:space="0" w:color="auto"/>
        <w:right w:val="none" w:sz="0" w:space="0" w:color="auto"/>
      </w:divBdr>
    </w:div>
    <w:div w:id="425620322">
      <w:bodyDiv w:val="1"/>
      <w:marLeft w:val="0"/>
      <w:marRight w:val="0"/>
      <w:marTop w:val="0"/>
      <w:marBottom w:val="0"/>
      <w:divBdr>
        <w:top w:val="none" w:sz="0" w:space="0" w:color="auto"/>
        <w:left w:val="none" w:sz="0" w:space="0" w:color="auto"/>
        <w:bottom w:val="none" w:sz="0" w:space="0" w:color="auto"/>
        <w:right w:val="none" w:sz="0" w:space="0" w:color="auto"/>
      </w:divBdr>
    </w:div>
    <w:div w:id="432478068">
      <w:bodyDiv w:val="1"/>
      <w:marLeft w:val="0"/>
      <w:marRight w:val="0"/>
      <w:marTop w:val="0"/>
      <w:marBottom w:val="0"/>
      <w:divBdr>
        <w:top w:val="none" w:sz="0" w:space="0" w:color="auto"/>
        <w:left w:val="none" w:sz="0" w:space="0" w:color="auto"/>
        <w:bottom w:val="none" w:sz="0" w:space="0" w:color="auto"/>
        <w:right w:val="none" w:sz="0" w:space="0" w:color="auto"/>
      </w:divBdr>
    </w:div>
    <w:div w:id="438992886">
      <w:bodyDiv w:val="1"/>
      <w:marLeft w:val="0"/>
      <w:marRight w:val="0"/>
      <w:marTop w:val="0"/>
      <w:marBottom w:val="0"/>
      <w:divBdr>
        <w:top w:val="none" w:sz="0" w:space="0" w:color="auto"/>
        <w:left w:val="none" w:sz="0" w:space="0" w:color="auto"/>
        <w:bottom w:val="none" w:sz="0" w:space="0" w:color="auto"/>
        <w:right w:val="none" w:sz="0" w:space="0" w:color="auto"/>
      </w:divBdr>
    </w:div>
    <w:div w:id="440149988">
      <w:bodyDiv w:val="1"/>
      <w:marLeft w:val="0"/>
      <w:marRight w:val="0"/>
      <w:marTop w:val="0"/>
      <w:marBottom w:val="0"/>
      <w:divBdr>
        <w:top w:val="none" w:sz="0" w:space="0" w:color="auto"/>
        <w:left w:val="none" w:sz="0" w:space="0" w:color="auto"/>
        <w:bottom w:val="none" w:sz="0" w:space="0" w:color="auto"/>
        <w:right w:val="none" w:sz="0" w:space="0" w:color="auto"/>
      </w:divBdr>
    </w:div>
    <w:div w:id="441538092">
      <w:bodyDiv w:val="1"/>
      <w:marLeft w:val="0"/>
      <w:marRight w:val="0"/>
      <w:marTop w:val="0"/>
      <w:marBottom w:val="0"/>
      <w:divBdr>
        <w:top w:val="none" w:sz="0" w:space="0" w:color="auto"/>
        <w:left w:val="none" w:sz="0" w:space="0" w:color="auto"/>
        <w:bottom w:val="none" w:sz="0" w:space="0" w:color="auto"/>
        <w:right w:val="none" w:sz="0" w:space="0" w:color="auto"/>
      </w:divBdr>
    </w:div>
    <w:div w:id="447164417">
      <w:bodyDiv w:val="1"/>
      <w:marLeft w:val="0"/>
      <w:marRight w:val="0"/>
      <w:marTop w:val="0"/>
      <w:marBottom w:val="0"/>
      <w:divBdr>
        <w:top w:val="none" w:sz="0" w:space="0" w:color="auto"/>
        <w:left w:val="none" w:sz="0" w:space="0" w:color="auto"/>
        <w:bottom w:val="none" w:sz="0" w:space="0" w:color="auto"/>
        <w:right w:val="none" w:sz="0" w:space="0" w:color="auto"/>
      </w:divBdr>
    </w:div>
    <w:div w:id="451439690">
      <w:bodyDiv w:val="1"/>
      <w:marLeft w:val="0"/>
      <w:marRight w:val="0"/>
      <w:marTop w:val="0"/>
      <w:marBottom w:val="0"/>
      <w:divBdr>
        <w:top w:val="none" w:sz="0" w:space="0" w:color="auto"/>
        <w:left w:val="none" w:sz="0" w:space="0" w:color="auto"/>
        <w:bottom w:val="none" w:sz="0" w:space="0" w:color="auto"/>
        <w:right w:val="none" w:sz="0" w:space="0" w:color="auto"/>
      </w:divBdr>
    </w:div>
    <w:div w:id="456724952">
      <w:bodyDiv w:val="1"/>
      <w:marLeft w:val="0"/>
      <w:marRight w:val="0"/>
      <w:marTop w:val="0"/>
      <w:marBottom w:val="0"/>
      <w:divBdr>
        <w:top w:val="none" w:sz="0" w:space="0" w:color="auto"/>
        <w:left w:val="none" w:sz="0" w:space="0" w:color="auto"/>
        <w:bottom w:val="none" w:sz="0" w:space="0" w:color="auto"/>
        <w:right w:val="none" w:sz="0" w:space="0" w:color="auto"/>
      </w:divBdr>
    </w:div>
    <w:div w:id="457065082">
      <w:bodyDiv w:val="1"/>
      <w:marLeft w:val="0"/>
      <w:marRight w:val="0"/>
      <w:marTop w:val="0"/>
      <w:marBottom w:val="0"/>
      <w:divBdr>
        <w:top w:val="none" w:sz="0" w:space="0" w:color="auto"/>
        <w:left w:val="none" w:sz="0" w:space="0" w:color="auto"/>
        <w:bottom w:val="none" w:sz="0" w:space="0" w:color="auto"/>
        <w:right w:val="none" w:sz="0" w:space="0" w:color="auto"/>
      </w:divBdr>
    </w:div>
    <w:div w:id="466165391">
      <w:bodyDiv w:val="1"/>
      <w:marLeft w:val="0"/>
      <w:marRight w:val="0"/>
      <w:marTop w:val="0"/>
      <w:marBottom w:val="0"/>
      <w:divBdr>
        <w:top w:val="none" w:sz="0" w:space="0" w:color="auto"/>
        <w:left w:val="none" w:sz="0" w:space="0" w:color="auto"/>
        <w:bottom w:val="none" w:sz="0" w:space="0" w:color="auto"/>
        <w:right w:val="none" w:sz="0" w:space="0" w:color="auto"/>
      </w:divBdr>
    </w:div>
    <w:div w:id="478111331">
      <w:bodyDiv w:val="1"/>
      <w:marLeft w:val="0"/>
      <w:marRight w:val="0"/>
      <w:marTop w:val="0"/>
      <w:marBottom w:val="0"/>
      <w:divBdr>
        <w:top w:val="none" w:sz="0" w:space="0" w:color="auto"/>
        <w:left w:val="none" w:sz="0" w:space="0" w:color="auto"/>
        <w:bottom w:val="none" w:sz="0" w:space="0" w:color="auto"/>
        <w:right w:val="none" w:sz="0" w:space="0" w:color="auto"/>
      </w:divBdr>
    </w:div>
    <w:div w:id="480780864">
      <w:bodyDiv w:val="1"/>
      <w:marLeft w:val="0"/>
      <w:marRight w:val="0"/>
      <w:marTop w:val="0"/>
      <w:marBottom w:val="0"/>
      <w:divBdr>
        <w:top w:val="none" w:sz="0" w:space="0" w:color="auto"/>
        <w:left w:val="none" w:sz="0" w:space="0" w:color="auto"/>
        <w:bottom w:val="none" w:sz="0" w:space="0" w:color="auto"/>
        <w:right w:val="none" w:sz="0" w:space="0" w:color="auto"/>
      </w:divBdr>
    </w:div>
    <w:div w:id="487790571">
      <w:bodyDiv w:val="1"/>
      <w:marLeft w:val="0"/>
      <w:marRight w:val="0"/>
      <w:marTop w:val="0"/>
      <w:marBottom w:val="0"/>
      <w:divBdr>
        <w:top w:val="none" w:sz="0" w:space="0" w:color="auto"/>
        <w:left w:val="none" w:sz="0" w:space="0" w:color="auto"/>
        <w:bottom w:val="none" w:sz="0" w:space="0" w:color="auto"/>
        <w:right w:val="none" w:sz="0" w:space="0" w:color="auto"/>
      </w:divBdr>
    </w:div>
    <w:div w:id="501042172">
      <w:bodyDiv w:val="1"/>
      <w:marLeft w:val="0"/>
      <w:marRight w:val="0"/>
      <w:marTop w:val="0"/>
      <w:marBottom w:val="0"/>
      <w:divBdr>
        <w:top w:val="none" w:sz="0" w:space="0" w:color="auto"/>
        <w:left w:val="none" w:sz="0" w:space="0" w:color="auto"/>
        <w:bottom w:val="none" w:sz="0" w:space="0" w:color="auto"/>
        <w:right w:val="none" w:sz="0" w:space="0" w:color="auto"/>
      </w:divBdr>
    </w:div>
    <w:div w:id="507602662">
      <w:bodyDiv w:val="1"/>
      <w:marLeft w:val="0"/>
      <w:marRight w:val="0"/>
      <w:marTop w:val="0"/>
      <w:marBottom w:val="0"/>
      <w:divBdr>
        <w:top w:val="none" w:sz="0" w:space="0" w:color="auto"/>
        <w:left w:val="none" w:sz="0" w:space="0" w:color="auto"/>
        <w:bottom w:val="none" w:sz="0" w:space="0" w:color="auto"/>
        <w:right w:val="none" w:sz="0" w:space="0" w:color="auto"/>
      </w:divBdr>
    </w:div>
    <w:div w:id="510341338">
      <w:bodyDiv w:val="1"/>
      <w:marLeft w:val="0"/>
      <w:marRight w:val="0"/>
      <w:marTop w:val="0"/>
      <w:marBottom w:val="0"/>
      <w:divBdr>
        <w:top w:val="none" w:sz="0" w:space="0" w:color="auto"/>
        <w:left w:val="none" w:sz="0" w:space="0" w:color="auto"/>
        <w:bottom w:val="none" w:sz="0" w:space="0" w:color="auto"/>
        <w:right w:val="none" w:sz="0" w:space="0" w:color="auto"/>
      </w:divBdr>
    </w:div>
    <w:div w:id="512720252">
      <w:bodyDiv w:val="1"/>
      <w:marLeft w:val="0"/>
      <w:marRight w:val="0"/>
      <w:marTop w:val="0"/>
      <w:marBottom w:val="0"/>
      <w:divBdr>
        <w:top w:val="none" w:sz="0" w:space="0" w:color="auto"/>
        <w:left w:val="none" w:sz="0" w:space="0" w:color="auto"/>
        <w:bottom w:val="none" w:sz="0" w:space="0" w:color="auto"/>
        <w:right w:val="none" w:sz="0" w:space="0" w:color="auto"/>
      </w:divBdr>
    </w:div>
    <w:div w:id="523205427">
      <w:bodyDiv w:val="1"/>
      <w:marLeft w:val="0"/>
      <w:marRight w:val="0"/>
      <w:marTop w:val="0"/>
      <w:marBottom w:val="0"/>
      <w:divBdr>
        <w:top w:val="none" w:sz="0" w:space="0" w:color="auto"/>
        <w:left w:val="none" w:sz="0" w:space="0" w:color="auto"/>
        <w:bottom w:val="none" w:sz="0" w:space="0" w:color="auto"/>
        <w:right w:val="none" w:sz="0" w:space="0" w:color="auto"/>
      </w:divBdr>
    </w:div>
    <w:div w:id="531261277">
      <w:bodyDiv w:val="1"/>
      <w:marLeft w:val="0"/>
      <w:marRight w:val="0"/>
      <w:marTop w:val="0"/>
      <w:marBottom w:val="0"/>
      <w:divBdr>
        <w:top w:val="none" w:sz="0" w:space="0" w:color="auto"/>
        <w:left w:val="none" w:sz="0" w:space="0" w:color="auto"/>
        <w:bottom w:val="none" w:sz="0" w:space="0" w:color="auto"/>
        <w:right w:val="none" w:sz="0" w:space="0" w:color="auto"/>
      </w:divBdr>
    </w:div>
    <w:div w:id="531920562">
      <w:bodyDiv w:val="1"/>
      <w:marLeft w:val="0"/>
      <w:marRight w:val="0"/>
      <w:marTop w:val="0"/>
      <w:marBottom w:val="0"/>
      <w:divBdr>
        <w:top w:val="none" w:sz="0" w:space="0" w:color="auto"/>
        <w:left w:val="none" w:sz="0" w:space="0" w:color="auto"/>
        <w:bottom w:val="none" w:sz="0" w:space="0" w:color="auto"/>
        <w:right w:val="none" w:sz="0" w:space="0" w:color="auto"/>
      </w:divBdr>
    </w:div>
    <w:div w:id="541792365">
      <w:bodyDiv w:val="1"/>
      <w:marLeft w:val="0"/>
      <w:marRight w:val="0"/>
      <w:marTop w:val="0"/>
      <w:marBottom w:val="0"/>
      <w:divBdr>
        <w:top w:val="none" w:sz="0" w:space="0" w:color="auto"/>
        <w:left w:val="none" w:sz="0" w:space="0" w:color="auto"/>
        <w:bottom w:val="none" w:sz="0" w:space="0" w:color="auto"/>
        <w:right w:val="none" w:sz="0" w:space="0" w:color="auto"/>
      </w:divBdr>
    </w:div>
    <w:div w:id="543106358">
      <w:bodyDiv w:val="1"/>
      <w:marLeft w:val="0"/>
      <w:marRight w:val="0"/>
      <w:marTop w:val="0"/>
      <w:marBottom w:val="0"/>
      <w:divBdr>
        <w:top w:val="none" w:sz="0" w:space="0" w:color="auto"/>
        <w:left w:val="none" w:sz="0" w:space="0" w:color="auto"/>
        <w:bottom w:val="none" w:sz="0" w:space="0" w:color="auto"/>
        <w:right w:val="none" w:sz="0" w:space="0" w:color="auto"/>
      </w:divBdr>
    </w:div>
    <w:div w:id="546914300">
      <w:bodyDiv w:val="1"/>
      <w:marLeft w:val="0"/>
      <w:marRight w:val="0"/>
      <w:marTop w:val="0"/>
      <w:marBottom w:val="0"/>
      <w:divBdr>
        <w:top w:val="none" w:sz="0" w:space="0" w:color="auto"/>
        <w:left w:val="none" w:sz="0" w:space="0" w:color="auto"/>
        <w:bottom w:val="none" w:sz="0" w:space="0" w:color="auto"/>
        <w:right w:val="none" w:sz="0" w:space="0" w:color="auto"/>
      </w:divBdr>
    </w:div>
    <w:div w:id="552934387">
      <w:bodyDiv w:val="1"/>
      <w:marLeft w:val="0"/>
      <w:marRight w:val="0"/>
      <w:marTop w:val="0"/>
      <w:marBottom w:val="0"/>
      <w:divBdr>
        <w:top w:val="none" w:sz="0" w:space="0" w:color="auto"/>
        <w:left w:val="none" w:sz="0" w:space="0" w:color="auto"/>
        <w:bottom w:val="none" w:sz="0" w:space="0" w:color="auto"/>
        <w:right w:val="none" w:sz="0" w:space="0" w:color="auto"/>
      </w:divBdr>
    </w:div>
    <w:div w:id="554123568">
      <w:bodyDiv w:val="1"/>
      <w:marLeft w:val="0"/>
      <w:marRight w:val="0"/>
      <w:marTop w:val="0"/>
      <w:marBottom w:val="0"/>
      <w:divBdr>
        <w:top w:val="none" w:sz="0" w:space="0" w:color="auto"/>
        <w:left w:val="none" w:sz="0" w:space="0" w:color="auto"/>
        <w:bottom w:val="none" w:sz="0" w:space="0" w:color="auto"/>
        <w:right w:val="none" w:sz="0" w:space="0" w:color="auto"/>
      </w:divBdr>
    </w:div>
    <w:div w:id="554511871">
      <w:bodyDiv w:val="1"/>
      <w:marLeft w:val="0"/>
      <w:marRight w:val="0"/>
      <w:marTop w:val="0"/>
      <w:marBottom w:val="0"/>
      <w:divBdr>
        <w:top w:val="none" w:sz="0" w:space="0" w:color="auto"/>
        <w:left w:val="none" w:sz="0" w:space="0" w:color="auto"/>
        <w:bottom w:val="none" w:sz="0" w:space="0" w:color="auto"/>
        <w:right w:val="none" w:sz="0" w:space="0" w:color="auto"/>
      </w:divBdr>
    </w:div>
    <w:div w:id="557517839">
      <w:bodyDiv w:val="1"/>
      <w:marLeft w:val="0"/>
      <w:marRight w:val="0"/>
      <w:marTop w:val="0"/>
      <w:marBottom w:val="0"/>
      <w:divBdr>
        <w:top w:val="none" w:sz="0" w:space="0" w:color="auto"/>
        <w:left w:val="none" w:sz="0" w:space="0" w:color="auto"/>
        <w:bottom w:val="none" w:sz="0" w:space="0" w:color="auto"/>
        <w:right w:val="none" w:sz="0" w:space="0" w:color="auto"/>
      </w:divBdr>
    </w:div>
    <w:div w:id="558977812">
      <w:bodyDiv w:val="1"/>
      <w:marLeft w:val="0"/>
      <w:marRight w:val="0"/>
      <w:marTop w:val="0"/>
      <w:marBottom w:val="0"/>
      <w:divBdr>
        <w:top w:val="none" w:sz="0" w:space="0" w:color="auto"/>
        <w:left w:val="none" w:sz="0" w:space="0" w:color="auto"/>
        <w:bottom w:val="none" w:sz="0" w:space="0" w:color="auto"/>
        <w:right w:val="none" w:sz="0" w:space="0" w:color="auto"/>
      </w:divBdr>
    </w:div>
    <w:div w:id="559560235">
      <w:bodyDiv w:val="1"/>
      <w:marLeft w:val="0"/>
      <w:marRight w:val="0"/>
      <w:marTop w:val="0"/>
      <w:marBottom w:val="0"/>
      <w:divBdr>
        <w:top w:val="none" w:sz="0" w:space="0" w:color="auto"/>
        <w:left w:val="none" w:sz="0" w:space="0" w:color="auto"/>
        <w:bottom w:val="none" w:sz="0" w:space="0" w:color="auto"/>
        <w:right w:val="none" w:sz="0" w:space="0" w:color="auto"/>
      </w:divBdr>
    </w:div>
    <w:div w:id="560673484">
      <w:bodyDiv w:val="1"/>
      <w:marLeft w:val="0"/>
      <w:marRight w:val="0"/>
      <w:marTop w:val="0"/>
      <w:marBottom w:val="0"/>
      <w:divBdr>
        <w:top w:val="none" w:sz="0" w:space="0" w:color="auto"/>
        <w:left w:val="none" w:sz="0" w:space="0" w:color="auto"/>
        <w:bottom w:val="none" w:sz="0" w:space="0" w:color="auto"/>
        <w:right w:val="none" w:sz="0" w:space="0" w:color="auto"/>
      </w:divBdr>
    </w:div>
    <w:div w:id="561215491">
      <w:bodyDiv w:val="1"/>
      <w:marLeft w:val="0"/>
      <w:marRight w:val="0"/>
      <w:marTop w:val="0"/>
      <w:marBottom w:val="0"/>
      <w:divBdr>
        <w:top w:val="none" w:sz="0" w:space="0" w:color="auto"/>
        <w:left w:val="none" w:sz="0" w:space="0" w:color="auto"/>
        <w:bottom w:val="none" w:sz="0" w:space="0" w:color="auto"/>
        <w:right w:val="none" w:sz="0" w:space="0" w:color="auto"/>
      </w:divBdr>
    </w:div>
    <w:div w:id="567618804">
      <w:bodyDiv w:val="1"/>
      <w:marLeft w:val="0"/>
      <w:marRight w:val="0"/>
      <w:marTop w:val="0"/>
      <w:marBottom w:val="0"/>
      <w:divBdr>
        <w:top w:val="none" w:sz="0" w:space="0" w:color="auto"/>
        <w:left w:val="none" w:sz="0" w:space="0" w:color="auto"/>
        <w:bottom w:val="none" w:sz="0" w:space="0" w:color="auto"/>
        <w:right w:val="none" w:sz="0" w:space="0" w:color="auto"/>
      </w:divBdr>
    </w:div>
    <w:div w:id="578029010">
      <w:bodyDiv w:val="1"/>
      <w:marLeft w:val="0"/>
      <w:marRight w:val="0"/>
      <w:marTop w:val="0"/>
      <w:marBottom w:val="0"/>
      <w:divBdr>
        <w:top w:val="none" w:sz="0" w:space="0" w:color="auto"/>
        <w:left w:val="none" w:sz="0" w:space="0" w:color="auto"/>
        <w:bottom w:val="none" w:sz="0" w:space="0" w:color="auto"/>
        <w:right w:val="none" w:sz="0" w:space="0" w:color="auto"/>
      </w:divBdr>
    </w:div>
    <w:div w:id="587154142">
      <w:bodyDiv w:val="1"/>
      <w:marLeft w:val="0"/>
      <w:marRight w:val="0"/>
      <w:marTop w:val="0"/>
      <w:marBottom w:val="0"/>
      <w:divBdr>
        <w:top w:val="none" w:sz="0" w:space="0" w:color="auto"/>
        <w:left w:val="none" w:sz="0" w:space="0" w:color="auto"/>
        <w:bottom w:val="none" w:sz="0" w:space="0" w:color="auto"/>
        <w:right w:val="none" w:sz="0" w:space="0" w:color="auto"/>
      </w:divBdr>
    </w:div>
    <w:div w:id="587807589">
      <w:bodyDiv w:val="1"/>
      <w:marLeft w:val="0"/>
      <w:marRight w:val="0"/>
      <w:marTop w:val="0"/>
      <w:marBottom w:val="0"/>
      <w:divBdr>
        <w:top w:val="none" w:sz="0" w:space="0" w:color="auto"/>
        <w:left w:val="none" w:sz="0" w:space="0" w:color="auto"/>
        <w:bottom w:val="none" w:sz="0" w:space="0" w:color="auto"/>
        <w:right w:val="none" w:sz="0" w:space="0" w:color="auto"/>
      </w:divBdr>
    </w:div>
    <w:div w:id="609628607">
      <w:bodyDiv w:val="1"/>
      <w:marLeft w:val="0"/>
      <w:marRight w:val="0"/>
      <w:marTop w:val="0"/>
      <w:marBottom w:val="0"/>
      <w:divBdr>
        <w:top w:val="none" w:sz="0" w:space="0" w:color="auto"/>
        <w:left w:val="none" w:sz="0" w:space="0" w:color="auto"/>
        <w:bottom w:val="none" w:sz="0" w:space="0" w:color="auto"/>
        <w:right w:val="none" w:sz="0" w:space="0" w:color="auto"/>
      </w:divBdr>
    </w:div>
    <w:div w:id="620914021">
      <w:bodyDiv w:val="1"/>
      <w:marLeft w:val="0"/>
      <w:marRight w:val="0"/>
      <w:marTop w:val="0"/>
      <w:marBottom w:val="0"/>
      <w:divBdr>
        <w:top w:val="none" w:sz="0" w:space="0" w:color="auto"/>
        <w:left w:val="none" w:sz="0" w:space="0" w:color="auto"/>
        <w:bottom w:val="none" w:sz="0" w:space="0" w:color="auto"/>
        <w:right w:val="none" w:sz="0" w:space="0" w:color="auto"/>
      </w:divBdr>
    </w:div>
    <w:div w:id="624895526">
      <w:bodyDiv w:val="1"/>
      <w:marLeft w:val="0"/>
      <w:marRight w:val="0"/>
      <w:marTop w:val="0"/>
      <w:marBottom w:val="0"/>
      <w:divBdr>
        <w:top w:val="none" w:sz="0" w:space="0" w:color="auto"/>
        <w:left w:val="none" w:sz="0" w:space="0" w:color="auto"/>
        <w:bottom w:val="none" w:sz="0" w:space="0" w:color="auto"/>
        <w:right w:val="none" w:sz="0" w:space="0" w:color="auto"/>
      </w:divBdr>
    </w:div>
    <w:div w:id="630985969">
      <w:bodyDiv w:val="1"/>
      <w:marLeft w:val="0"/>
      <w:marRight w:val="0"/>
      <w:marTop w:val="0"/>
      <w:marBottom w:val="0"/>
      <w:divBdr>
        <w:top w:val="none" w:sz="0" w:space="0" w:color="auto"/>
        <w:left w:val="none" w:sz="0" w:space="0" w:color="auto"/>
        <w:bottom w:val="none" w:sz="0" w:space="0" w:color="auto"/>
        <w:right w:val="none" w:sz="0" w:space="0" w:color="auto"/>
      </w:divBdr>
    </w:div>
    <w:div w:id="633679110">
      <w:bodyDiv w:val="1"/>
      <w:marLeft w:val="0"/>
      <w:marRight w:val="0"/>
      <w:marTop w:val="0"/>
      <w:marBottom w:val="0"/>
      <w:divBdr>
        <w:top w:val="none" w:sz="0" w:space="0" w:color="auto"/>
        <w:left w:val="none" w:sz="0" w:space="0" w:color="auto"/>
        <w:bottom w:val="none" w:sz="0" w:space="0" w:color="auto"/>
        <w:right w:val="none" w:sz="0" w:space="0" w:color="auto"/>
      </w:divBdr>
    </w:div>
    <w:div w:id="643435204">
      <w:bodyDiv w:val="1"/>
      <w:marLeft w:val="0"/>
      <w:marRight w:val="0"/>
      <w:marTop w:val="0"/>
      <w:marBottom w:val="0"/>
      <w:divBdr>
        <w:top w:val="none" w:sz="0" w:space="0" w:color="auto"/>
        <w:left w:val="none" w:sz="0" w:space="0" w:color="auto"/>
        <w:bottom w:val="none" w:sz="0" w:space="0" w:color="auto"/>
        <w:right w:val="none" w:sz="0" w:space="0" w:color="auto"/>
      </w:divBdr>
    </w:div>
    <w:div w:id="655963001">
      <w:bodyDiv w:val="1"/>
      <w:marLeft w:val="0"/>
      <w:marRight w:val="0"/>
      <w:marTop w:val="0"/>
      <w:marBottom w:val="0"/>
      <w:divBdr>
        <w:top w:val="none" w:sz="0" w:space="0" w:color="auto"/>
        <w:left w:val="none" w:sz="0" w:space="0" w:color="auto"/>
        <w:bottom w:val="none" w:sz="0" w:space="0" w:color="auto"/>
        <w:right w:val="none" w:sz="0" w:space="0" w:color="auto"/>
      </w:divBdr>
    </w:div>
    <w:div w:id="662052885">
      <w:bodyDiv w:val="1"/>
      <w:marLeft w:val="0"/>
      <w:marRight w:val="0"/>
      <w:marTop w:val="0"/>
      <w:marBottom w:val="0"/>
      <w:divBdr>
        <w:top w:val="none" w:sz="0" w:space="0" w:color="auto"/>
        <w:left w:val="none" w:sz="0" w:space="0" w:color="auto"/>
        <w:bottom w:val="none" w:sz="0" w:space="0" w:color="auto"/>
        <w:right w:val="none" w:sz="0" w:space="0" w:color="auto"/>
      </w:divBdr>
    </w:div>
    <w:div w:id="664167997">
      <w:bodyDiv w:val="1"/>
      <w:marLeft w:val="0"/>
      <w:marRight w:val="0"/>
      <w:marTop w:val="0"/>
      <w:marBottom w:val="0"/>
      <w:divBdr>
        <w:top w:val="none" w:sz="0" w:space="0" w:color="auto"/>
        <w:left w:val="none" w:sz="0" w:space="0" w:color="auto"/>
        <w:bottom w:val="none" w:sz="0" w:space="0" w:color="auto"/>
        <w:right w:val="none" w:sz="0" w:space="0" w:color="auto"/>
      </w:divBdr>
    </w:div>
    <w:div w:id="668337980">
      <w:bodyDiv w:val="1"/>
      <w:marLeft w:val="0"/>
      <w:marRight w:val="0"/>
      <w:marTop w:val="0"/>
      <w:marBottom w:val="0"/>
      <w:divBdr>
        <w:top w:val="none" w:sz="0" w:space="0" w:color="auto"/>
        <w:left w:val="none" w:sz="0" w:space="0" w:color="auto"/>
        <w:bottom w:val="none" w:sz="0" w:space="0" w:color="auto"/>
        <w:right w:val="none" w:sz="0" w:space="0" w:color="auto"/>
      </w:divBdr>
    </w:div>
    <w:div w:id="669332036">
      <w:bodyDiv w:val="1"/>
      <w:marLeft w:val="0"/>
      <w:marRight w:val="0"/>
      <w:marTop w:val="0"/>
      <w:marBottom w:val="0"/>
      <w:divBdr>
        <w:top w:val="none" w:sz="0" w:space="0" w:color="auto"/>
        <w:left w:val="none" w:sz="0" w:space="0" w:color="auto"/>
        <w:bottom w:val="none" w:sz="0" w:space="0" w:color="auto"/>
        <w:right w:val="none" w:sz="0" w:space="0" w:color="auto"/>
      </w:divBdr>
    </w:div>
    <w:div w:id="669674548">
      <w:bodyDiv w:val="1"/>
      <w:marLeft w:val="0"/>
      <w:marRight w:val="0"/>
      <w:marTop w:val="0"/>
      <w:marBottom w:val="0"/>
      <w:divBdr>
        <w:top w:val="none" w:sz="0" w:space="0" w:color="auto"/>
        <w:left w:val="none" w:sz="0" w:space="0" w:color="auto"/>
        <w:bottom w:val="none" w:sz="0" w:space="0" w:color="auto"/>
        <w:right w:val="none" w:sz="0" w:space="0" w:color="auto"/>
      </w:divBdr>
    </w:div>
    <w:div w:id="669678312">
      <w:bodyDiv w:val="1"/>
      <w:marLeft w:val="0"/>
      <w:marRight w:val="0"/>
      <w:marTop w:val="0"/>
      <w:marBottom w:val="0"/>
      <w:divBdr>
        <w:top w:val="none" w:sz="0" w:space="0" w:color="auto"/>
        <w:left w:val="none" w:sz="0" w:space="0" w:color="auto"/>
        <w:bottom w:val="none" w:sz="0" w:space="0" w:color="auto"/>
        <w:right w:val="none" w:sz="0" w:space="0" w:color="auto"/>
      </w:divBdr>
    </w:div>
    <w:div w:id="669986193">
      <w:bodyDiv w:val="1"/>
      <w:marLeft w:val="0"/>
      <w:marRight w:val="0"/>
      <w:marTop w:val="0"/>
      <w:marBottom w:val="0"/>
      <w:divBdr>
        <w:top w:val="none" w:sz="0" w:space="0" w:color="auto"/>
        <w:left w:val="none" w:sz="0" w:space="0" w:color="auto"/>
        <w:bottom w:val="none" w:sz="0" w:space="0" w:color="auto"/>
        <w:right w:val="none" w:sz="0" w:space="0" w:color="auto"/>
      </w:divBdr>
    </w:div>
    <w:div w:id="670567452">
      <w:bodyDiv w:val="1"/>
      <w:marLeft w:val="0"/>
      <w:marRight w:val="0"/>
      <w:marTop w:val="0"/>
      <w:marBottom w:val="0"/>
      <w:divBdr>
        <w:top w:val="none" w:sz="0" w:space="0" w:color="auto"/>
        <w:left w:val="none" w:sz="0" w:space="0" w:color="auto"/>
        <w:bottom w:val="none" w:sz="0" w:space="0" w:color="auto"/>
        <w:right w:val="none" w:sz="0" w:space="0" w:color="auto"/>
      </w:divBdr>
    </w:div>
    <w:div w:id="670716751">
      <w:bodyDiv w:val="1"/>
      <w:marLeft w:val="0"/>
      <w:marRight w:val="0"/>
      <w:marTop w:val="0"/>
      <w:marBottom w:val="0"/>
      <w:divBdr>
        <w:top w:val="none" w:sz="0" w:space="0" w:color="auto"/>
        <w:left w:val="none" w:sz="0" w:space="0" w:color="auto"/>
        <w:bottom w:val="none" w:sz="0" w:space="0" w:color="auto"/>
        <w:right w:val="none" w:sz="0" w:space="0" w:color="auto"/>
      </w:divBdr>
    </w:div>
    <w:div w:id="680592876">
      <w:bodyDiv w:val="1"/>
      <w:marLeft w:val="0"/>
      <w:marRight w:val="0"/>
      <w:marTop w:val="0"/>
      <w:marBottom w:val="0"/>
      <w:divBdr>
        <w:top w:val="none" w:sz="0" w:space="0" w:color="auto"/>
        <w:left w:val="none" w:sz="0" w:space="0" w:color="auto"/>
        <w:bottom w:val="none" w:sz="0" w:space="0" w:color="auto"/>
        <w:right w:val="none" w:sz="0" w:space="0" w:color="auto"/>
      </w:divBdr>
    </w:div>
    <w:div w:id="682631447">
      <w:bodyDiv w:val="1"/>
      <w:marLeft w:val="0"/>
      <w:marRight w:val="0"/>
      <w:marTop w:val="0"/>
      <w:marBottom w:val="0"/>
      <w:divBdr>
        <w:top w:val="none" w:sz="0" w:space="0" w:color="auto"/>
        <w:left w:val="none" w:sz="0" w:space="0" w:color="auto"/>
        <w:bottom w:val="none" w:sz="0" w:space="0" w:color="auto"/>
        <w:right w:val="none" w:sz="0" w:space="0" w:color="auto"/>
      </w:divBdr>
    </w:div>
    <w:div w:id="704602329">
      <w:bodyDiv w:val="1"/>
      <w:marLeft w:val="0"/>
      <w:marRight w:val="0"/>
      <w:marTop w:val="0"/>
      <w:marBottom w:val="0"/>
      <w:divBdr>
        <w:top w:val="none" w:sz="0" w:space="0" w:color="auto"/>
        <w:left w:val="none" w:sz="0" w:space="0" w:color="auto"/>
        <w:bottom w:val="none" w:sz="0" w:space="0" w:color="auto"/>
        <w:right w:val="none" w:sz="0" w:space="0" w:color="auto"/>
      </w:divBdr>
    </w:div>
    <w:div w:id="714620946">
      <w:bodyDiv w:val="1"/>
      <w:marLeft w:val="0"/>
      <w:marRight w:val="0"/>
      <w:marTop w:val="0"/>
      <w:marBottom w:val="0"/>
      <w:divBdr>
        <w:top w:val="none" w:sz="0" w:space="0" w:color="auto"/>
        <w:left w:val="none" w:sz="0" w:space="0" w:color="auto"/>
        <w:bottom w:val="none" w:sz="0" w:space="0" w:color="auto"/>
        <w:right w:val="none" w:sz="0" w:space="0" w:color="auto"/>
      </w:divBdr>
    </w:div>
    <w:div w:id="715350979">
      <w:bodyDiv w:val="1"/>
      <w:marLeft w:val="0"/>
      <w:marRight w:val="0"/>
      <w:marTop w:val="0"/>
      <w:marBottom w:val="0"/>
      <w:divBdr>
        <w:top w:val="none" w:sz="0" w:space="0" w:color="auto"/>
        <w:left w:val="none" w:sz="0" w:space="0" w:color="auto"/>
        <w:bottom w:val="none" w:sz="0" w:space="0" w:color="auto"/>
        <w:right w:val="none" w:sz="0" w:space="0" w:color="auto"/>
      </w:divBdr>
    </w:div>
    <w:div w:id="719666052">
      <w:bodyDiv w:val="1"/>
      <w:marLeft w:val="0"/>
      <w:marRight w:val="0"/>
      <w:marTop w:val="0"/>
      <w:marBottom w:val="0"/>
      <w:divBdr>
        <w:top w:val="none" w:sz="0" w:space="0" w:color="auto"/>
        <w:left w:val="none" w:sz="0" w:space="0" w:color="auto"/>
        <w:bottom w:val="none" w:sz="0" w:space="0" w:color="auto"/>
        <w:right w:val="none" w:sz="0" w:space="0" w:color="auto"/>
      </w:divBdr>
    </w:div>
    <w:div w:id="722098797">
      <w:bodyDiv w:val="1"/>
      <w:marLeft w:val="0"/>
      <w:marRight w:val="0"/>
      <w:marTop w:val="0"/>
      <w:marBottom w:val="0"/>
      <w:divBdr>
        <w:top w:val="none" w:sz="0" w:space="0" w:color="auto"/>
        <w:left w:val="none" w:sz="0" w:space="0" w:color="auto"/>
        <w:bottom w:val="none" w:sz="0" w:space="0" w:color="auto"/>
        <w:right w:val="none" w:sz="0" w:space="0" w:color="auto"/>
      </w:divBdr>
      <w:divsChild>
        <w:div w:id="236475142">
          <w:marLeft w:val="547"/>
          <w:marRight w:val="0"/>
          <w:marTop w:val="96"/>
          <w:marBottom w:val="0"/>
          <w:divBdr>
            <w:top w:val="none" w:sz="0" w:space="0" w:color="auto"/>
            <w:left w:val="none" w:sz="0" w:space="0" w:color="auto"/>
            <w:bottom w:val="none" w:sz="0" w:space="0" w:color="auto"/>
            <w:right w:val="none" w:sz="0" w:space="0" w:color="auto"/>
          </w:divBdr>
        </w:div>
        <w:div w:id="340161117">
          <w:marLeft w:val="547"/>
          <w:marRight w:val="0"/>
          <w:marTop w:val="96"/>
          <w:marBottom w:val="120"/>
          <w:divBdr>
            <w:top w:val="none" w:sz="0" w:space="0" w:color="auto"/>
            <w:left w:val="none" w:sz="0" w:space="0" w:color="auto"/>
            <w:bottom w:val="none" w:sz="0" w:space="0" w:color="auto"/>
            <w:right w:val="none" w:sz="0" w:space="0" w:color="auto"/>
          </w:divBdr>
        </w:div>
      </w:divsChild>
    </w:div>
    <w:div w:id="724180704">
      <w:bodyDiv w:val="1"/>
      <w:marLeft w:val="0"/>
      <w:marRight w:val="0"/>
      <w:marTop w:val="0"/>
      <w:marBottom w:val="0"/>
      <w:divBdr>
        <w:top w:val="none" w:sz="0" w:space="0" w:color="auto"/>
        <w:left w:val="none" w:sz="0" w:space="0" w:color="auto"/>
        <w:bottom w:val="none" w:sz="0" w:space="0" w:color="auto"/>
        <w:right w:val="none" w:sz="0" w:space="0" w:color="auto"/>
      </w:divBdr>
    </w:div>
    <w:div w:id="728190011">
      <w:bodyDiv w:val="1"/>
      <w:marLeft w:val="0"/>
      <w:marRight w:val="0"/>
      <w:marTop w:val="0"/>
      <w:marBottom w:val="0"/>
      <w:divBdr>
        <w:top w:val="none" w:sz="0" w:space="0" w:color="auto"/>
        <w:left w:val="none" w:sz="0" w:space="0" w:color="auto"/>
        <w:bottom w:val="none" w:sz="0" w:space="0" w:color="auto"/>
        <w:right w:val="none" w:sz="0" w:space="0" w:color="auto"/>
      </w:divBdr>
    </w:div>
    <w:div w:id="729155781">
      <w:bodyDiv w:val="1"/>
      <w:marLeft w:val="0"/>
      <w:marRight w:val="0"/>
      <w:marTop w:val="0"/>
      <w:marBottom w:val="0"/>
      <w:divBdr>
        <w:top w:val="none" w:sz="0" w:space="0" w:color="auto"/>
        <w:left w:val="none" w:sz="0" w:space="0" w:color="auto"/>
        <w:bottom w:val="none" w:sz="0" w:space="0" w:color="auto"/>
        <w:right w:val="none" w:sz="0" w:space="0" w:color="auto"/>
      </w:divBdr>
    </w:div>
    <w:div w:id="730229812">
      <w:bodyDiv w:val="1"/>
      <w:marLeft w:val="0"/>
      <w:marRight w:val="0"/>
      <w:marTop w:val="0"/>
      <w:marBottom w:val="0"/>
      <w:divBdr>
        <w:top w:val="none" w:sz="0" w:space="0" w:color="auto"/>
        <w:left w:val="none" w:sz="0" w:space="0" w:color="auto"/>
        <w:bottom w:val="none" w:sz="0" w:space="0" w:color="auto"/>
        <w:right w:val="none" w:sz="0" w:space="0" w:color="auto"/>
      </w:divBdr>
    </w:div>
    <w:div w:id="734282088">
      <w:bodyDiv w:val="1"/>
      <w:marLeft w:val="0"/>
      <w:marRight w:val="0"/>
      <w:marTop w:val="0"/>
      <w:marBottom w:val="0"/>
      <w:divBdr>
        <w:top w:val="none" w:sz="0" w:space="0" w:color="auto"/>
        <w:left w:val="none" w:sz="0" w:space="0" w:color="auto"/>
        <w:bottom w:val="none" w:sz="0" w:space="0" w:color="auto"/>
        <w:right w:val="none" w:sz="0" w:space="0" w:color="auto"/>
      </w:divBdr>
    </w:div>
    <w:div w:id="741373908">
      <w:bodyDiv w:val="1"/>
      <w:marLeft w:val="0"/>
      <w:marRight w:val="0"/>
      <w:marTop w:val="0"/>
      <w:marBottom w:val="0"/>
      <w:divBdr>
        <w:top w:val="none" w:sz="0" w:space="0" w:color="auto"/>
        <w:left w:val="none" w:sz="0" w:space="0" w:color="auto"/>
        <w:bottom w:val="none" w:sz="0" w:space="0" w:color="auto"/>
        <w:right w:val="none" w:sz="0" w:space="0" w:color="auto"/>
      </w:divBdr>
    </w:div>
    <w:div w:id="743720093">
      <w:bodyDiv w:val="1"/>
      <w:marLeft w:val="0"/>
      <w:marRight w:val="0"/>
      <w:marTop w:val="0"/>
      <w:marBottom w:val="0"/>
      <w:divBdr>
        <w:top w:val="none" w:sz="0" w:space="0" w:color="auto"/>
        <w:left w:val="none" w:sz="0" w:space="0" w:color="auto"/>
        <w:bottom w:val="none" w:sz="0" w:space="0" w:color="auto"/>
        <w:right w:val="none" w:sz="0" w:space="0" w:color="auto"/>
      </w:divBdr>
    </w:div>
    <w:div w:id="746347612">
      <w:bodyDiv w:val="1"/>
      <w:marLeft w:val="0"/>
      <w:marRight w:val="0"/>
      <w:marTop w:val="0"/>
      <w:marBottom w:val="0"/>
      <w:divBdr>
        <w:top w:val="none" w:sz="0" w:space="0" w:color="auto"/>
        <w:left w:val="none" w:sz="0" w:space="0" w:color="auto"/>
        <w:bottom w:val="none" w:sz="0" w:space="0" w:color="auto"/>
        <w:right w:val="none" w:sz="0" w:space="0" w:color="auto"/>
      </w:divBdr>
    </w:div>
    <w:div w:id="750390071">
      <w:bodyDiv w:val="1"/>
      <w:marLeft w:val="0"/>
      <w:marRight w:val="0"/>
      <w:marTop w:val="0"/>
      <w:marBottom w:val="0"/>
      <w:divBdr>
        <w:top w:val="none" w:sz="0" w:space="0" w:color="auto"/>
        <w:left w:val="none" w:sz="0" w:space="0" w:color="auto"/>
        <w:bottom w:val="none" w:sz="0" w:space="0" w:color="auto"/>
        <w:right w:val="none" w:sz="0" w:space="0" w:color="auto"/>
      </w:divBdr>
    </w:div>
    <w:div w:id="765537299">
      <w:bodyDiv w:val="1"/>
      <w:marLeft w:val="0"/>
      <w:marRight w:val="0"/>
      <w:marTop w:val="0"/>
      <w:marBottom w:val="0"/>
      <w:divBdr>
        <w:top w:val="none" w:sz="0" w:space="0" w:color="auto"/>
        <w:left w:val="none" w:sz="0" w:space="0" w:color="auto"/>
        <w:bottom w:val="none" w:sz="0" w:space="0" w:color="auto"/>
        <w:right w:val="none" w:sz="0" w:space="0" w:color="auto"/>
      </w:divBdr>
    </w:div>
    <w:div w:id="767500850">
      <w:bodyDiv w:val="1"/>
      <w:marLeft w:val="0"/>
      <w:marRight w:val="0"/>
      <w:marTop w:val="0"/>
      <w:marBottom w:val="0"/>
      <w:divBdr>
        <w:top w:val="none" w:sz="0" w:space="0" w:color="auto"/>
        <w:left w:val="none" w:sz="0" w:space="0" w:color="auto"/>
        <w:bottom w:val="none" w:sz="0" w:space="0" w:color="auto"/>
        <w:right w:val="none" w:sz="0" w:space="0" w:color="auto"/>
      </w:divBdr>
    </w:div>
    <w:div w:id="768160819">
      <w:bodyDiv w:val="1"/>
      <w:marLeft w:val="0"/>
      <w:marRight w:val="0"/>
      <w:marTop w:val="0"/>
      <w:marBottom w:val="0"/>
      <w:divBdr>
        <w:top w:val="none" w:sz="0" w:space="0" w:color="auto"/>
        <w:left w:val="none" w:sz="0" w:space="0" w:color="auto"/>
        <w:bottom w:val="none" w:sz="0" w:space="0" w:color="auto"/>
        <w:right w:val="none" w:sz="0" w:space="0" w:color="auto"/>
      </w:divBdr>
    </w:div>
    <w:div w:id="768357475">
      <w:bodyDiv w:val="1"/>
      <w:marLeft w:val="0"/>
      <w:marRight w:val="0"/>
      <w:marTop w:val="0"/>
      <w:marBottom w:val="0"/>
      <w:divBdr>
        <w:top w:val="none" w:sz="0" w:space="0" w:color="auto"/>
        <w:left w:val="none" w:sz="0" w:space="0" w:color="auto"/>
        <w:bottom w:val="none" w:sz="0" w:space="0" w:color="auto"/>
        <w:right w:val="none" w:sz="0" w:space="0" w:color="auto"/>
      </w:divBdr>
    </w:div>
    <w:div w:id="770321096">
      <w:bodyDiv w:val="1"/>
      <w:marLeft w:val="0"/>
      <w:marRight w:val="0"/>
      <w:marTop w:val="0"/>
      <w:marBottom w:val="0"/>
      <w:divBdr>
        <w:top w:val="none" w:sz="0" w:space="0" w:color="auto"/>
        <w:left w:val="none" w:sz="0" w:space="0" w:color="auto"/>
        <w:bottom w:val="none" w:sz="0" w:space="0" w:color="auto"/>
        <w:right w:val="none" w:sz="0" w:space="0" w:color="auto"/>
      </w:divBdr>
    </w:div>
    <w:div w:id="774204715">
      <w:bodyDiv w:val="1"/>
      <w:marLeft w:val="0"/>
      <w:marRight w:val="0"/>
      <w:marTop w:val="0"/>
      <w:marBottom w:val="0"/>
      <w:divBdr>
        <w:top w:val="none" w:sz="0" w:space="0" w:color="auto"/>
        <w:left w:val="none" w:sz="0" w:space="0" w:color="auto"/>
        <w:bottom w:val="none" w:sz="0" w:space="0" w:color="auto"/>
        <w:right w:val="none" w:sz="0" w:space="0" w:color="auto"/>
      </w:divBdr>
    </w:div>
    <w:div w:id="784077225">
      <w:bodyDiv w:val="1"/>
      <w:marLeft w:val="0"/>
      <w:marRight w:val="0"/>
      <w:marTop w:val="0"/>
      <w:marBottom w:val="0"/>
      <w:divBdr>
        <w:top w:val="none" w:sz="0" w:space="0" w:color="auto"/>
        <w:left w:val="none" w:sz="0" w:space="0" w:color="auto"/>
        <w:bottom w:val="none" w:sz="0" w:space="0" w:color="auto"/>
        <w:right w:val="none" w:sz="0" w:space="0" w:color="auto"/>
      </w:divBdr>
    </w:div>
    <w:div w:id="796921242">
      <w:bodyDiv w:val="1"/>
      <w:marLeft w:val="0"/>
      <w:marRight w:val="0"/>
      <w:marTop w:val="0"/>
      <w:marBottom w:val="0"/>
      <w:divBdr>
        <w:top w:val="none" w:sz="0" w:space="0" w:color="auto"/>
        <w:left w:val="none" w:sz="0" w:space="0" w:color="auto"/>
        <w:bottom w:val="none" w:sz="0" w:space="0" w:color="auto"/>
        <w:right w:val="none" w:sz="0" w:space="0" w:color="auto"/>
      </w:divBdr>
    </w:div>
    <w:div w:id="803040532">
      <w:bodyDiv w:val="1"/>
      <w:marLeft w:val="0"/>
      <w:marRight w:val="0"/>
      <w:marTop w:val="0"/>
      <w:marBottom w:val="0"/>
      <w:divBdr>
        <w:top w:val="none" w:sz="0" w:space="0" w:color="auto"/>
        <w:left w:val="none" w:sz="0" w:space="0" w:color="auto"/>
        <w:bottom w:val="none" w:sz="0" w:space="0" w:color="auto"/>
        <w:right w:val="none" w:sz="0" w:space="0" w:color="auto"/>
      </w:divBdr>
    </w:div>
    <w:div w:id="812913781">
      <w:bodyDiv w:val="1"/>
      <w:marLeft w:val="0"/>
      <w:marRight w:val="0"/>
      <w:marTop w:val="0"/>
      <w:marBottom w:val="0"/>
      <w:divBdr>
        <w:top w:val="none" w:sz="0" w:space="0" w:color="auto"/>
        <w:left w:val="none" w:sz="0" w:space="0" w:color="auto"/>
        <w:bottom w:val="none" w:sz="0" w:space="0" w:color="auto"/>
        <w:right w:val="none" w:sz="0" w:space="0" w:color="auto"/>
      </w:divBdr>
    </w:div>
    <w:div w:id="820122875">
      <w:bodyDiv w:val="1"/>
      <w:marLeft w:val="0"/>
      <w:marRight w:val="0"/>
      <w:marTop w:val="0"/>
      <w:marBottom w:val="0"/>
      <w:divBdr>
        <w:top w:val="none" w:sz="0" w:space="0" w:color="auto"/>
        <w:left w:val="none" w:sz="0" w:space="0" w:color="auto"/>
        <w:bottom w:val="none" w:sz="0" w:space="0" w:color="auto"/>
        <w:right w:val="none" w:sz="0" w:space="0" w:color="auto"/>
      </w:divBdr>
    </w:div>
    <w:div w:id="822159724">
      <w:bodyDiv w:val="1"/>
      <w:marLeft w:val="0"/>
      <w:marRight w:val="0"/>
      <w:marTop w:val="0"/>
      <w:marBottom w:val="0"/>
      <w:divBdr>
        <w:top w:val="none" w:sz="0" w:space="0" w:color="auto"/>
        <w:left w:val="none" w:sz="0" w:space="0" w:color="auto"/>
        <w:bottom w:val="none" w:sz="0" w:space="0" w:color="auto"/>
        <w:right w:val="none" w:sz="0" w:space="0" w:color="auto"/>
      </w:divBdr>
    </w:div>
    <w:div w:id="823162535">
      <w:bodyDiv w:val="1"/>
      <w:marLeft w:val="0"/>
      <w:marRight w:val="0"/>
      <w:marTop w:val="0"/>
      <w:marBottom w:val="0"/>
      <w:divBdr>
        <w:top w:val="none" w:sz="0" w:space="0" w:color="auto"/>
        <w:left w:val="none" w:sz="0" w:space="0" w:color="auto"/>
        <w:bottom w:val="none" w:sz="0" w:space="0" w:color="auto"/>
        <w:right w:val="none" w:sz="0" w:space="0" w:color="auto"/>
      </w:divBdr>
    </w:div>
    <w:div w:id="830750860">
      <w:bodyDiv w:val="1"/>
      <w:marLeft w:val="0"/>
      <w:marRight w:val="0"/>
      <w:marTop w:val="0"/>
      <w:marBottom w:val="0"/>
      <w:divBdr>
        <w:top w:val="none" w:sz="0" w:space="0" w:color="auto"/>
        <w:left w:val="none" w:sz="0" w:space="0" w:color="auto"/>
        <w:bottom w:val="none" w:sz="0" w:space="0" w:color="auto"/>
        <w:right w:val="none" w:sz="0" w:space="0" w:color="auto"/>
      </w:divBdr>
    </w:div>
    <w:div w:id="838081567">
      <w:bodyDiv w:val="1"/>
      <w:marLeft w:val="0"/>
      <w:marRight w:val="0"/>
      <w:marTop w:val="0"/>
      <w:marBottom w:val="0"/>
      <w:divBdr>
        <w:top w:val="none" w:sz="0" w:space="0" w:color="auto"/>
        <w:left w:val="none" w:sz="0" w:space="0" w:color="auto"/>
        <w:bottom w:val="none" w:sz="0" w:space="0" w:color="auto"/>
        <w:right w:val="none" w:sz="0" w:space="0" w:color="auto"/>
      </w:divBdr>
    </w:div>
    <w:div w:id="842862928">
      <w:bodyDiv w:val="1"/>
      <w:marLeft w:val="0"/>
      <w:marRight w:val="0"/>
      <w:marTop w:val="0"/>
      <w:marBottom w:val="0"/>
      <w:divBdr>
        <w:top w:val="none" w:sz="0" w:space="0" w:color="auto"/>
        <w:left w:val="none" w:sz="0" w:space="0" w:color="auto"/>
        <w:bottom w:val="none" w:sz="0" w:space="0" w:color="auto"/>
        <w:right w:val="none" w:sz="0" w:space="0" w:color="auto"/>
      </w:divBdr>
    </w:div>
    <w:div w:id="844904748">
      <w:bodyDiv w:val="1"/>
      <w:marLeft w:val="0"/>
      <w:marRight w:val="0"/>
      <w:marTop w:val="0"/>
      <w:marBottom w:val="0"/>
      <w:divBdr>
        <w:top w:val="none" w:sz="0" w:space="0" w:color="auto"/>
        <w:left w:val="none" w:sz="0" w:space="0" w:color="auto"/>
        <w:bottom w:val="none" w:sz="0" w:space="0" w:color="auto"/>
        <w:right w:val="none" w:sz="0" w:space="0" w:color="auto"/>
      </w:divBdr>
    </w:div>
    <w:div w:id="845092735">
      <w:bodyDiv w:val="1"/>
      <w:marLeft w:val="0"/>
      <w:marRight w:val="0"/>
      <w:marTop w:val="0"/>
      <w:marBottom w:val="0"/>
      <w:divBdr>
        <w:top w:val="none" w:sz="0" w:space="0" w:color="auto"/>
        <w:left w:val="none" w:sz="0" w:space="0" w:color="auto"/>
        <w:bottom w:val="none" w:sz="0" w:space="0" w:color="auto"/>
        <w:right w:val="none" w:sz="0" w:space="0" w:color="auto"/>
      </w:divBdr>
    </w:div>
    <w:div w:id="855849951">
      <w:bodyDiv w:val="1"/>
      <w:marLeft w:val="0"/>
      <w:marRight w:val="0"/>
      <w:marTop w:val="0"/>
      <w:marBottom w:val="0"/>
      <w:divBdr>
        <w:top w:val="none" w:sz="0" w:space="0" w:color="auto"/>
        <w:left w:val="none" w:sz="0" w:space="0" w:color="auto"/>
        <w:bottom w:val="none" w:sz="0" w:space="0" w:color="auto"/>
        <w:right w:val="none" w:sz="0" w:space="0" w:color="auto"/>
      </w:divBdr>
    </w:div>
    <w:div w:id="858200937">
      <w:bodyDiv w:val="1"/>
      <w:marLeft w:val="0"/>
      <w:marRight w:val="0"/>
      <w:marTop w:val="0"/>
      <w:marBottom w:val="0"/>
      <w:divBdr>
        <w:top w:val="none" w:sz="0" w:space="0" w:color="auto"/>
        <w:left w:val="none" w:sz="0" w:space="0" w:color="auto"/>
        <w:bottom w:val="none" w:sz="0" w:space="0" w:color="auto"/>
        <w:right w:val="none" w:sz="0" w:space="0" w:color="auto"/>
      </w:divBdr>
    </w:div>
    <w:div w:id="860751458">
      <w:bodyDiv w:val="1"/>
      <w:marLeft w:val="0"/>
      <w:marRight w:val="0"/>
      <w:marTop w:val="0"/>
      <w:marBottom w:val="0"/>
      <w:divBdr>
        <w:top w:val="none" w:sz="0" w:space="0" w:color="auto"/>
        <w:left w:val="none" w:sz="0" w:space="0" w:color="auto"/>
        <w:bottom w:val="none" w:sz="0" w:space="0" w:color="auto"/>
        <w:right w:val="none" w:sz="0" w:space="0" w:color="auto"/>
      </w:divBdr>
    </w:div>
    <w:div w:id="861742338">
      <w:bodyDiv w:val="1"/>
      <w:marLeft w:val="0"/>
      <w:marRight w:val="0"/>
      <w:marTop w:val="0"/>
      <w:marBottom w:val="0"/>
      <w:divBdr>
        <w:top w:val="none" w:sz="0" w:space="0" w:color="auto"/>
        <w:left w:val="none" w:sz="0" w:space="0" w:color="auto"/>
        <w:bottom w:val="none" w:sz="0" w:space="0" w:color="auto"/>
        <w:right w:val="none" w:sz="0" w:space="0" w:color="auto"/>
      </w:divBdr>
    </w:div>
    <w:div w:id="864319986">
      <w:bodyDiv w:val="1"/>
      <w:marLeft w:val="0"/>
      <w:marRight w:val="0"/>
      <w:marTop w:val="0"/>
      <w:marBottom w:val="0"/>
      <w:divBdr>
        <w:top w:val="none" w:sz="0" w:space="0" w:color="auto"/>
        <w:left w:val="none" w:sz="0" w:space="0" w:color="auto"/>
        <w:bottom w:val="none" w:sz="0" w:space="0" w:color="auto"/>
        <w:right w:val="none" w:sz="0" w:space="0" w:color="auto"/>
      </w:divBdr>
    </w:div>
    <w:div w:id="869342772">
      <w:bodyDiv w:val="1"/>
      <w:marLeft w:val="0"/>
      <w:marRight w:val="0"/>
      <w:marTop w:val="0"/>
      <w:marBottom w:val="0"/>
      <w:divBdr>
        <w:top w:val="none" w:sz="0" w:space="0" w:color="auto"/>
        <w:left w:val="none" w:sz="0" w:space="0" w:color="auto"/>
        <w:bottom w:val="none" w:sz="0" w:space="0" w:color="auto"/>
        <w:right w:val="none" w:sz="0" w:space="0" w:color="auto"/>
      </w:divBdr>
    </w:div>
    <w:div w:id="883953157">
      <w:bodyDiv w:val="1"/>
      <w:marLeft w:val="0"/>
      <w:marRight w:val="0"/>
      <w:marTop w:val="0"/>
      <w:marBottom w:val="0"/>
      <w:divBdr>
        <w:top w:val="none" w:sz="0" w:space="0" w:color="auto"/>
        <w:left w:val="none" w:sz="0" w:space="0" w:color="auto"/>
        <w:bottom w:val="none" w:sz="0" w:space="0" w:color="auto"/>
        <w:right w:val="none" w:sz="0" w:space="0" w:color="auto"/>
      </w:divBdr>
    </w:div>
    <w:div w:id="885796608">
      <w:bodyDiv w:val="1"/>
      <w:marLeft w:val="0"/>
      <w:marRight w:val="0"/>
      <w:marTop w:val="0"/>
      <w:marBottom w:val="0"/>
      <w:divBdr>
        <w:top w:val="none" w:sz="0" w:space="0" w:color="auto"/>
        <w:left w:val="none" w:sz="0" w:space="0" w:color="auto"/>
        <w:bottom w:val="none" w:sz="0" w:space="0" w:color="auto"/>
        <w:right w:val="none" w:sz="0" w:space="0" w:color="auto"/>
      </w:divBdr>
    </w:div>
    <w:div w:id="886599665">
      <w:bodyDiv w:val="1"/>
      <w:marLeft w:val="0"/>
      <w:marRight w:val="0"/>
      <w:marTop w:val="0"/>
      <w:marBottom w:val="0"/>
      <w:divBdr>
        <w:top w:val="none" w:sz="0" w:space="0" w:color="auto"/>
        <w:left w:val="none" w:sz="0" w:space="0" w:color="auto"/>
        <w:bottom w:val="none" w:sz="0" w:space="0" w:color="auto"/>
        <w:right w:val="none" w:sz="0" w:space="0" w:color="auto"/>
      </w:divBdr>
    </w:div>
    <w:div w:id="898516948">
      <w:bodyDiv w:val="1"/>
      <w:marLeft w:val="0"/>
      <w:marRight w:val="0"/>
      <w:marTop w:val="0"/>
      <w:marBottom w:val="0"/>
      <w:divBdr>
        <w:top w:val="none" w:sz="0" w:space="0" w:color="auto"/>
        <w:left w:val="none" w:sz="0" w:space="0" w:color="auto"/>
        <w:bottom w:val="none" w:sz="0" w:space="0" w:color="auto"/>
        <w:right w:val="none" w:sz="0" w:space="0" w:color="auto"/>
      </w:divBdr>
    </w:div>
    <w:div w:id="899825926">
      <w:bodyDiv w:val="1"/>
      <w:marLeft w:val="0"/>
      <w:marRight w:val="0"/>
      <w:marTop w:val="0"/>
      <w:marBottom w:val="0"/>
      <w:divBdr>
        <w:top w:val="none" w:sz="0" w:space="0" w:color="auto"/>
        <w:left w:val="none" w:sz="0" w:space="0" w:color="auto"/>
        <w:bottom w:val="none" w:sz="0" w:space="0" w:color="auto"/>
        <w:right w:val="none" w:sz="0" w:space="0" w:color="auto"/>
      </w:divBdr>
    </w:div>
    <w:div w:id="903028243">
      <w:bodyDiv w:val="1"/>
      <w:marLeft w:val="0"/>
      <w:marRight w:val="0"/>
      <w:marTop w:val="0"/>
      <w:marBottom w:val="0"/>
      <w:divBdr>
        <w:top w:val="none" w:sz="0" w:space="0" w:color="auto"/>
        <w:left w:val="none" w:sz="0" w:space="0" w:color="auto"/>
        <w:bottom w:val="none" w:sz="0" w:space="0" w:color="auto"/>
        <w:right w:val="none" w:sz="0" w:space="0" w:color="auto"/>
      </w:divBdr>
    </w:div>
    <w:div w:id="903949160">
      <w:bodyDiv w:val="1"/>
      <w:marLeft w:val="0"/>
      <w:marRight w:val="0"/>
      <w:marTop w:val="0"/>
      <w:marBottom w:val="0"/>
      <w:divBdr>
        <w:top w:val="none" w:sz="0" w:space="0" w:color="auto"/>
        <w:left w:val="none" w:sz="0" w:space="0" w:color="auto"/>
        <w:bottom w:val="none" w:sz="0" w:space="0" w:color="auto"/>
        <w:right w:val="none" w:sz="0" w:space="0" w:color="auto"/>
      </w:divBdr>
    </w:div>
    <w:div w:id="912588940">
      <w:bodyDiv w:val="1"/>
      <w:marLeft w:val="0"/>
      <w:marRight w:val="0"/>
      <w:marTop w:val="0"/>
      <w:marBottom w:val="0"/>
      <w:divBdr>
        <w:top w:val="none" w:sz="0" w:space="0" w:color="auto"/>
        <w:left w:val="none" w:sz="0" w:space="0" w:color="auto"/>
        <w:bottom w:val="none" w:sz="0" w:space="0" w:color="auto"/>
        <w:right w:val="none" w:sz="0" w:space="0" w:color="auto"/>
      </w:divBdr>
    </w:div>
    <w:div w:id="920867225">
      <w:bodyDiv w:val="1"/>
      <w:marLeft w:val="0"/>
      <w:marRight w:val="0"/>
      <w:marTop w:val="0"/>
      <w:marBottom w:val="0"/>
      <w:divBdr>
        <w:top w:val="none" w:sz="0" w:space="0" w:color="auto"/>
        <w:left w:val="none" w:sz="0" w:space="0" w:color="auto"/>
        <w:bottom w:val="none" w:sz="0" w:space="0" w:color="auto"/>
        <w:right w:val="none" w:sz="0" w:space="0" w:color="auto"/>
      </w:divBdr>
    </w:div>
    <w:div w:id="923420933">
      <w:bodyDiv w:val="1"/>
      <w:marLeft w:val="0"/>
      <w:marRight w:val="0"/>
      <w:marTop w:val="0"/>
      <w:marBottom w:val="0"/>
      <w:divBdr>
        <w:top w:val="none" w:sz="0" w:space="0" w:color="auto"/>
        <w:left w:val="none" w:sz="0" w:space="0" w:color="auto"/>
        <w:bottom w:val="none" w:sz="0" w:space="0" w:color="auto"/>
        <w:right w:val="none" w:sz="0" w:space="0" w:color="auto"/>
      </w:divBdr>
    </w:div>
    <w:div w:id="925073078">
      <w:bodyDiv w:val="1"/>
      <w:marLeft w:val="0"/>
      <w:marRight w:val="0"/>
      <w:marTop w:val="0"/>
      <w:marBottom w:val="0"/>
      <w:divBdr>
        <w:top w:val="none" w:sz="0" w:space="0" w:color="auto"/>
        <w:left w:val="none" w:sz="0" w:space="0" w:color="auto"/>
        <w:bottom w:val="none" w:sz="0" w:space="0" w:color="auto"/>
        <w:right w:val="none" w:sz="0" w:space="0" w:color="auto"/>
      </w:divBdr>
    </w:div>
    <w:div w:id="933778634">
      <w:bodyDiv w:val="1"/>
      <w:marLeft w:val="0"/>
      <w:marRight w:val="0"/>
      <w:marTop w:val="0"/>
      <w:marBottom w:val="0"/>
      <w:divBdr>
        <w:top w:val="none" w:sz="0" w:space="0" w:color="auto"/>
        <w:left w:val="none" w:sz="0" w:space="0" w:color="auto"/>
        <w:bottom w:val="none" w:sz="0" w:space="0" w:color="auto"/>
        <w:right w:val="none" w:sz="0" w:space="0" w:color="auto"/>
      </w:divBdr>
    </w:div>
    <w:div w:id="954213104">
      <w:bodyDiv w:val="1"/>
      <w:marLeft w:val="0"/>
      <w:marRight w:val="0"/>
      <w:marTop w:val="0"/>
      <w:marBottom w:val="0"/>
      <w:divBdr>
        <w:top w:val="none" w:sz="0" w:space="0" w:color="auto"/>
        <w:left w:val="none" w:sz="0" w:space="0" w:color="auto"/>
        <w:bottom w:val="none" w:sz="0" w:space="0" w:color="auto"/>
        <w:right w:val="none" w:sz="0" w:space="0" w:color="auto"/>
      </w:divBdr>
    </w:div>
    <w:div w:id="955329496">
      <w:bodyDiv w:val="1"/>
      <w:marLeft w:val="0"/>
      <w:marRight w:val="0"/>
      <w:marTop w:val="0"/>
      <w:marBottom w:val="0"/>
      <w:divBdr>
        <w:top w:val="none" w:sz="0" w:space="0" w:color="auto"/>
        <w:left w:val="none" w:sz="0" w:space="0" w:color="auto"/>
        <w:bottom w:val="none" w:sz="0" w:space="0" w:color="auto"/>
        <w:right w:val="none" w:sz="0" w:space="0" w:color="auto"/>
      </w:divBdr>
    </w:div>
    <w:div w:id="959871335">
      <w:bodyDiv w:val="1"/>
      <w:marLeft w:val="0"/>
      <w:marRight w:val="0"/>
      <w:marTop w:val="0"/>
      <w:marBottom w:val="0"/>
      <w:divBdr>
        <w:top w:val="none" w:sz="0" w:space="0" w:color="auto"/>
        <w:left w:val="none" w:sz="0" w:space="0" w:color="auto"/>
        <w:bottom w:val="none" w:sz="0" w:space="0" w:color="auto"/>
        <w:right w:val="none" w:sz="0" w:space="0" w:color="auto"/>
      </w:divBdr>
    </w:div>
    <w:div w:id="960187242">
      <w:bodyDiv w:val="1"/>
      <w:marLeft w:val="0"/>
      <w:marRight w:val="0"/>
      <w:marTop w:val="0"/>
      <w:marBottom w:val="0"/>
      <w:divBdr>
        <w:top w:val="none" w:sz="0" w:space="0" w:color="auto"/>
        <w:left w:val="none" w:sz="0" w:space="0" w:color="auto"/>
        <w:bottom w:val="none" w:sz="0" w:space="0" w:color="auto"/>
        <w:right w:val="none" w:sz="0" w:space="0" w:color="auto"/>
      </w:divBdr>
    </w:div>
    <w:div w:id="960846052">
      <w:bodyDiv w:val="1"/>
      <w:marLeft w:val="0"/>
      <w:marRight w:val="0"/>
      <w:marTop w:val="0"/>
      <w:marBottom w:val="0"/>
      <w:divBdr>
        <w:top w:val="none" w:sz="0" w:space="0" w:color="auto"/>
        <w:left w:val="none" w:sz="0" w:space="0" w:color="auto"/>
        <w:bottom w:val="none" w:sz="0" w:space="0" w:color="auto"/>
        <w:right w:val="none" w:sz="0" w:space="0" w:color="auto"/>
      </w:divBdr>
    </w:div>
    <w:div w:id="961688982">
      <w:bodyDiv w:val="1"/>
      <w:marLeft w:val="0"/>
      <w:marRight w:val="0"/>
      <w:marTop w:val="0"/>
      <w:marBottom w:val="0"/>
      <w:divBdr>
        <w:top w:val="none" w:sz="0" w:space="0" w:color="auto"/>
        <w:left w:val="none" w:sz="0" w:space="0" w:color="auto"/>
        <w:bottom w:val="none" w:sz="0" w:space="0" w:color="auto"/>
        <w:right w:val="none" w:sz="0" w:space="0" w:color="auto"/>
      </w:divBdr>
    </w:div>
    <w:div w:id="964388945">
      <w:bodyDiv w:val="1"/>
      <w:marLeft w:val="0"/>
      <w:marRight w:val="0"/>
      <w:marTop w:val="0"/>
      <w:marBottom w:val="0"/>
      <w:divBdr>
        <w:top w:val="none" w:sz="0" w:space="0" w:color="auto"/>
        <w:left w:val="none" w:sz="0" w:space="0" w:color="auto"/>
        <w:bottom w:val="none" w:sz="0" w:space="0" w:color="auto"/>
        <w:right w:val="none" w:sz="0" w:space="0" w:color="auto"/>
      </w:divBdr>
    </w:div>
    <w:div w:id="970131479">
      <w:bodyDiv w:val="1"/>
      <w:marLeft w:val="0"/>
      <w:marRight w:val="0"/>
      <w:marTop w:val="0"/>
      <w:marBottom w:val="0"/>
      <w:divBdr>
        <w:top w:val="none" w:sz="0" w:space="0" w:color="auto"/>
        <w:left w:val="none" w:sz="0" w:space="0" w:color="auto"/>
        <w:bottom w:val="none" w:sz="0" w:space="0" w:color="auto"/>
        <w:right w:val="none" w:sz="0" w:space="0" w:color="auto"/>
      </w:divBdr>
    </w:div>
    <w:div w:id="971522505">
      <w:bodyDiv w:val="1"/>
      <w:marLeft w:val="0"/>
      <w:marRight w:val="0"/>
      <w:marTop w:val="0"/>
      <w:marBottom w:val="0"/>
      <w:divBdr>
        <w:top w:val="none" w:sz="0" w:space="0" w:color="auto"/>
        <w:left w:val="none" w:sz="0" w:space="0" w:color="auto"/>
        <w:bottom w:val="none" w:sz="0" w:space="0" w:color="auto"/>
        <w:right w:val="none" w:sz="0" w:space="0" w:color="auto"/>
      </w:divBdr>
    </w:div>
    <w:div w:id="976909055">
      <w:bodyDiv w:val="1"/>
      <w:marLeft w:val="0"/>
      <w:marRight w:val="0"/>
      <w:marTop w:val="0"/>
      <w:marBottom w:val="0"/>
      <w:divBdr>
        <w:top w:val="none" w:sz="0" w:space="0" w:color="auto"/>
        <w:left w:val="none" w:sz="0" w:space="0" w:color="auto"/>
        <w:bottom w:val="none" w:sz="0" w:space="0" w:color="auto"/>
        <w:right w:val="none" w:sz="0" w:space="0" w:color="auto"/>
      </w:divBdr>
    </w:div>
    <w:div w:id="984436611">
      <w:bodyDiv w:val="1"/>
      <w:marLeft w:val="0"/>
      <w:marRight w:val="0"/>
      <w:marTop w:val="0"/>
      <w:marBottom w:val="0"/>
      <w:divBdr>
        <w:top w:val="none" w:sz="0" w:space="0" w:color="auto"/>
        <w:left w:val="none" w:sz="0" w:space="0" w:color="auto"/>
        <w:bottom w:val="none" w:sz="0" w:space="0" w:color="auto"/>
        <w:right w:val="none" w:sz="0" w:space="0" w:color="auto"/>
      </w:divBdr>
    </w:div>
    <w:div w:id="986283540">
      <w:bodyDiv w:val="1"/>
      <w:marLeft w:val="0"/>
      <w:marRight w:val="0"/>
      <w:marTop w:val="0"/>
      <w:marBottom w:val="0"/>
      <w:divBdr>
        <w:top w:val="none" w:sz="0" w:space="0" w:color="auto"/>
        <w:left w:val="none" w:sz="0" w:space="0" w:color="auto"/>
        <w:bottom w:val="none" w:sz="0" w:space="0" w:color="auto"/>
        <w:right w:val="none" w:sz="0" w:space="0" w:color="auto"/>
      </w:divBdr>
    </w:div>
    <w:div w:id="993879454">
      <w:bodyDiv w:val="1"/>
      <w:marLeft w:val="0"/>
      <w:marRight w:val="0"/>
      <w:marTop w:val="0"/>
      <w:marBottom w:val="0"/>
      <w:divBdr>
        <w:top w:val="none" w:sz="0" w:space="0" w:color="auto"/>
        <w:left w:val="none" w:sz="0" w:space="0" w:color="auto"/>
        <w:bottom w:val="none" w:sz="0" w:space="0" w:color="auto"/>
        <w:right w:val="none" w:sz="0" w:space="0" w:color="auto"/>
      </w:divBdr>
    </w:div>
    <w:div w:id="997538066">
      <w:bodyDiv w:val="1"/>
      <w:marLeft w:val="0"/>
      <w:marRight w:val="0"/>
      <w:marTop w:val="0"/>
      <w:marBottom w:val="0"/>
      <w:divBdr>
        <w:top w:val="none" w:sz="0" w:space="0" w:color="auto"/>
        <w:left w:val="none" w:sz="0" w:space="0" w:color="auto"/>
        <w:bottom w:val="none" w:sz="0" w:space="0" w:color="auto"/>
        <w:right w:val="none" w:sz="0" w:space="0" w:color="auto"/>
      </w:divBdr>
    </w:div>
    <w:div w:id="999115163">
      <w:bodyDiv w:val="1"/>
      <w:marLeft w:val="0"/>
      <w:marRight w:val="0"/>
      <w:marTop w:val="0"/>
      <w:marBottom w:val="0"/>
      <w:divBdr>
        <w:top w:val="none" w:sz="0" w:space="0" w:color="auto"/>
        <w:left w:val="none" w:sz="0" w:space="0" w:color="auto"/>
        <w:bottom w:val="none" w:sz="0" w:space="0" w:color="auto"/>
        <w:right w:val="none" w:sz="0" w:space="0" w:color="auto"/>
      </w:divBdr>
    </w:div>
    <w:div w:id="1008826864">
      <w:bodyDiv w:val="1"/>
      <w:marLeft w:val="0"/>
      <w:marRight w:val="0"/>
      <w:marTop w:val="0"/>
      <w:marBottom w:val="0"/>
      <w:divBdr>
        <w:top w:val="none" w:sz="0" w:space="0" w:color="auto"/>
        <w:left w:val="none" w:sz="0" w:space="0" w:color="auto"/>
        <w:bottom w:val="none" w:sz="0" w:space="0" w:color="auto"/>
        <w:right w:val="none" w:sz="0" w:space="0" w:color="auto"/>
      </w:divBdr>
    </w:div>
    <w:div w:id="1012074910">
      <w:bodyDiv w:val="1"/>
      <w:marLeft w:val="0"/>
      <w:marRight w:val="0"/>
      <w:marTop w:val="0"/>
      <w:marBottom w:val="0"/>
      <w:divBdr>
        <w:top w:val="none" w:sz="0" w:space="0" w:color="auto"/>
        <w:left w:val="none" w:sz="0" w:space="0" w:color="auto"/>
        <w:bottom w:val="none" w:sz="0" w:space="0" w:color="auto"/>
        <w:right w:val="none" w:sz="0" w:space="0" w:color="auto"/>
      </w:divBdr>
    </w:div>
    <w:div w:id="1034770725">
      <w:bodyDiv w:val="1"/>
      <w:marLeft w:val="0"/>
      <w:marRight w:val="0"/>
      <w:marTop w:val="0"/>
      <w:marBottom w:val="0"/>
      <w:divBdr>
        <w:top w:val="none" w:sz="0" w:space="0" w:color="auto"/>
        <w:left w:val="none" w:sz="0" w:space="0" w:color="auto"/>
        <w:bottom w:val="none" w:sz="0" w:space="0" w:color="auto"/>
        <w:right w:val="none" w:sz="0" w:space="0" w:color="auto"/>
      </w:divBdr>
    </w:div>
    <w:div w:id="1035812281">
      <w:bodyDiv w:val="1"/>
      <w:marLeft w:val="0"/>
      <w:marRight w:val="0"/>
      <w:marTop w:val="0"/>
      <w:marBottom w:val="0"/>
      <w:divBdr>
        <w:top w:val="none" w:sz="0" w:space="0" w:color="auto"/>
        <w:left w:val="none" w:sz="0" w:space="0" w:color="auto"/>
        <w:bottom w:val="none" w:sz="0" w:space="0" w:color="auto"/>
        <w:right w:val="none" w:sz="0" w:space="0" w:color="auto"/>
      </w:divBdr>
    </w:div>
    <w:div w:id="1047873973">
      <w:bodyDiv w:val="1"/>
      <w:marLeft w:val="0"/>
      <w:marRight w:val="0"/>
      <w:marTop w:val="0"/>
      <w:marBottom w:val="0"/>
      <w:divBdr>
        <w:top w:val="none" w:sz="0" w:space="0" w:color="auto"/>
        <w:left w:val="none" w:sz="0" w:space="0" w:color="auto"/>
        <w:bottom w:val="none" w:sz="0" w:space="0" w:color="auto"/>
        <w:right w:val="none" w:sz="0" w:space="0" w:color="auto"/>
      </w:divBdr>
    </w:div>
    <w:div w:id="1050805642">
      <w:bodyDiv w:val="1"/>
      <w:marLeft w:val="0"/>
      <w:marRight w:val="0"/>
      <w:marTop w:val="0"/>
      <w:marBottom w:val="0"/>
      <w:divBdr>
        <w:top w:val="none" w:sz="0" w:space="0" w:color="auto"/>
        <w:left w:val="none" w:sz="0" w:space="0" w:color="auto"/>
        <w:bottom w:val="none" w:sz="0" w:space="0" w:color="auto"/>
        <w:right w:val="none" w:sz="0" w:space="0" w:color="auto"/>
      </w:divBdr>
    </w:div>
    <w:div w:id="1050885333">
      <w:bodyDiv w:val="1"/>
      <w:marLeft w:val="0"/>
      <w:marRight w:val="0"/>
      <w:marTop w:val="0"/>
      <w:marBottom w:val="0"/>
      <w:divBdr>
        <w:top w:val="none" w:sz="0" w:space="0" w:color="auto"/>
        <w:left w:val="none" w:sz="0" w:space="0" w:color="auto"/>
        <w:bottom w:val="none" w:sz="0" w:space="0" w:color="auto"/>
        <w:right w:val="none" w:sz="0" w:space="0" w:color="auto"/>
      </w:divBdr>
    </w:div>
    <w:div w:id="1060640140">
      <w:bodyDiv w:val="1"/>
      <w:marLeft w:val="0"/>
      <w:marRight w:val="0"/>
      <w:marTop w:val="0"/>
      <w:marBottom w:val="0"/>
      <w:divBdr>
        <w:top w:val="none" w:sz="0" w:space="0" w:color="auto"/>
        <w:left w:val="none" w:sz="0" w:space="0" w:color="auto"/>
        <w:bottom w:val="none" w:sz="0" w:space="0" w:color="auto"/>
        <w:right w:val="none" w:sz="0" w:space="0" w:color="auto"/>
      </w:divBdr>
    </w:div>
    <w:div w:id="1066608882">
      <w:bodyDiv w:val="1"/>
      <w:marLeft w:val="0"/>
      <w:marRight w:val="0"/>
      <w:marTop w:val="0"/>
      <w:marBottom w:val="0"/>
      <w:divBdr>
        <w:top w:val="none" w:sz="0" w:space="0" w:color="auto"/>
        <w:left w:val="none" w:sz="0" w:space="0" w:color="auto"/>
        <w:bottom w:val="none" w:sz="0" w:space="0" w:color="auto"/>
        <w:right w:val="none" w:sz="0" w:space="0" w:color="auto"/>
      </w:divBdr>
    </w:div>
    <w:div w:id="1069109693">
      <w:bodyDiv w:val="1"/>
      <w:marLeft w:val="0"/>
      <w:marRight w:val="0"/>
      <w:marTop w:val="0"/>
      <w:marBottom w:val="0"/>
      <w:divBdr>
        <w:top w:val="none" w:sz="0" w:space="0" w:color="auto"/>
        <w:left w:val="none" w:sz="0" w:space="0" w:color="auto"/>
        <w:bottom w:val="none" w:sz="0" w:space="0" w:color="auto"/>
        <w:right w:val="none" w:sz="0" w:space="0" w:color="auto"/>
      </w:divBdr>
    </w:div>
    <w:div w:id="1071848039">
      <w:bodyDiv w:val="1"/>
      <w:marLeft w:val="0"/>
      <w:marRight w:val="0"/>
      <w:marTop w:val="0"/>
      <w:marBottom w:val="0"/>
      <w:divBdr>
        <w:top w:val="none" w:sz="0" w:space="0" w:color="auto"/>
        <w:left w:val="none" w:sz="0" w:space="0" w:color="auto"/>
        <w:bottom w:val="none" w:sz="0" w:space="0" w:color="auto"/>
        <w:right w:val="none" w:sz="0" w:space="0" w:color="auto"/>
      </w:divBdr>
    </w:div>
    <w:div w:id="1076897123">
      <w:bodyDiv w:val="1"/>
      <w:marLeft w:val="0"/>
      <w:marRight w:val="0"/>
      <w:marTop w:val="0"/>
      <w:marBottom w:val="0"/>
      <w:divBdr>
        <w:top w:val="none" w:sz="0" w:space="0" w:color="auto"/>
        <w:left w:val="none" w:sz="0" w:space="0" w:color="auto"/>
        <w:bottom w:val="none" w:sz="0" w:space="0" w:color="auto"/>
        <w:right w:val="none" w:sz="0" w:space="0" w:color="auto"/>
      </w:divBdr>
    </w:div>
    <w:div w:id="1094130525">
      <w:bodyDiv w:val="1"/>
      <w:marLeft w:val="0"/>
      <w:marRight w:val="0"/>
      <w:marTop w:val="0"/>
      <w:marBottom w:val="0"/>
      <w:divBdr>
        <w:top w:val="none" w:sz="0" w:space="0" w:color="auto"/>
        <w:left w:val="none" w:sz="0" w:space="0" w:color="auto"/>
        <w:bottom w:val="none" w:sz="0" w:space="0" w:color="auto"/>
        <w:right w:val="none" w:sz="0" w:space="0" w:color="auto"/>
      </w:divBdr>
    </w:div>
    <w:div w:id="1104378800">
      <w:bodyDiv w:val="1"/>
      <w:marLeft w:val="0"/>
      <w:marRight w:val="0"/>
      <w:marTop w:val="0"/>
      <w:marBottom w:val="0"/>
      <w:divBdr>
        <w:top w:val="none" w:sz="0" w:space="0" w:color="auto"/>
        <w:left w:val="none" w:sz="0" w:space="0" w:color="auto"/>
        <w:bottom w:val="none" w:sz="0" w:space="0" w:color="auto"/>
        <w:right w:val="none" w:sz="0" w:space="0" w:color="auto"/>
      </w:divBdr>
    </w:div>
    <w:div w:id="1110010284">
      <w:bodyDiv w:val="1"/>
      <w:marLeft w:val="0"/>
      <w:marRight w:val="0"/>
      <w:marTop w:val="0"/>
      <w:marBottom w:val="0"/>
      <w:divBdr>
        <w:top w:val="none" w:sz="0" w:space="0" w:color="auto"/>
        <w:left w:val="none" w:sz="0" w:space="0" w:color="auto"/>
        <w:bottom w:val="none" w:sz="0" w:space="0" w:color="auto"/>
        <w:right w:val="none" w:sz="0" w:space="0" w:color="auto"/>
      </w:divBdr>
    </w:div>
    <w:div w:id="1110322779">
      <w:bodyDiv w:val="1"/>
      <w:marLeft w:val="0"/>
      <w:marRight w:val="0"/>
      <w:marTop w:val="0"/>
      <w:marBottom w:val="0"/>
      <w:divBdr>
        <w:top w:val="none" w:sz="0" w:space="0" w:color="auto"/>
        <w:left w:val="none" w:sz="0" w:space="0" w:color="auto"/>
        <w:bottom w:val="none" w:sz="0" w:space="0" w:color="auto"/>
        <w:right w:val="none" w:sz="0" w:space="0" w:color="auto"/>
      </w:divBdr>
    </w:div>
    <w:div w:id="1111513133">
      <w:bodyDiv w:val="1"/>
      <w:marLeft w:val="0"/>
      <w:marRight w:val="0"/>
      <w:marTop w:val="0"/>
      <w:marBottom w:val="0"/>
      <w:divBdr>
        <w:top w:val="none" w:sz="0" w:space="0" w:color="auto"/>
        <w:left w:val="none" w:sz="0" w:space="0" w:color="auto"/>
        <w:bottom w:val="none" w:sz="0" w:space="0" w:color="auto"/>
        <w:right w:val="none" w:sz="0" w:space="0" w:color="auto"/>
      </w:divBdr>
    </w:div>
    <w:div w:id="1122965107">
      <w:bodyDiv w:val="1"/>
      <w:marLeft w:val="0"/>
      <w:marRight w:val="0"/>
      <w:marTop w:val="0"/>
      <w:marBottom w:val="0"/>
      <w:divBdr>
        <w:top w:val="none" w:sz="0" w:space="0" w:color="auto"/>
        <w:left w:val="none" w:sz="0" w:space="0" w:color="auto"/>
        <w:bottom w:val="none" w:sz="0" w:space="0" w:color="auto"/>
        <w:right w:val="none" w:sz="0" w:space="0" w:color="auto"/>
      </w:divBdr>
    </w:div>
    <w:div w:id="1123770087">
      <w:bodyDiv w:val="1"/>
      <w:marLeft w:val="0"/>
      <w:marRight w:val="0"/>
      <w:marTop w:val="0"/>
      <w:marBottom w:val="0"/>
      <w:divBdr>
        <w:top w:val="none" w:sz="0" w:space="0" w:color="auto"/>
        <w:left w:val="none" w:sz="0" w:space="0" w:color="auto"/>
        <w:bottom w:val="none" w:sz="0" w:space="0" w:color="auto"/>
        <w:right w:val="none" w:sz="0" w:space="0" w:color="auto"/>
      </w:divBdr>
    </w:div>
    <w:div w:id="1125852858">
      <w:bodyDiv w:val="1"/>
      <w:marLeft w:val="0"/>
      <w:marRight w:val="0"/>
      <w:marTop w:val="0"/>
      <w:marBottom w:val="0"/>
      <w:divBdr>
        <w:top w:val="none" w:sz="0" w:space="0" w:color="auto"/>
        <w:left w:val="none" w:sz="0" w:space="0" w:color="auto"/>
        <w:bottom w:val="none" w:sz="0" w:space="0" w:color="auto"/>
        <w:right w:val="none" w:sz="0" w:space="0" w:color="auto"/>
      </w:divBdr>
    </w:div>
    <w:div w:id="1127700800">
      <w:bodyDiv w:val="1"/>
      <w:marLeft w:val="0"/>
      <w:marRight w:val="0"/>
      <w:marTop w:val="0"/>
      <w:marBottom w:val="0"/>
      <w:divBdr>
        <w:top w:val="none" w:sz="0" w:space="0" w:color="auto"/>
        <w:left w:val="none" w:sz="0" w:space="0" w:color="auto"/>
        <w:bottom w:val="none" w:sz="0" w:space="0" w:color="auto"/>
        <w:right w:val="none" w:sz="0" w:space="0" w:color="auto"/>
      </w:divBdr>
    </w:div>
    <w:div w:id="1133258347">
      <w:bodyDiv w:val="1"/>
      <w:marLeft w:val="0"/>
      <w:marRight w:val="0"/>
      <w:marTop w:val="0"/>
      <w:marBottom w:val="0"/>
      <w:divBdr>
        <w:top w:val="none" w:sz="0" w:space="0" w:color="auto"/>
        <w:left w:val="none" w:sz="0" w:space="0" w:color="auto"/>
        <w:bottom w:val="none" w:sz="0" w:space="0" w:color="auto"/>
        <w:right w:val="none" w:sz="0" w:space="0" w:color="auto"/>
      </w:divBdr>
    </w:div>
    <w:div w:id="1135222887">
      <w:bodyDiv w:val="1"/>
      <w:marLeft w:val="0"/>
      <w:marRight w:val="0"/>
      <w:marTop w:val="0"/>
      <w:marBottom w:val="0"/>
      <w:divBdr>
        <w:top w:val="none" w:sz="0" w:space="0" w:color="auto"/>
        <w:left w:val="none" w:sz="0" w:space="0" w:color="auto"/>
        <w:bottom w:val="none" w:sz="0" w:space="0" w:color="auto"/>
        <w:right w:val="none" w:sz="0" w:space="0" w:color="auto"/>
      </w:divBdr>
    </w:div>
    <w:div w:id="1136601922">
      <w:bodyDiv w:val="1"/>
      <w:marLeft w:val="0"/>
      <w:marRight w:val="0"/>
      <w:marTop w:val="0"/>
      <w:marBottom w:val="0"/>
      <w:divBdr>
        <w:top w:val="none" w:sz="0" w:space="0" w:color="auto"/>
        <w:left w:val="none" w:sz="0" w:space="0" w:color="auto"/>
        <w:bottom w:val="none" w:sz="0" w:space="0" w:color="auto"/>
        <w:right w:val="none" w:sz="0" w:space="0" w:color="auto"/>
      </w:divBdr>
    </w:div>
    <w:div w:id="1140270178">
      <w:bodyDiv w:val="1"/>
      <w:marLeft w:val="0"/>
      <w:marRight w:val="0"/>
      <w:marTop w:val="0"/>
      <w:marBottom w:val="0"/>
      <w:divBdr>
        <w:top w:val="none" w:sz="0" w:space="0" w:color="auto"/>
        <w:left w:val="none" w:sz="0" w:space="0" w:color="auto"/>
        <w:bottom w:val="none" w:sz="0" w:space="0" w:color="auto"/>
        <w:right w:val="none" w:sz="0" w:space="0" w:color="auto"/>
      </w:divBdr>
    </w:div>
    <w:div w:id="1146051234">
      <w:bodyDiv w:val="1"/>
      <w:marLeft w:val="0"/>
      <w:marRight w:val="0"/>
      <w:marTop w:val="0"/>
      <w:marBottom w:val="0"/>
      <w:divBdr>
        <w:top w:val="none" w:sz="0" w:space="0" w:color="auto"/>
        <w:left w:val="none" w:sz="0" w:space="0" w:color="auto"/>
        <w:bottom w:val="none" w:sz="0" w:space="0" w:color="auto"/>
        <w:right w:val="none" w:sz="0" w:space="0" w:color="auto"/>
      </w:divBdr>
    </w:div>
    <w:div w:id="1149712573">
      <w:bodyDiv w:val="1"/>
      <w:marLeft w:val="0"/>
      <w:marRight w:val="0"/>
      <w:marTop w:val="0"/>
      <w:marBottom w:val="0"/>
      <w:divBdr>
        <w:top w:val="none" w:sz="0" w:space="0" w:color="auto"/>
        <w:left w:val="none" w:sz="0" w:space="0" w:color="auto"/>
        <w:bottom w:val="none" w:sz="0" w:space="0" w:color="auto"/>
        <w:right w:val="none" w:sz="0" w:space="0" w:color="auto"/>
      </w:divBdr>
    </w:div>
    <w:div w:id="1161652412">
      <w:bodyDiv w:val="1"/>
      <w:marLeft w:val="0"/>
      <w:marRight w:val="0"/>
      <w:marTop w:val="0"/>
      <w:marBottom w:val="0"/>
      <w:divBdr>
        <w:top w:val="none" w:sz="0" w:space="0" w:color="auto"/>
        <w:left w:val="none" w:sz="0" w:space="0" w:color="auto"/>
        <w:bottom w:val="none" w:sz="0" w:space="0" w:color="auto"/>
        <w:right w:val="none" w:sz="0" w:space="0" w:color="auto"/>
      </w:divBdr>
    </w:div>
    <w:div w:id="1162936965">
      <w:bodyDiv w:val="1"/>
      <w:marLeft w:val="0"/>
      <w:marRight w:val="0"/>
      <w:marTop w:val="0"/>
      <w:marBottom w:val="0"/>
      <w:divBdr>
        <w:top w:val="none" w:sz="0" w:space="0" w:color="auto"/>
        <w:left w:val="none" w:sz="0" w:space="0" w:color="auto"/>
        <w:bottom w:val="none" w:sz="0" w:space="0" w:color="auto"/>
        <w:right w:val="none" w:sz="0" w:space="0" w:color="auto"/>
      </w:divBdr>
    </w:div>
    <w:div w:id="1163273383">
      <w:bodyDiv w:val="1"/>
      <w:marLeft w:val="0"/>
      <w:marRight w:val="0"/>
      <w:marTop w:val="0"/>
      <w:marBottom w:val="0"/>
      <w:divBdr>
        <w:top w:val="none" w:sz="0" w:space="0" w:color="auto"/>
        <w:left w:val="none" w:sz="0" w:space="0" w:color="auto"/>
        <w:bottom w:val="none" w:sz="0" w:space="0" w:color="auto"/>
        <w:right w:val="none" w:sz="0" w:space="0" w:color="auto"/>
      </w:divBdr>
    </w:div>
    <w:div w:id="1163279532">
      <w:bodyDiv w:val="1"/>
      <w:marLeft w:val="0"/>
      <w:marRight w:val="0"/>
      <w:marTop w:val="0"/>
      <w:marBottom w:val="0"/>
      <w:divBdr>
        <w:top w:val="none" w:sz="0" w:space="0" w:color="auto"/>
        <w:left w:val="none" w:sz="0" w:space="0" w:color="auto"/>
        <w:bottom w:val="none" w:sz="0" w:space="0" w:color="auto"/>
        <w:right w:val="none" w:sz="0" w:space="0" w:color="auto"/>
      </w:divBdr>
    </w:div>
    <w:div w:id="1175537397">
      <w:bodyDiv w:val="1"/>
      <w:marLeft w:val="0"/>
      <w:marRight w:val="0"/>
      <w:marTop w:val="0"/>
      <w:marBottom w:val="0"/>
      <w:divBdr>
        <w:top w:val="none" w:sz="0" w:space="0" w:color="auto"/>
        <w:left w:val="none" w:sz="0" w:space="0" w:color="auto"/>
        <w:bottom w:val="none" w:sz="0" w:space="0" w:color="auto"/>
        <w:right w:val="none" w:sz="0" w:space="0" w:color="auto"/>
      </w:divBdr>
    </w:div>
    <w:div w:id="1180895550">
      <w:bodyDiv w:val="1"/>
      <w:marLeft w:val="0"/>
      <w:marRight w:val="0"/>
      <w:marTop w:val="0"/>
      <w:marBottom w:val="0"/>
      <w:divBdr>
        <w:top w:val="none" w:sz="0" w:space="0" w:color="auto"/>
        <w:left w:val="none" w:sz="0" w:space="0" w:color="auto"/>
        <w:bottom w:val="none" w:sz="0" w:space="0" w:color="auto"/>
        <w:right w:val="none" w:sz="0" w:space="0" w:color="auto"/>
      </w:divBdr>
    </w:div>
    <w:div w:id="1185904185">
      <w:bodyDiv w:val="1"/>
      <w:marLeft w:val="0"/>
      <w:marRight w:val="0"/>
      <w:marTop w:val="0"/>
      <w:marBottom w:val="0"/>
      <w:divBdr>
        <w:top w:val="none" w:sz="0" w:space="0" w:color="auto"/>
        <w:left w:val="none" w:sz="0" w:space="0" w:color="auto"/>
        <w:bottom w:val="none" w:sz="0" w:space="0" w:color="auto"/>
        <w:right w:val="none" w:sz="0" w:space="0" w:color="auto"/>
      </w:divBdr>
    </w:div>
    <w:div w:id="1186871066">
      <w:bodyDiv w:val="1"/>
      <w:marLeft w:val="0"/>
      <w:marRight w:val="0"/>
      <w:marTop w:val="0"/>
      <w:marBottom w:val="0"/>
      <w:divBdr>
        <w:top w:val="none" w:sz="0" w:space="0" w:color="auto"/>
        <w:left w:val="none" w:sz="0" w:space="0" w:color="auto"/>
        <w:bottom w:val="none" w:sz="0" w:space="0" w:color="auto"/>
        <w:right w:val="none" w:sz="0" w:space="0" w:color="auto"/>
      </w:divBdr>
    </w:div>
    <w:div w:id="1188449638">
      <w:bodyDiv w:val="1"/>
      <w:marLeft w:val="0"/>
      <w:marRight w:val="0"/>
      <w:marTop w:val="0"/>
      <w:marBottom w:val="0"/>
      <w:divBdr>
        <w:top w:val="none" w:sz="0" w:space="0" w:color="auto"/>
        <w:left w:val="none" w:sz="0" w:space="0" w:color="auto"/>
        <w:bottom w:val="none" w:sz="0" w:space="0" w:color="auto"/>
        <w:right w:val="none" w:sz="0" w:space="0" w:color="auto"/>
      </w:divBdr>
    </w:div>
    <w:div w:id="1192383485">
      <w:bodyDiv w:val="1"/>
      <w:marLeft w:val="0"/>
      <w:marRight w:val="0"/>
      <w:marTop w:val="0"/>
      <w:marBottom w:val="0"/>
      <w:divBdr>
        <w:top w:val="none" w:sz="0" w:space="0" w:color="auto"/>
        <w:left w:val="none" w:sz="0" w:space="0" w:color="auto"/>
        <w:bottom w:val="none" w:sz="0" w:space="0" w:color="auto"/>
        <w:right w:val="none" w:sz="0" w:space="0" w:color="auto"/>
      </w:divBdr>
    </w:div>
    <w:div w:id="1193156405">
      <w:bodyDiv w:val="1"/>
      <w:marLeft w:val="0"/>
      <w:marRight w:val="0"/>
      <w:marTop w:val="0"/>
      <w:marBottom w:val="0"/>
      <w:divBdr>
        <w:top w:val="none" w:sz="0" w:space="0" w:color="auto"/>
        <w:left w:val="none" w:sz="0" w:space="0" w:color="auto"/>
        <w:bottom w:val="none" w:sz="0" w:space="0" w:color="auto"/>
        <w:right w:val="none" w:sz="0" w:space="0" w:color="auto"/>
      </w:divBdr>
    </w:div>
    <w:div w:id="1194536673">
      <w:bodyDiv w:val="1"/>
      <w:marLeft w:val="0"/>
      <w:marRight w:val="0"/>
      <w:marTop w:val="0"/>
      <w:marBottom w:val="0"/>
      <w:divBdr>
        <w:top w:val="none" w:sz="0" w:space="0" w:color="auto"/>
        <w:left w:val="none" w:sz="0" w:space="0" w:color="auto"/>
        <w:bottom w:val="none" w:sz="0" w:space="0" w:color="auto"/>
        <w:right w:val="none" w:sz="0" w:space="0" w:color="auto"/>
      </w:divBdr>
    </w:div>
    <w:div w:id="1199200939">
      <w:bodyDiv w:val="1"/>
      <w:marLeft w:val="0"/>
      <w:marRight w:val="0"/>
      <w:marTop w:val="0"/>
      <w:marBottom w:val="0"/>
      <w:divBdr>
        <w:top w:val="none" w:sz="0" w:space="0" w:color="auto"/>
        <w:left w:val="none" w:sz="0" w:space="0" w:color="auto"/>
        <w:bottom w:val="none" w:sz="0" w:space="0" w:color="auto"/>
        <w:right w:val="none" w:sz="0" w:space="0" w:color="auto"/>
      </w:divBdr>
    </w:div>
    <w:div w:id="1202203188">
      <w:bodyDiv w:val="1"/>
      <w:marLeft w:val="0"/>
      <w:marRight w:val="0"/>
      <w:marTop w:val="0"/>
      <w:marBottom w:val="0"/>
      <w:divBdr>
        <w:top w:val="none" w:sz="0" w:space="0" w:color="auto"/>
        <w:left w:val="none" w:sz="0" w:space="0" w:color="auto"/>
        <w:bottom w:val="none" w:sz="0" w:space="0" w:color="auto"/>
        <w:right w:val="none" w:sz="0" w:space="0" w:color="auto"/>
      </w:divBdr>
    </w:div>
    <w:div w:id="1208882994">
      <w:bodyDiv w:val="1"/>
      <w:marLeft w:val="0"/>
      <w:marRight w:val="0"/>
      <w:marTop w:val="0"/>
      <w:marBottom w:val="0"/>
      <w:divBdr>
        <w:top w:val="none" w:sz="0" w:space="0" w:color="auto"/>
        <w:left w:val="none" w:sz="0" w:space="0" w:color="auto"/>
        <w:bottom w:val="none" w:sz="0" w:space="0" w:color="auto"/>
        <w:right w:val="none" w:sz="0" w:space="0" w:color="auto"/>
      </w:divBdr>
    </w:div>
    <w:div w:id="1216700199">
      <w:bodyDiv w:val="1"/>
      <w:marLeft w:val="0"/>
      <w:marRight w:val="0"/>
      <w:marTop w:val="0"/>
      <w:marBottom w:val="0"/>
      <w:divBdr>
        <w:top w:val="none" w:sz="0" w:space="0" w:color="auto"/>
        <w:left w:val="none" w:sz="0" w:space="0" w:color="auto"/>
        <w:bottom w:val="none" w:sz="0" w:space="0" w:color="auto"/>
        <w:right w:val="none" w:sz="0" w:space="0" w:color="auto"/>
      </w:divBdr>
    </w:div>
    <w:div w:id="1223639890">
      <w:bodyDiv w:val="1"/>
      <w:marLeft w:val="0"/>
      <w:marRight w:val="0"/>
      <w:marTop w:val="0"/>
      <w:marBottom w:val="0"/>
      <w:divBdr>
        <w:top w:val="none" w:sz="0" w:space="0" w:color="auto"/>
        <w:left w:val="none" w:sz="0" w:space="0" w:color="auto"/>
        <w:bottom w:val="none" w:sz="0" w:space="0" w:color="auto"/>
        <w:right w:val="none" w:sz="0" w:space="0" w:color="auto"/>
      </w:divBdr>
    </w:div>
    <w:div w:id="1231695864">
      <w:bodyDiv w:val="1"/>
      <w:marLeft w:val="0"/>
      <w:marRight w:val="0"/>
      <w:marTop w:val="0"/>
      <w:marBottom w:val="0"/>
      <w:divBdr>
        <w:top w:val="none" w:sz="0" w:space="0" w:color="auto"/>
        <w:left w:val="none" w:sz="0" w:space="0" w:color="auto"/>
        <w:bottom w:val="none" w:sz="0" w:space="0" w:color="auto"/>
        <w:right w:val="none" w:sz="0" w:space="0" w:color="auto"/>
      </w:divBdr>
    </w:div>
    <w:div w:id="1234002994">
      <w:bodyDiv w:val="1"/>
      <w:marLeft w:val="0"/>
      <w:marRight w:val="0"/>
      <w:marTop w:val="0"/>
      <w:marBottom w:val="0"/>
      <w:divBdr>
        <w:top w:val="none" w:sz="0" w:space="0" w:color="auto"/>
        <w:left w:val="none" w:sz="0" w:space="0" w:color="auto"/>
        <w:bottom w:val="none" w:sz="0" w:space="0" w:color="auto"/>
        <w:right w:val="none" w:sz="0" w:space="0" w:color="auto"/>
      </w:divBdr>
    </w:div>
    <w:div w:id="1235117073">
      <w:bodyDiv w:val="1"/>
      <w:marLeft w:val="0"/>
      <w:marRight w:val="0"/>
      <w:marTop w:val="0"/>
      <w:marBottom w:val="0"/>
      <w:divBdr>
        <w:top w:val="none" w:sz="0" w:space="0" w:color="auto"/>
        <w:left w:val="none" w:sz="0" w:space="0" w:color="auto"/>
        <w:bottom w:val="none" w:sz="0" w:space="0" w:color="auto"/>
        <w:right w:val="none" w:sz="0" w:space="0" w:color="auto"/>
      </w:divBdr>
    </w:div>
    <w:div w:id="1244953069">
      <w:bodyDiv w:val="1"/>
      <w:marLeft w:val="0"/>
      <w:marRight w:val="0"/>
      <w:marTop w:val="0"/>
      <w:marBottom w:val="0"/>
      <w:divBdr>
        <w:top w:val="none" w:sz="0" w:space="0" w:color="auto"/>
        <w:left w:val="none" w:sz="0" w:space="0" w:color="auto"/>
        <w:bottom w:val="none" w:sz="0" w:space="0" w:color="auto"/>
        <w:right w:val="none" w:sz="0" w:space="0" w:color="auto"/>
      </w:divBdr>
    </w:div>
    <w:div w:id="1251045866">
      <w:bodyDiv w:val="1"/>
      <w:marLeft w:val="0"/>
      <w:marRight w:val="0"/>
      <w:marTop w:val="0"/>
      <w:marBottom w:val="0"/>
      <w:divBdr>
        <w:top w:val="none" w:sz="0" w:space="0" w:color="auto"/>
        <w:left w:val="none" w:sz="0" w:space="0" w:color="auto"/>
        <w:bottom w:val="none" w:sz="0" w:space="0" w:color="auto"/>
        <w:right w:val="none" w:sz="0" w:space="0" w:color="auto"/>
      </w:divBdr>
    </w:div>
    <w:div w:id="1259407773">
      <w:bodyDiv w:val="1"/>
      <w:marLeft w:val="0"/>
      <w:marRight w:val="0"/>
      <w:marTop w:val="0"/>
      <w:marBottom w:val="0"/>
      <w:divBdr>
        <w:top w:val="none" w:sz="0" w:space="0" w:color="auto"/>
        <w:left w:val="none" w:sz="0" w:space="0" w:color="auto"/>
        <w:bottom w:val="none" w:sz="0" w:space="0" w:color="auto"/>
        <w:right w:val="none" w:sz="0" w:space="0" w:color="auto"/>
      </w:divBdr>
    </w:div>
    <w:div w:id="1259682522">
      <w:bodyDiv w:val="1"/>
      <w:marLeft w:val="0"/>
      <w:marRight w:val="0"/>
      <w:marTop w:val="0"/>
      <w:marBottom w:val="0"/>
      <w:divBdr>
        <w:top w:val="none" w:sz="0" w:space="0" w:color="auto"/>
        <w:left w:val="none" w:sz="0" w:space="0" w:color="auto"/>
        <w:bottom w:val="none" w:sz="0" w:space="0" w:color="auto"/>
        <w:right w:val="none" w:sz="0" w:space="0" w:color="auto"/>
      </w:divBdr>
    </w:div>
    <w:div w:id="1261185822">
      <w:bodyDiv w:val="1"/>
      <w:marLeft w:val="0"/>
      <w:marRight w:val="0"/>
      <w:marTop w:val="0"/>
      <w:marBottom w:val="0"/>
      <w:divBdr>
        <w:top w:val="none" w:sz="0" w:space="0" w:color="auto"/>
        <w:left w:val="none" w:sz="0" w:space="0" w:color="auto"/>
        <w:bottom w:val="none" w:sz="0" w:space="0" w:color="auto"/>
        <w:right w:val="none" w:sz="0" w:space="0" w:color="auto"/>
      </w:divBdr>
    </w:div>
    <w:div w:id="1262374284">
      <w:bodyDiv w:val="1"/>
      <w:marLeft w:val="0"/>
      <w:marRight w:val="0"/>
      <w:marTop w:val="0"/>
      <w:marBottom w:val="0"/>
      <w:divBdr>
        <w:top w:val="none" w:sz="0" w:space="0" w:color="auto"/>
        <w:left w:val="none" w:sz="0" w:space="0" w:color="auto"/>
        <w:bottom w:val="none" w:sz="0" w:space="0" w:color="auto"/>
        <w:right w:val="none" w:sz="0" w:space="0" w:color="auto"/>
      </w:divBdr>
    </w:div>
    <w:div w:id="1267077522">
      <w:bodyDiv w:val="1"/>
      <w:marLeft w:val="0"/>
      <w:marRight w:val="0"/>
      <w:marTop w:val="0"/>
      <w:marBottom w:val="0"/>
      <w:divBdr>
        <w:top w:val="none" w:sz="0" w:space="0" w:color="auto"/>
        <w:left w:val="none" w:sz="0" w:space="0" w:color="auto"/>
        <w:bottom w:val="none" w:sz="0" w:space="0" w:color="auto"/>
        <w:right w:val="none" w:sz="0" w:space="0" w:color="auto"/>
      </w:divBdr>
    </w:div>
    <w:div w:id="1268734408">
      <w:bodyDiv w:val="1"/>
      <w:marLeft w:val="0"/>
      <w:marRight w:val="0"/>
      <w:marTop w:val="0"/>
      <w:marBottom w:val="0"/>
      <w:divBdr>
        <w:top w:val="none" w:sz="0" w:space="0" w:color="auto"/>
        <w:left w:val="none" w:sz="0" w:space="0" w:color="auto"/>
        <w:bottom w:val="none" w:sz="0" w:space="0" w:color="auto"/>
        <w:right w:val="none" w:sz="0" w:space="0" w:color="auto"/>
      </w:divBdr>
    </w:div>
    <w:div w:id="1271821518">
      <w:bodyDiv w:val="1"/>
      <w:marLeft w:val="0"/>
      <w:marRight w:val="0"/>
      <w:marTop w:val="0"/>
      <w:marBottom w:val="0"/>
      <w:divBdr>
        <w:top w:val="none" w:sz="0" w:space="0" w:color="auto"/>
        <w:left w:val="none" w:sz="0" w:space="0" w:color="auto"/>
        <w:bottom w:val="none" w:sz="0" w:space="0" w:color="auto"/>
        <w:right w:val="none" w:sz="0" w:space="0" w:color="auto"/>
      </w:divBdr>
    </w:div>
    <w:div w:id="1275140264">
      <w:bodyDiv w:val="1"/>
      <w:marLeft w:val="0"/>
      <w:marRight w:val="0"/>
      <w:marTop w:val="0"/>
      <w:marBottom w:val="0"/>
      <w:divBdr>
        <w:top w:val="none" w:sz="0" w:space="0" w:color="auto"/>
        <w:left w:val="none" w:sz="0" w:space="0" w:color="auto"/>
        <w:bottom w:val="none" w:sz="0" w:space="0" w:color="auto"/>
        <w:right w:val="none" w:sz="0" w:space="0" w:color="auto"/>
      </w:divBdr>
    </w:div>
    <w:div w:id="1285116133">
      <w:bodyDiv w:val="1"/>
      <w:marLeft w:val="0"/>
      <w:marRight w:val="0"/>
      <w:marTop w:val="0"/>
      <w:marBottom w:val="0"/>
      <w:divBdr>
        <w:top w:val="none" w:sz="0" w:space="0" w:color="auto"/>
        <w:left w:val="none" w:sz="0" w:space="0" w:color="auto"/>
        <w:bottom w:val="none" w:sz="0" w:space="0" w:color="auto"/>
        <w:right w:val="none" w:sz="0" w:space="0" w:color="auto"/>
      </w:divBdr>
    </w:div>
    <w:div w:id="1286230675">
      <w:bodyDiv w:val="1"/>
      <w:marLeft w:val="0"/>
      <w:marRight w:val="0"/>
      <w:marTop w:val="0"/>
      <w:marBottom w:val="0"/>
      <w:divBdr>
        <w:top w:val="none" w:sz="0" w:space="0" w:color="auto"/>
        <w:left w:val="none" w:sz="0" w:space="0" w:color="auto"/>
        <w:bottom w:val="none" w:sz="0" w:space="0" w:color="auto"/>
        <w:right w:val="none" w:sz="0" w:space="0" w:color="auto"/>
      </w:divBdr>
    </w:div>
    <w:div w:id="1294406893">
      <w:bodyDiv w:val="1"/>
      <w:marLeft w:val="0"/>
      <w:marRight w:val="0"/>
      <w:marTop w:val="0"/>
      <w:marBottom w:val="0"/>
      <w:divBdr>
        <w:top w:val="none" w:sz="0" w:space="0" w:color="auto"/>
        <w:left w:val="none" w:sz="0" w:space="0" w:color="auto"/>
        <w:bottom w:val="none" w:sz="0" w:space="0" w:color="auto"/>
        <w:right w:val="none" w:sz="0" w:space="0" w:color="auto"/>
      </w:divBdr>
    </w:div>
    <w:div w:id="1299920806">
      <w:bodyDiv w:val="1"/>
      <w:marLeft w:val="0"/>
      <w:marRight w:val="0"/>
      <w:marTop w:val="0"/>
      <w:marBottom w:val="0"/>
      <w:divBdr>
        <w:top w:val="none" w:sz="0" w:space="0" w:color="auto"/>
        <w:left w:val="none" w:sz="0" w:space="0" w:color="auto"/>
        <w:bottom w:val="none" w:sz="0" w:space="0" w:color="auto"/>
        <w:right w:val="none" w:sz="0" w:space="0" w:color="auto"/>
      </w:divBdr>
    </w:div>
    <w:div w:id="1301184494">
      <w:bodyDiv w:val="1"/>
      <w:marLeft w:val="0"/>
      <w:marRight w:val="0"/>
      <w:marTop w:val="0"/>
      <w:marBottom w:val="0"/>
      <w:divBdr>
        <w:top w:val="none" w:sz="0" w:space="0" w:color="auto"/>
        <w:left w:val="none" w:sz="0" w:space="0" w:color="auto"/>
        <w:bottom w:val="none" w:sz="0" w:space="0" w:color="auto"/>
        <w:right w:val="none" w:sz="0" w:space="0" w:color="auto"/>
      </w:divBdr>
    </w:div>
    <w:div w:id="1301692204">
      <w:bodyDiv w:val="1"/>
      <w:marLeft w:val="0"/>
      <w:marRight w:val="0"/>
      <w:marTop w:val="0"/>
      <w:marBottom w:val="0"/>
      <w:divBdr>
        <w:top w:val="none" w:sz="0" w:space="0" w:color="auto"/>
        <w:left w:val="none" w:sz="0" w:space="0" w:color="auto"/>
        <w:bottom w:val="none" w:sz="0" w:space="0" w:color="auto"/>
        <w:right w:val="none" w:sz="0" w:space="0" w:color="auto"/>
      </w:divBdr>
    </w:div>
    <w:div w:id="1304579726">
      <w:bodyDiv w:val="1"/>
      <w:marLeft w:val="0"/>
      <w:marRight w:val="0"/>
      <w:marTop w:val="0"/>
      <w:marBottom w:val="0"/>
      <w:divBdr>
        <w:top w:val="none" w:sz="0" w:space="0" w:color="auto"/>
        <w:left w:val="none" w:sz="0" w:space="0" w:color="auto"/>
        <w:bottom w:val="none" w:sz="0" w:space="0" w:color="auto"/>
        <w:right w:val="none" w:sz="0" w:space="0" w:color="auto"/>
      </w:divBdr>
    </w:div>
    <w:div w:id="1312717147">
      <w:bodyDiv w:val="1"/>
      <w:marLeft w:val="0"/>
      <w:marRight w:val="0"/>
      <w:marTop w:val="0"/>
      <w:marBottom w:val="0"/>
      <w:divBdr>
        <w:top w:val="none" w:sz="0" w:space="0" w:color="auto"/>
        <w:left w:val="none" w:sz="0" w:space="0" w:color="auto"/>
        <w:bottom w:val="none" w:sz="0" w:space="0" w:color="auto"/>
        <w:right w:val="none" w:sz="0" w:space="0" w:color="auto"/>
      </w:divBdr>
    </w:div>
    <w:div w:id="1314989764">
      <w:bodyDiv w:val="1"/>
      <w:marLeft w:val="0"/>
      <w:marRight w:val="0"/>
      <w:marTop w:val="0"/>
      <w:marBottom w:val="0"/>
      <w:divBdr>
        <w:top w:val="none" w:sz="0" w:space="0" w:color="auto"/>
        <w:left w:val="none" w:sz="0" w:space="0" w:color="auto"/>
        <w:bottom w:val="none" w:sz="0" w:space="0" w:color="auto"/>
        <w:right w:val="none" w:sz="0" w:space="0" w:color="auto"/>
      </w:divBdr>
    </w:div>
    <w:div w:id="1321468268">
      <w:bodyDiv w:val="1"/>
      <w:marLeft w:val="0"/>
      <w:marRight w:val="0"/>
      <w:marTop w:val="0"/>
      <w:marBottom w:val="0"/>
      <w:divBdr>
        <w:top w:val="none" w:sz="0" w:space="0" w:color="auto"/>
        <w:left w:val="none" w:sz="0" w:space="0" w:color="auto"/>
        <w:bottom w:val="none" w:sz="0" w:space="0" w:color="auto"/>
        <w:right w:val="none" w:sz="0" w:space="0" w:color="auto"/>
      </w:divBdr>
    </w:div>
    <w:div w:id="1321539053">
      <w:bodyDiv w:val="1"/>
      <w:marLeft w:val="0"/>
      <w:marRight w:val="0"/>
      <w:marTop w:val="0"/>
      <w:marBottom w:val="0"/>
      <w:divBdr>
        <w:top w:val="none" w:sz="0" w:space="0" w:color="auto"/>
        <w:left w:val="none" w:sz="0" w:space="0" w:color="auto"/>
        <w:bottom w:val="none" w:sz="0" w:space="0" w:color="auto"/>
        <w:right w:val="none" w:sz="0" w:space="0" w:color="auto"/>
      </w:divBdr>
    </w:div>
    <w:div w:id="1330060608">
      <w:bodyDiv w:val="1"/>
      <w:marLeft w:val="0"/>
      <w:marRight w:val="0"/>
      <w:marTop w:val="0"/>
      <w:marBottom w:val="0"/>
      <w:divBdr>
        <w:top w:val="none" w:sz="0" w:space="0" w:color="auto"/>
        <w:left w:val="none" w:sz="0" w:space="0" w:color="auto"/>
        <w:bottom w:val="none" w:sz="0" w:space="0" w:color="auto"/>
        <w:right w:val="none" w:sz="0" w:space="0" w:color="auto"/>
      </w:divBdr>
    </w:div>
    <w:div w:id="1334337407">
      <w:bodyDiv w:val="1"/>
      <w:marLeft w:val="0"/>
      <w:marRight w:val="0"/>
      <w:marTop w:val="0"/>
      <w:marBottom w:val="0"/>
      <w:divBdr>
        <w:top w:val="none" w:sz="0" w:space="0" w:color="auto"/>
        <w:left w:val="none" w:sz="0" w:space="0" w:color="auto"/>
        <w:bottom w:val="none" w:sz="0" w:space="0" w:color="auto"/>
        <w:right w:val="none" w:sz="0" w:space="0" w:color="auto"/>
      </w:divBdr>
    </w:div>
    <w:div w:id="1351102896">
      <w:bodyDiv w:val="1"/>
      <w:marLeft w:val="0"/>
      <w:marRight w:val="0"/>
      <w:marTop w:val="0"/>
      <w:marBottom w:val="0"/>
      <w:divBdr>
        <w:top w:val="none" w:sz="0" w:space="0" w:color="auto"/>
        <w:left w:val="none" w:sz="0" w:space="0" w:color="auto"/>
        <w:bottom w:val="none" w:sz="0" w:space="0" w:color="auto"/>
        <w:right w:val="none" w:sz="0" w:space="0" w:color="auto"/>
      </w:divBdr>
    </w:div>
    <w:div w:id="1355811687">
      <w:bodyDiv w:val="1"/>
      <w:marLeft w:val="0"/>
      <w:marRight w:val="0"/>
      <w:marTop w:val="0"/>
      <w:marBottom w:val="0"/>
      <w:divBdr>
        <w:top w:val="none" w:sz="0" w:space="0" w:color="auto"/>
        <w:left w:val="none" w:sz="0" w:space="0" w:color="auto"/>
        <w:bottom w:val="none" w:sz="0" w:space="0" w:color="auto"/>
        <w:right w:val="none" w:sz="0" w:space="0" w:color="auto"/>
      </w:divBdr>
    </w:div>
    <w:div w:id="1361274479">
      <w:bodyDiv w:val="1"/>
      <w:marLeft w:val="0"/>
      <w:marRight w:val="0"/>
      <w:marTop w:val="0"/>
      <w:marBottom w:val="0"/>
      <w:divBdr>
        <w:top w:val="none" w:sz="0" w:space="0" w:color="auto"/>
        <w:left w:val="none" w:sz="0" w:space="0" w:color="auto"/>
        <w:bottom w:val="none" w:sz="0" w:space="0" w:color="auto"/>
        <w:right w:val="none" w:sz="0" w:space="0" w:color="auto"/>
      </w:divBdr>
    </w:div>
    <w:div w:id="1381782425">
      <w:bodyDiv w:val="1"/>
      <w:marLeft w:val="0"/>
      <w:marRight w:val="0"/>
      <w:marTop w:val="0"/>
      <w:marBottom w:val="0"/>
      <w:divBdr>
        <w:top w:val="none" w:sz="0" w:space="0" w:color="auto"/>
        <w:left w:val="none" w:sz="0" w:space="0" w:color="auto"/>
        <w:bottom w:val="none" w:sz="0" w:space="0" w:color="auto"/>
        <w:right w:val="none" w:sz="0" w:space="0" w:color="auto"/>
      </w:divBdr>
    </w:div>
    <w:div w:id="1387678400">
      <w:bodyDiv w:val="1"/>
      <w:marLeft w:val="0"/>
      <w:marRight w:val="0"/>
      <w:marTop w:val="0"/>
      <w:marBottom w:val="0"/>
      <w:divBdr>
        <w:top w:val="none" w:sz="0" w:space="0" w:color="auto"/>
        <w:left w:val="none" w:sz="0" w:space="0" w:color="auto"/>
        <w:bottom w:val="none" w:sz="0" w:space="0" w:color="auto"/>
        <w:right w:val="none" w:sz="0" w:space="0" w:color="auto"/>
      </w:divBdr>
    </w:div>
    <w:div w:id="1397389297">
      <w:bodyDiv w:val="1"/>
      <w:marLeft w:val="0"/>
      <w:marRight w:val="0"/>
      <w:marTop w:val="0"/>
      <w:marBottom w:val="0"/>
      <w:divBdr>
        <w:top w:val="none" w:sz="0" w:space="0" w:color="auto"/>
        <w:left w:val="none" w:sz="0" w:space="0" w:color="auto"/>
        <w:bottom w:val="none" w:sz="0" w:space="0" w:color="auto"/>
        <w:right w:val="none" w:sz="0" w:space="0" w:color="auto"/>
      </w:divBdr>
    </w:div>
    <w:div w:id="1399012641">
      <w:bodyDiv w:val="1"/>
      <w:marLeft w:val="0"/>
      <w:marRight w:val="0"/>
      <w:marTop w:val="0"/>
      <w:marBottom w:val="0"/>
      <w:divBdr>
        <w:top w:val="none" w:sz="0" w:space="0" w:color="auto"/>
        <w:left w:val="none" w:sz="0" w:space="0" w:color="auto"/>
        <w:bottom w:val="none" w:sz="0" w:space="0" w:color="auto"/>
        <w:right w:val="none" w:sz="0" w:space="0" w:color="auto"/>
      </w:divBdr>
    </w:div>
    <w:div w:id="1400982478">
      <w:bodyDiv w:val="1"/>
      <w:marLeft w:val="0"/>
      <w:marRight w:val="0"/>
      <w:marTop w:val="0"/>
      <w:marBottom w:val="0"/>
      <w:divBdr>
        <w:top w:val="none" w:sz="0" w:space="0" w:color="auto"/>
        <w:left w:val="none" w:sz="0" w:space="0" w:color="auto"/>
        <w:bottom w:val="none" w:sz="0" w:space="0" w:color="auto"/>
        <w:right w:val="none" w:sz="0" w:space="0" w:color="auto"/>
      </w:divBdr>
    </w:div>
    <w:div w:id="1401824651">
      <w:bodyDiv w:val="1"/>
      <w:marLeft w:val="0"/>
      <w:marRight w:val="0"/>
      <w:marTop w:val="0"/>
      <w:marBottom w:val="0"/>
      <w:divBdr>
        <w:top w:val="none" w:sz="0" w:space="0" w:color="auto"/>
        <w:left w:val="none" w:sz="0" w:space="0" w:color="auto"/>
        <w:bottom w:val="none" w:sz="0" w:space="0" w:color="auto"/>
        <w:right w:val="none" w:sz="0" w:space="0" w:color="auto"/>
      </w:divBdr>
    </w:div>
    <w:div w:id="1408914151">
      <w:bodyDiv w:val="1"/>
      <w:marLeft w:val="0"/>
      <w:marRight w:val="0"/>
      <w:marTop w:val="0"/>
      <w:marBottom w:val="0"/>
      <w:divBdr>
        <w:top w:val="none" w:sz="0" w:space="0" w:color="auto"/>
        <w:left w:val="none" w:sz="0" w:space="0" w:color="auto"/>
        <w:bottom w:val="none" w:sz="0" w:space="0" w:color="auto"/>
        <w:right w:val="none" w:sz="0" w:space="0" w:color="auto"/>
      </w:divBdr>
    </w:div>
    <w:div w:id="1412853672">
      <w:bodyDiv w:val="1"/>
      <w:marLeft w:val="0"/>
      <w:marRight w:val="0"/>
      <w:marTop w:val="0"/>
      <w:marBottom w:val="0"/>
      <w:divBdr>
        <w:top w:val="none" w:sz="0" w:space="0" w:color="auto"/>
        <w:left w:val="none" w:sz="0" w:space="0" w:color="auto"/>
        <w:bottom w:val="none" w:sz="0" w:space="0" w:color="auto"/>
        <w:right w:val="none" w:sz="0" w:space="0" w:color="auto"/>
      </w:divBdr>
    </w:div>
    <w:div w:id="1414206036">
      <w:bodyDiv w:val="1"/>
      <w:marLeft w:val="0"/>
      <w:marRight w:val="0"/>
      <w:marTop w:val="0"/>
      <w:marBottom w:val="0"/>
      <w:divBdr>
        <w:top w:val="none" w:sz="0" w:space="0" w:color="auto"/>
        <w:left w:val="none" w:sz="0" w:space="0" w:color="auto"/>
        <w:bottom w:val="none" w:sz="0" w:space="0" w:color="auto"/>
        <w:right w:val="none" w:sz="0" w:space="0" w:color="auto"/>
      </w:divBdr>
    </w:div>
    <w:div w:id="1415280188">
      <w:bodyDiv w:val="1"/>
      <w:marLeft w:val="0"/>
      <w:marRight w:val="0"/>
      <w:marTop w:val="0"/>
      <w:marBottom w:val="0"/>
      <w:divBdr>
        <w:top w:val="none" w:sz="0" w:space="0" w:color="auto"/>
        <w:left w:val="none" w:sz="0" w:space="0" w:color="auto"/>
        <w:bottom w:val="none" w:sz="0" w:space="0" w:color="auto"/>
        <w:right w:val="none" w:sz="0" w:space="0" w:color="auto"/>
      </w:divBdr>
    </w:div>
    <w:div w:id="1416170068">
      <w:bodyDiv w:val="1"/>
      <w:marLeft w:val="0"/>
      <w:marRight w:val="0"/>
      <w:marTop w:val="0"/>
      <w:marBottom w:val="0"/>
      <w:divBdr>
        <w:top w:val="none" w:sz="0" w:space="0" w:color="auto"/>
        <w:left w:val="none" w:sz="0" w:space="0" w:color="auto"/>
        <w:bottom w:val="none" w:sz="0" w:space="0" w:color="auto"/>
        <w:right w:val="none" w:sz="0" w:space="0" w:color="auto"/>
      </w:divBdr>
    </w:div>
    <w:div w:id="1422992839">
      <w:bodyDiv w:val="1"/>
      <w:marLeft w:val="0"/>
      <w:marRight w:val="0"/>
      <w:marTop w:val="0"/>
      <w:marBottom w:val="0"/>
      <w:divBdr>
        <w:top w:val="none" w:sz="0" w:space="0" w:color="auto"/>
        <w:left w:val="none" w:sz="0" w:space="0" w:color="auto"/>
        <w:bottom w:val="none" w:sz="0" w:space="0" w:color="auto"/>
        <w:right w:val="none" w:sz="0" w:space="0" w:color="auto"/>
      </w:divBdr>
    </w:div>
    <w:div w:id="1423910729">
      <w:bodyDiv w:val="1"/>
      <w:marLeft w:val="0"/>
      <w:marRight w:val="0"/>
      <w:marTop w:val="0"/>
      <w:marBottom w:val="0"/>
      <w:divBdr>
        <w:top w:val="none" w:sz="0" w:space="0" w:color="auto"/>
        <w:left w:val="none" w:sz="0" w:space="0" w:color="auto"/>
        <w:bottom w:val="none" w:sz="0" w:space="0" w:color="auto"/>
        <w:right w:val="none" w:sz="0" w:space="0" w:color="auto"/>
      </w:divBdr>
    </w:div>
    <w:div w:id="1423919066">
      <w:bodyDiv w:val="1"/>
      <w:marLeft w:val="0"/>
      <w:marRight w:val="0"/>
      <w:marTop w:val="0"/>
      <w:marBottom w:val="0"/>
      <w:divBdr>
        <w:top w:val="none" w:sz="0" w:space="0" w:color="auto"/>
        <w:left w:val="none" w:sz="0" w:space="0" w:color="auto"/>
        <w:bottom w:val="none" w:sz="0" w:space="0" w:color="auto"/>
        <w:right w:val="none" w:sz="0" w:space="0" w:color="auto"/>
      </w:divBdr>
    </w:div>
    <w:div w:id="1425687560">
      <w:bodyDiv w:val="1"/>
      <w:marLeft w:val="0"/>
      <w:marRight w:val="0"/>
      <w:marTop w:val="0"/>
      <w:marBottom w:val="0"/>
      <w:divBdr>
        <w:top w:val="none" w:sz="0" w:space="0" w:color="auto"/>
        <w:left w:val="none" w:sz="0" w:space="0" w:color="auto"/>
        <w:bottom w:val="none" w:sz="0" w:space="0" w:color="auto"/>
        <w:right w:val="none" w:sz="0" w:space="0" w:color="auto"/>
      </w:divBdr>
    </w:div>
    <w:div w:id="1428118078">
      <w:bodyDiv w:val="1"/>
      <w:marLeft w:val="0"/>
      <w:marRight w:val="0"/>
      <w:marTop w:val="0"/>
      <w:marBottom w:val="0"/>
      <w:divBdr>
        <w:top w:val="none" w:sz="0" w:space="0" w:color="auto"/>
        <w:left w:val="none" w:sz="0" w:space="0" w:color="auto"/>
        <w:bottom w:val="none" w:sz="0" w:space="0" w:color="auto"/>
        <w:right w:val="none" w:sz="0" w:space="0" w:color="auto"/>
      </w:divBdr>
    </w:div>
    <w:div w:id="1437167025">
      <w:bodyDiv w:val="1"/>
      <w:marLeft w:val="0"/>
      <w:marRight w:val="0"/>
      <w:marTop w:val="0"/>
      <w:marBottom w:val="0"/>
      <w:divBdr>
        <w:top w:val="none" w:sz="0" w:space="0" w:color="auto"/>
        <w:left w:val="none" w:sz="0" w:space="0" w:color="auto"/>
        <w:bottom w:val="none" w:sz="0" w:space="0" w:color="auto"/>
        <w:right w:val="none" w:sz="0" w:space="0" w:color="auto"/>
      </w:divBdr>
    </w:div>
    <w:div w:id="1437604243">
      <w:bodyDiv w:val="1"/>
      <w:marLeft w:val="0"/>
      <w:marRight w:val="0"/>
      <w:marTop w:val="0"/>
      <w:marBottom w:val="0"/>
      <w:divBdr>
        <w:top w:val="none" w:sz="0" w:space="0" w:color="auto"/>
        <w:left w:val="none" w:sz="0" w:space="0" w:color="auto"/>
        <w:bottom w:val="none" w:sz="0" w:space="0" w:color="auto"/>
        <w:right w:val="none" w:sz="0" w:space="0" w:color="auto"/>
      </w:divBdr>
    </w:div>
    <w:div w:id="1437823541">
      <w:bodyDiv w:val="1"/>
      <w:marLeft w:val="0"/>
      <w:marRight w:val="0"/>
      <w:marTop w:val="0"/>
      <w:marBottom w:val="0"/>
      <w:divBdr>
        <w:top w:val="none" w:sz="0" w:space="0" w:color="auto"/>
        <w:left w:val="none" w:sz="0" w:space="0" w:color="auto"/>
        <w:bottom w:val="none" w:sz="0" w:space="0" w:color="auto"/>
        <w:right w:val="none" w:sz="0" w:space="0" w:color="auto"/>
      </w:divBdr>
    </w:div>
    <w:div w:id="1439834636">
      <w:bodyDiv w:val="1"/>
      <w:marLeft w:val="0"/>
      <w:marRight w:val="0"/>
      <w:marTop w:val="0"/>
      <w:marBottom w:val="0"/>
      <w:divBdr>
        <w:top w:val="none" w:sz="0" w:space="0" w:color="auto"/>
        <w:left w:val="none" w:sz="0" w:space="0" w:color="auto"/>
        <w:bottom w:val="none" w:sz="0" w:space="0" w:color="auto"/>
        <w:right w:val="none" w:sz="0" w:space="0" w:color="auto"/>
      </w:divBdr>
    </w:div>
    <w:div w:id="1440030205">
      <w:bodyDiv w:val="1"/>
      <w:marLeft w:val="0"/>
      <w:marRight w:val="0"/>
      <w:marTop w:val="0"/>
      <w:marBottom w:val="0"/>
      <w:divBdr>
        <w:top w:val="none" w:sz="0" w:space="0" w:color="auto"/>
        <w:left w:val="none" w:sz="0" w:space="0" w:color="auto"/>
        <w:bottom w:val="none" w:sz="0" w:space="0" w:color="auto"/>
        <w:right w:val="none" w:sz="0" w:space="0" w:color="auto"/>
      </w:divBdr>
    </w:div>
    <w:div w:id="144326102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4378125">
      <w:bodyDiv w:val="1"/>
      <w:marLeft w:val="0"/>
      <w:marRight w:val="0"/>
      <w:marTop w:val="0"/>
      <w:marBottom w:val="0"/>
      <w:divBdr>
        <w:top w:val="none" w:sz="0" w:space="0" w:color="auto"/>
        <w:left w:val="none" w:sz="0" w:space="0" w:color="auto"/>
        <w:bottom w:val="none" w:sz="0" w:space="0" w:color="auto"/>
        <w:right w:val="none" w:sz="0" w:space="0" w:color="auto"/>
      </w:divBdr>
    </w:div>
    <w:div w:id="1447430435">
      <w:bodyDiv w:val="1"/>
      <w:marLeft w:val="0"/>
      <w:marRight w:val="0"/>
      <w:marTop w:val="0"/>
      <w:marBottom w:val="0"/>
      <w:divBdr>
        <w:top w:val="none" w:sz="0" w:space="0" w:color="auto"/>
        <w:left w:val="none" w:sz="0" w:space="0" w:color="auto"/>
        <w:bottom w:val="none" w:sz="0" w:space="0" w:color="auto"/>
        <w:right w:val="none" w:sz="0" w:space="0" w:color="auto"/>
      </w:divBdr>
    </w:div>
    <w:div w:id="1451851310">
      <w:bodyDiv w:val="1"/>
      <w:marLeft w:val="0"/>
      <w:marRight w:val="0"/>
      <w:marTop w:val="0"/>
      <w:marBottom w:val="0"/>
      <w:divBdr>
        <w:top w:val="none" w:sz="0" w:space="0" w:color="auto"/>
        <w:left w:val="none" w:sz="0" w:space="0" w:color="auto"/>
        <w:bottom w:val="none" w:sz="0" w:space="0" w:color="auto"/>
        <w:right w:val="none" w:sz="0" w:space="0" w:color="auto"/>
      </w:divBdr>
    </w:div>
    <w:div w:id="1456295596">
      <w:bodyDiv w:val="1"/>
      <w:marLeft w:val="0"/>
      <w:marRight w:val="0"/>
      <w:marTop w:val="0"/>
      <w:marBottom w:val="0"/>
      <w:divBdr>
        <w:top w:val="none" w:sz="0" w:space="0" w:color="auto"/>
        <w:left w:val="none" w:sz="0" w:space="0" w:color="auto"/>
        <w:bottom w:val="none" w:sz="0" w:space="0" w:color="auto"/>
        <w:right w:val="none" w:sz="0" w:space="0" w:color="auto"/>
      </w:divBdr>
    </w:div>
    <w:div w:id="1456875766">
      <w:bodyDiv w:val="1"/>
      <w:marLeft w:val="0"/>
      <w:marRight w:val="0"/>
      <w:marTop w:val="0"/>
      <w:marBottom w:val="0"/>
      <w:divBdr>
        <w:top w:val="none" w:sz="0" w:space="0" w:color="auto"/>
        <w:left w:val="none" w:sz="0" w:space="0" w:color="auto"/>
        <w:bottom w:val="none" w:sz="0" w:space="0" w:color="auto"/>
        <w:right w:val="none" w:sz="0" w:space="0" w:color="auto"/>
      </w:divBdr>
    </w:div>
    <w:div w:id="1460878491">
      <w:bodyDiv w:val="1"/>
      <w:marLeft w:val="0"/>
      <w:marRight w:val="0"/>
      <w:marTop w:val="0"/>
      <w:marBottom w:val="0"/>
      <w:divBdr>
        <w:top w:val="none" w:sz="0" w:space="0" w:color="auto"/>
        <w:left w:val="none" w:sz="0" w:space="0" w:color="auto"/>
        <w:bottom w:val="none" w:sz="0" w:space="0" w:color="auto"/>
        <w:right w:val="none" w:sz="0" w:space="0" w:color="auto"/>
      </w:divBdr>
    </w:div>
    <w:div w:id="1463569966">
      <w:bodyDiv w:val="1"/>
      <w:marLeft w:val="0"/>
      <w:marRight w:val="0"/>
      <w:marTop w:val="0"/>
      <w:marBottom w:val="0"/>
      <w:divBdr>
        <w:top w:val="none" w:sz="0" w:space="0" w:color="auto"/>
        <w:left w:val="none" w:sz="0" w:space="0" w:color="auto"/>
        <w:bottom w:val="none" w:sz="0" w:space="0" w:color="auto"/>
        <w:right w:val="none" w:sz="0" w:space="0" w:color="auto"/>
      </w:divBdr>
    </w:div>
    <w:div w:id="1464348767">
      <w:bodyDiv w:val="1"/>
      <w:marLeft w:val="0"/>
      <w:marRight w:val="0"/>
      <w:marTop w:val="0"/>
      <w:marBottom w:val="0"/>
      <w:divBdr>
        <w:top w:val="none" w:sz="0" w:space="0" w:color="auto"/>
        <w:left w:val="none" w:sz="0" w:space="0" w:color="auto"/>
        <w:bottom w:val="none" w:sz="0" w:space="0" w:color="auto"/>
        <w:right w:val="none" w:sz="0" w:space="0" w:color="auto"/>
      </w:divBdr>
    </w:div>
    <w:div w:id="1468082828">
      <w:bodyDiv w:val="1"/>
      <w:marLeft w:val="0"/>
      <w:marRight w:val="0"/>
      <w:marTop w:val="0"/>
      <w:marBottom w:val="0"/>
      <w:divBdr>
        <w:top w:val="none" w:sz="0" w:space="0" w:color="auto"/>
        <w:left w:val="none" w:sz="0" w:space="0" w:color="auto"/>
        <w:bottom w:val="none" w:sz="0" w:space="0" w:color="auto"/>
        <w:right w:val="none" w:sz="0" w:space="0" w:color="auto"/>
      </w:divBdr>
    </w:div>
    <w:div w:id="1471048152">
      <w:bodyDiv w:val="1"/>
      <w:marLeft w:val="0"/>
      <w:marRight w:val="0"/>
      <w:marTop w:val="0"/>
      <w:marBottom w:val="0"/>
      <w:divBdr>
        <w:top w:val="none" w:sz="0" w:space="0" w:color="auto"/>
        <w:left w:val="none" w:sz="0" w:space="0" w:color="auto"/>
        <w:bottom w:val="none" w:sz="0" w:space="0" w:color="auto"/>
        <w:right w:val="none" w:sz="0" w:space="0" w:color="auto"/>
      </w:divBdr>
    </w:div>
    <w:div w:id="1471097361">
      <w:bodyDiv w:val="1"/>
      <w:marLeft w:val="0"/>
      <w:marRight w:val="0"/>
      <w:marTop w:val="0"/>
      <w:marBottom w:val="0"/>
      <w:divBdr>
        <w:top w:val="none" w:sz="0" w:space="0" w:color="auto"/>
        <w:left w:val="none" w:sz="0" w:space="0" w:color="auto"/>
        <w:bottom w:val="none" w:sz="0" w:space="0" w:color="auto"/>
        <w:right w:val="none" w:sz="0" w:space="0" w:color="auto"/>
      </w:divBdr>
    </w:div>
    <w:div w:id="1473207043">
      <w:bodyDiv w:val="1"/>
      <w:marLeft w:val="0"/>
      <w:marRight w:val="0"/>
      <w:marTop w:val="0"/>
      <w:marBottom w:val="0"/>
      <w:divBdr>
        <w:top w:val="none" w:sz="0" w:space="0" w:color="auto"/>
        <w:left w:val="none" w:sz="0" w:space="0" w:color="auto"/>
        <w:bottom w:val="none" w:sz="0" w:space="0" w:color="auto"/>
        <w:right w:val="none" w:sz="0" w:space="0" w:color="auto"/>
      </w:divBdr>
    </w:div>
    <w:div w:id="1475371231">
      <w:bodyDiv w:val="1"/>
      <w:marLeft w:val="0"/>
      <w:marRight w:val="0"/>
      <w:marTop w:val="0"/>
      <w:marBottom w:val="0"/>
      <w:divBdr>
        <w:top w:val="none" w:sz="0" w:space="0" w:color="auto"/>
        <w:left w:val="none" w:sz="0" w:space="0" w:color="auto"/>
        <w:bottom w:val="none" w:sz="0" w:space="0" w:color="auto"/>
        <w:right w:val="none" w:sz="0" w:space="0" w:color="auto"/>
      </w:divBdr>
    </w:div>
    <w:div w:id="1482232555">
      <w:bodyDiv w:val="1"/>
      <w:marLeft w:val="0"/>
      <w:marRight w:val="0"/>
      <w:marTop w:val="0"/>
      <w:marBottom w:val="0"/>
      <w:divBdr>
        <w:top w:val="none" w:sz="0" w:space="0" w:color="auto"/>
        <w:left w:val="none" w:sz="0" w:space="0" w:color="auto"/>
        <w:bottom w:val="none" w:sz="0" w:space="0" w:color="auto"/>
        <w:right w:val="none" w:sz="0" w:space="0" w:color="auto"/>
      </w:divBdr>
    </w:div>
    <w:div w:id="1485196527">
      <w:bodyDiv w:val="1"/>
      <w:marLeft w:val="0"/>
      <w:marRight w:val="0"/>
      <w:marTop w:val="0"/>
      <w:marBottom w:val="0"/>
      <w:divBdr>
        <w:top w:val="none" w:sz="0" w:space="0" w:color="auto"/>
        <w:left w:val="none" w:sz="0" w:space="0" w:color="auto"/>
        <w:bottom w:val="none" w:sz="0" w:space="0" w:color="auto"/>
        <w:right w:val="none" w:sz="0" w:space="0" w:color="auto"/>
      </w:divBdr>
    </w:div>
    <w:div w:id="1487473736">
      <w:bodyDiv w:val="1"/>
      <w:marLeft w:val="0"/>
      <w:marRight w:val="0"/>
      <w:marTop w:val="0"/>
      <w:marBottom w:val="0"/>
      <w:divBdr>
        <w:top w:val="none" w:sz="0" w:space="0" w:color="auto"/>
        <w:left w:val="none" w:sz="0" w:space="0" w:color="auto"/>
        <w:bottom w:val="none" w:sz="0" w:space="0" w:color="auto"/>
        <w:right w:val="none" w:sz="0" w:space="0" w:color="auto"/>
      </w:divBdr>
    </w:div>
    <w:div w:id="1492597529">
      <w:bodyDiv w:val="1"/>
      <w:marLeft w:val="0"/>
      <w:marRight w:val="0"/>
      <w:marTop w:val="0"/>
      <w:marBottom w:val="0"/>
      <w:divBdr>
        <w:top w:val="none" w:sz="0" w:space="0" w:color="auto"/>
        <w:left w:val="none" w:sz="0" w:space="0" w:color="auto"/>
        <w:bottom w:val="none" w:sz="0" w:space="0" w:color="auto"/>
        <w:right w:val="none" w:sz="0" w:space="0" w:color="auto"/>
      </w:divBdr>
    </w:div>
    <w:div w:id="1493061128">
      <w:bodyDiv w:val="1"/>
      <w:marLeft w:val="0"/>
      <w:marRight w:val="0"/>
      <w:marTop w:val="0"/>
      <w:marBottom w:val="0"/>
      <w:divBdr>
        <w:top w:val="none" w:sz="0" w:space="0" w:color="auto"/>
        <w:left w:val="none" w:sz="0" w:space="0" w:color="auto"/>
        <w:bottom w:val="none" w:sz="0" w:space="0" w:color="auto"/>
        <w:right w:val="none" w:sz="0" w:space="0" w:color="auto"/>
      </w:divBdr>
    </w:div>
    <w:div w:id="1494637736">
      <w:bodyDiv w:val="1"/>
      <w:marLeft w:val="0"/>
      <w:marRight w:val="0"/>
      <w:marTop w:val="0"/>
      <w:marBottom w:val="0"/>
      <w:divBdr>
        <w:top w:val="none" w:sz="0" w:space="0" w:color="auto"/>
        <w:left w:val="none" w:sz="0" w:space="0" w:color="auto"/>
        <w:bottom w:val="none" w:sz="0" w:space="0" w:color="auto"/>
        <w:right w:val="none" w:sz="0" w:space="0" w:color="auto"/>
      </w:divBdr>
    </w:div>
    <w:div w:id="1496646992">
      <w:bodyDiv w:val="1"/>
      <w:marLeft w:val="0"/>
      <w:marRight w:val="0"/>
      <w:marTop w:val="0"/>
      <w:marBottom w:val="0"/>
      <w:divBdr>
        <w:top w:val="none" w:sz="0" w:space="0" w:color="auto"/>
        <w:left w:val="none" w:sz="0" w:space="0" w:color="auto"/>
        <w:bottom w:val="none" w:sz="0" w:space="0" w:color="auto"/>
        <w:right w:val="none" w:sz="0" w:space="0" w:color="auto"/>
      </w:divBdr>
    </w:div>
    <w:div w:id="1501505498">
      <w:bodyDiv w:val="1"/>
      <w:marLeft w:val="0"/>
      <w:marRight w:val="0"/>
      <w:marTop w:val="0"/>
      <w:marBottom w:val="0"/>
      <w:divBdr>
        <w:top w:val="none" w:sz="0" w:space="0" w:color="auto"/>
        <w:left w:val="none" w:sz="0" w:space="0" w:color="auto"/>
        <w:bottom w:val="none" w:sz="0" w:space="0" w:color="auto"/>
        <w:right w:val="none" w:sz="0" w:space="0" w:color="auto"/>
      </w:divBdr>
    </w:div>
    <w:div w:id="1502159354">
      <w:bodyDiv w:val="1"/>
      <w:marLeft w:val="0"/>
      <w:marRight w:val="0"/>
      <w:marTop w:val="0"/>
      <w:marBottom w:val="0"/>
      <w:divBdr>
        <w:top w:val="none" w:sz="0" w:space="0" w:color="auto"/>
        <w:left w:val="none" w:sz="0" w:space="0" w:color="auto"/>
        <w:bottom w:val="none" w:sz="0" w:space="0" w:color="auto"/>
        <w:right w:val="none" w:sz="0" w:space="0" w:color="auto"/>
      </w:divBdr>
    </w:div>
    <w:div w:id="1506626636">
      <w:bodyDiv w:val="1"/>
      <w:marLeft w:val="0"/>
      <w:marRight w:val="0"/>
      <w:marTop w:val="0"/>
      <w:marBottom w:val="0"/>
      <w:divBdr>
        <w:top w:val="none" w:sz="0" w:space="0" w:color="auto"/>
        <w:left w:val="none" w:sz="0" w:space="0" w:color="auto"/>
        <w:bottom w:val="none" w:sz="0" w:space="0" w:color="auto"/>
        <w:right w:val="none" w:sz="0" w:space="0" w:color="auto"/>
      </w:divBdr>
    </w:div>
    <w:div w:id="1518890458">
      <w:bodyDiv w:val="1"/>
      <w:marLeft w:val="0"/>
      <w:marRight w:val="0"/>
      <w:marTop w:val="0"/>
      <w:marBottom w:val="0"/>
      <w:divBdr>
        <w:top w:val="none" w:sz="0" w:space="0" w:color="auto"/>
        <w:left w:val="none" w:sz="0" w:space="0" w:color="auto"/>
        <w:bottom w:val="none" w:sz="0" w:space="0" w:color="auto"/>
        <w:right w:val="none" w:sz="0" w:space="0" w:color="auto"/>
      </w:divBdr>
    </w:div>
    <w:div w:id="1521384732">
      <w:bodyDiv w:val="1"/>
      <w:marLeft w:val="0"/>
      <w:marRight w:val="0"/>
      <w:marTop w:val="0"/>
      <w:marBottom w:val="0"/>
      <w:divBdr>
        <w:top w:val="none" w:sz="0" w:space="0" w:color="auto"/>
        <w:left w:val="none" w:sz="0" w:space="0" w:color="auto"/>
        <w:bottom w:val="none" w:sz="0" w:space="0" w:color="auto"/>
        <w:right w:val="none" w:sz="0" w:space="0" w:color="auto"/>
      </w:divBdr>
    </w:div>
    <w:div w:id="1528057745">
      <w:bodyDiv w:val="1"/>
      <w:marLeft w:val="0"/>
      <w:marRight w:val="0"/>
      <w:marTop w:val="0"/>
      <w:marBottom w:val="0"/>
      <w:divBdr>
        <w:top w:val="none" w:sz="0" w:space="0" w:color="auto"/>
        <w:left w:val="none" w:sz="0" w:space="0" w:color="auto"/>
        <w:bottom w:val="none" w:sz="0" w:space="0" w:color="auto"/>
        <w:right w:val="none" w:sz="0" w:space="0" w:color="auto"/>
      </w:divBdr>
    </w:div>
    <w:div w:id="1529417867">
      <w:bodyDiv w:val="1"/>
      <w:marLeft w:val="0"/>
      <w:marRight w:val="0"/>
      <w:marTop w:val="0"/>
      <w:marBottom w:val="0"/>
      <w:divBdr>
        <w:top w:val="none" w:sz="0" w:space="0" w:color="auto"/>
        <w:left w:val="none" w:sz="0" w:space="0" w:color="auto"/>
        <w:bottom w:val="none" w:sz="0" w:space="0" w:color="auto"/>
        <w:right w:val="none" w:sz="0" w:space="0" w:color="auto"/>
      </w:divBdr>
    </w:div>
    <w:div w:id="1536380591">
      <w:bodyDiv w:val="1"/>
      <w:marLeft w:val="0"/>
      <w:marRight w:val="0"/>
      <w:marTop w:val="0"/>
      <w:marBottom w:val="0"/>
      <w:divBdr>
        <w:top w:val="none" w:sz="0" w:space="0" w:color="auto"/>
        <w:left w:val="none" w:sz="0" w:space="0" w:color="auto"/>
        <w:bottom w:val="none" w:sz="0" w:space="0" w:color="auto"/>
        <w:right w:val="none" w:sz="0" w:space="0" w:color="auto"/>
      </w:divBdr>
    </w:div>
    <w:div w:id="1537690982">
      <w:bodyDiv w:val="1"/>
      <w:marLeft w:val="0"/>
      <w:marRight w:val="0"/>
      <w:marTop w:val="0"/>
      <w:marBottom w:val="0"/>
      <w:divBdr>
        <w:top w:val="none" w:sz="0" w:space="0" w:color="auto"/>
        <w:left w:val="none" w:sz="0" w:space="0" w:color="auto"/>
        <w:bottom w:val="none" w:sz="0" w:space="0" w:color="auto"/>
        <w:right w:val="none" w:sz="0" w:space="0" w:color="auto"/>
      </w:divBdr>
    </w:div>
    <w:div w:id="1546333900">
      <w:bodyDiv w:val="1"/>
      <w:marLeft w:val="0"/>
      <w:marRight w:val="0"/>
      <w:marTop w:val="0"/>
      <w:marBottom w:val="0"/>
      <w:divBdr>
        <w:top w:val="none" w:sz="0" w:space="0" w:color="auto"/>
        <w:left w:val="none" w:sz="0" w:space="0" w:color="auto"/>
        <w:bottom w:val="none" w:sz="0" w:space="0" w:color="auto"/>
        <w:right w:val="none" w:sz="0" w:space="0" w:color="auto"/>
      </w:divBdr>
    </w:div>
    <w:div w:id="1546988292">
      <w:bodyDiv w:val="1"/>
      <w:marLeft w:val="0"/>
      <w:marRight w:val="0"/>
      <w:marTop w:val="0"/>
      <w:marBottom w:val="0"/>
      <w:divBdr>
        <w:top w:val="none" w:sz="0" w:space="0" w:color="auto"/>
        <w:left w:val="none" w:sz="0" w:space="0" w:color="auto"/>
        <w:bottom w:val="none" w:sz="0" w:space="0" w:color="auto"/>
        <w:right w:val="none" w:sz="0" w:space="0" w:color="auto"/>
      </w:divBdr>
    </w:div>
    <w:div w:id="1550070382">
      <w:bodyDiv w:val="1"/>
      <w:marLeft w:val="0"/>
      <w:marRight w:val="0"/>
      <w:marTop w:val="0"/>
      <w:marBottom w:val="0"/>
      <w:divBdr>
        <w:top w:val="none" w:sz="0" w:space="0" w:color="auto"/>
        <w:left w:val="none" w:sz="0" w:space="0" w:color="auto"/>
        <w:bottom w:val="none" w:sz="0" w:space="0" w:color="auto"/>
        <w:right w:val="none" w:sz="0" w:space="0" w:color="auto"/>
      </w:divBdr>
    </w:div>
    <w:div w:id="1571113268">
      <w:bodyDiv w:val="1"/>
      <w:marLeft w:val="0"/>
      <w:marRight w:val="0"/>
      <w:marTop w:val="0"/>
      <w:marBottom w:val="0"/>
      <w:divBdr>
        <w:top w:val="none" w:sz="0" w:space="0" w:color="auto"/>
        <w:left w:val="none" w:sz="0" w:space="0" w:color="auto"/>
        <w:bottom w:val="none" w:sz="0" w:space="0" w:color="auto"/>
        <w:right w:val="none" w:sz="0" w:space="0" w:color="auto"/>
      </w:divBdr>
    </w:div>
    <w:div w:id="1572615596">
      <w:bodyDiv w:val="1"/>
      <w:marLeft w:val="0"/>
      <w:marRight w:val="0"/>
      <w:marTop w:val="0"/>
      <w:marBottom w:val="0"/>
      <w:divBdr>
        <w:top w:val="none" w:sz="0" w:space="0" w:color="auto"/>
        <w:left w:val="none" w:sz="0" w:space="0" w:color="auto"/>
        <w:bottom w:val="none" w:sz="0" w:space="0" w:color="auto"/>
        <w:right w:val="none" w:sz="0" w:space="0" w:color="auto"/>
      </w:divBdr>
    </w:div>
    <w:div w:id="1587223027">
      <w:bodyDiv w:val="1"/>
      <w:marLeft w:val="0"/>
      <w:marRight w:val="0"/>
      <w:marTop w:val="0"/>
      <w:marBottom w:val="0"/>
      <w:divBdr>
        <w:top w:val="none" w:sz="0" w:space="0" w:color="auto"/>
        <w:left w:val="none" w:sz="0" w:space="0" w:color="auto"/>
        <w:bottom w:val="none" w:sz="0" w:space="0" w:color="auto"/>
        <w:right w:val="none" w:sz="0" w:space="0" w:color="auto"/>
      </w:divBdr>
    </w:div>
    <w:div w:id="1592929802">
      <w:bodyDiv w:val="1"/>
      <w:marLeft w:val="0"/>
      <w:marRight w:val="0"/>
      <w:marTop w:val="0"/>
      <w:marBottom w:val="0"/>
      <w:divBdr>
        <w:top w:val="none" w:sz="0" w:space="0" w:color="auto"/>
        <w:left w:val="none" w:sz="0" w:space="0" w:color="auto"/>
        <w:bottom w:val="none" w:sz="0" w:space="0" w:color="auto"/>
        <w:right w:val="none" w:sz="0" w:space="0" w:color="auto"/>
      </w:divBdr>
    </w:div>
    <w:div w:id="1593970892">
      <w:bodyDiv w:val="1"/>
      <w:marLeft w:val="0"/>
      <w:marRight w:val="0"/>
      <w:marTop w:val="0"/>
      <w:marBottom w:val="0"/>
      <w:divBdr>
        <w:top w:val="none" w:sz="0" w:space="0" w:color="auto"/>
        <w:left w:val="none" w:sz="0" w:space="0" w:color="auto"/>
        <w:bottom w:val="none" w:sz="0" w:space="0" w:color="auto"/>
        <w:right w:val="none" w:sz="0" w:space="0" w:color="auto"/>
      </w:divBdr>
    </w:div>
    <w:div w:id="1594127722">
      <w:bodyDiv w:val="1"/>
      <w:marLeft w:val="0"/>
      <w:marRight w:val="0"/>
      <w:marTop w:val="0"/>
      <w:marBottom w:val="0"/>
      <w:divBdr>
        <w:top w:val="none" w:sz="0" w:space="0" w:color="auto"/>
        <w:left w:val="none" w:sz="0" w:space="0" w:color="auto"/>
        <w:bottom w:val="none" w:sz="0" w:space="0" w:color="auto"/>
        <w:right w:val="none" w:sz="0" w:space="0" w:color="auto"/>
      </w:divBdr>
    </w:div>
    <w:div w:id="1594163624">
      <w:bodyDiv w:val="1"/>
      <w:marLeft w:val="0"/>
      <w:marRight w:val="0"/>
      <w:marTop w:val="0"/>
      <w:marBottom w:val="0"/>
      <w:divBdr>
        <w:top w:val="none" w:sz="0" w:space="0" w:color="auto"/>
        <w:left w:val="none" w:sz="0" w:space="0" w:color="auto"/>
        <w:bottom w:val="none" w:sz="0" w:space="0" w:color="auto"/>
        <w:right w:val="none" w:sz="0" w:space="0" w:color="auto"/>
      </w:divBdr>
    </w:div>
    <w:div w:id="1595479164">
      <w:bodyDiv w:val="1"/>
      <w:marLeft w:val="0"/>
      <w:marRight w:val="0"/>
      <w:marTop w:val="0"/>
      <w:marBottom w:val="0"/>
      <w:divBdr>
        <w:top w:val="none" w:sz="0" w:space="0" w:color="auto"/>
        <w:left w:val="none" w:sz="0" w:space="0" w:color="auto"/>
        <w:bottom w:val="none" w:sz="0" w:space="0" w:color="auto"/>
        <w:right w:val="none" w:sz="0" w:space="0" w:color="auto"/>
      </w:divBdr>
    </w:div>
    <w:div w:id="1596741832">
      <w:bodyDiv w:val="1"/>
      <w:marLeft w:val="0"/>
      <w:marRight w:val="0"/>
      <w:marTop w:val="0"/>
      <w:marBottom w:val="0"/>
      <w:divBdr>
        <w:top w:val="none" w:sz="0" w:space="0" w:color="auto"/>
        <w:left w:val="none" w:sz="0" w:space="0" w:color="auto"/>
        <w:bottom w:val="none" w:sz="0" w:space="0" w:color="auto"/>
        <w:right w:val="none" w:sz="0" w:space="0" w:color="auto"/>
      </w:divBdr>
    </w:div>
    <w:div w:id="1597715465">
      <w:bodyDiv w:val="1"/>
      <w:marLeft w:val="0"/>
      <w:marRight w:val="0"/>
      <w:marTop w:val="0"/>
      <w:marBottom w:val="0"/>
      <w:divBdr>
        <w:top w:val="none" w:sz="0" w:space="0" w:color="auto"/>
        <w:left w:val="none" w:sz="0" w:space="0" w:color="auto"/>
        <w:bottom w:val="none" w:sz="0" w:space="0" w:color="auto"/>
        <w:right w:val="none" w:sz="0" w:space="0" w:color="auto"/>
      </w:divBdr>
    </w:div>
    <w:div w:id="1609198085">
      <w:bodyDiv w:val="1"/>
      <w:marLeft w:val="0"/>
      <w:marRight w:val="0"/>
      <w:marTop w:val="0"/>
      <w:marBottom w:val="0"/>
      <w:divBdr>
        <w:top w:val="none" w:sz="0" w:space="0" w:color="auto"/>
        <w:left w:val="none" w:sz="0" w:space="0" w:color="auto"/>
        <w:bottom w:val="none" w:sz="0" w:space="0" w:color="auto"/>
        <w:right w:val="none" w:sz="0" w:space="0" w:color="auto"/>
      </w:divBdr>
    </w:div>
    <w:div w:id="1609579110">
      <w:bodyDiv w:val="1"/>
      <w:marLeft w:val="0"/>
      <w:marRight w:val="0"/>
      <w:marTop w:val="0"/>
      <w:marBottom w:val="0"/>
      <w:divBdr>
        <w:top w:val="none" w:sz="0" w:space="0" w:color="auto"/>
        <w:left w:val="none" w:sz="0" w:space="0" w:color="auto"/>
        <w:bottom w:val="none" w:sz="0" w:space="0" w:color="auto"/>
        <w:right w:val="none" w:sz="0" w:space="0" w:color="auto"/>
      </w:divBdr>
    </w:div>
    <w:div w:id="1621645737">
      <w:bodyDiv w:val="1"/>
      <w:marLeft w:val="0"/>
      <w:marRight w:val="0"/>
      <w:marTop w:val="0"/>
      <w:marBottom w:val="0"/>
      <w:divBdr>
        <w:top w:val="none" w:sz="0" w:space="0" w:color="auto"/>
        <w:left w:val="none" w:sz="0" w:space="0" w:color="auto"/>
        <w:bottom w:val="none" w:sz="0" w:space="0" w:color="auto"/>
        <w:right w:val="none" w:sz="0" w:space="0" w:color="auto"/>
      </w:divBdr>
    </w:div>
    <w:div w:id="1628926567">
      <w:bodyDiv w:val="1"/>
      <w:marLeft w:val="0"/>
      <w:marRight w:val="0"/>
      <w:marTop w:val="0"/>
      <w:marBottom w:val="0"/>
      <w:divBdr>
        <w:top w:val="none" w:sz="0" w:space="0" w:color="auto"/>
        <w:left w:val="none" w:sz="0" w:space="0" w:color="auto"/>
        <w:bottom w:val="none" w:sz="0" w:space="0" w:color="auto"/>
        <w:right w:val="none" w:sz="0" w:space="0" w:color="auto"/>
      </w:divBdr>
    </w:div>
    <w:div w:id="1636907237">
      <w:bodyDiv w:val="1"/>
      <w:marLeft w:val="0"/>
      <w:marRight w:val="0"/>
      <w:marTop w:val="0"/>
      <w:marBottom w:val="0"/>
      <w:divBdr>
        <w:top w:val="none" w:sz="0" w:space="0" w:color="auto"/>
        <w:left w:val="none" w:sz="0" w:space="0" w:color="auto"/>
        <w:bottom w:val="none" w:sz="0" w:space="0" w:color="auto"/>
        <w:right w:val="none" w:sz="0" w:space="0" w:color="auto"/>
      </w:divBdr>
    </w:div>
    <w:div w:id="1638294937">
      <w:bodyDiv w:val="1"/>
      <w:marLeft w:val="0"/>
      <w:marRight w:val="0"/>
      <w:marTop w:val="0"/>
      <w:marBottom w:val="0"/>
      <w:divBdr>
        <w:top w:val="none" w:sz="0" w:space="0" w:color="auto"/>
        <w:left w:val="none" w:sz="0" w:space="0" w:color="auto"/>
        <w:bottom w:val="none" w:sz="0" w:space="0" w:color="auto"/>
        <w:right w:val="none" w:sz="0" w:space="0" w:color="auto"/>
      </w:divBdr>
    </w:div>
    <w:div w:id="1642612323">
      <w:bodyDiv w:val="1"/>
      <w:marLeft w:val="0"/>
      <w:marRight w:val="0"/>
      <w:marTop w:val="0"/>
      <w:marBottom w:val="0"/>
      <w:divBdr>
        <w:top w:val="none" w:sz="0" w:space="0" w:color="auto"/>
        <w:left w:val="none" w:sz="0" w:space="0" w:color="auto"/>
        <w:bottom w:val="none" w:sz="0" w:space="0" w:color="auto"/>
        <w:right w:val="none" w:sz="0" w:space="0" w:color="auto"/>
      </w:divBdr>
    </w:div>
    <w:div w:id="1644233900">
      <w:bodyDiv w:val="1"/>
      <w:marLeft w:val="0"/>
      <w:marRight w:val="0"/>
      <w:marTop w:val="0"/>
      <w:marBottom w:val="0"/>
      <w:divBdr>
        <w:top w:val="none" w:sz="0" w:space="0" w:color="auto"/>
        <w:left w:val="none" w:sz="0" w:space="0" w:color="auto"/>
        <w:bottom w:val="none" w:sz="0" w:space="0" w:color="auto"/>
        <w:right w:val="none" w:sz="0" w:space="0" w:color="auto"/>
      </w:divBdr>
    </w:div>
    <w:div w:id="1651521161">
      <w:bodyDiv w:val="1"/>
      <w:marLeft w:val="0"/>
      <w:marRight w:val="0"/>
      <w:marTop w:val="0"/>
      <w:marBottom w:val="0"/>
      <w:divBdr>
        <w:top w:val="none" w:sz="0" w:space="0" w:color="auto"/>
        <w:left w:val="none" w:sz="0" w:space="0" w:color="auto"/>
        <w:bottom w:val="none" w:sz="0" w:space="0" w:color="auto"/>
        <w:right w:val="none" w:sz="0" w:space="0" w:color="auto"/>
      </w:divBdr>
    </w:div>
    <w:div w:id="1657227677">
      <w:bodyDiv w:val="1"/>
      <w:marLeft w:val="0"/>
      <w:marRight w:val="0"/>
      <w:marTop w:val="0"/>
      <w:marBottom w:val="0"/>
      <w:divBdr>
        <w:top w:val="none" w:sz="0" w:space="0" w:color="auto"/>
        <w:left w:val="none" w:sz="0" w:space="0" w:color="auto"/>
        <w:bottom w:val="none" w:sz="0" w:space="0" w:color="auto"/>
        <w:right w:val="none" w:sz="0" w:space="0" w:color="auto"/>
      </w:divBdr>
    </w:div>
    <w:div w:id="1661612621">
      <w:bodyDiv w:val="1"/>
      <w:marLeft w:val="0"/>
      <w:marRight w:val="0"/>
      <w:marTop w:val="0"/>
      <w:marBottom w:val="0"/>
      <w:divBdr>
        <w:top w:val="none" w:sz="0" w:space="0" w:color="auto"/>
        <w:left w:val="none" w:sz="0" w:space="0" w:color="auto"/>
        <w:bottom w:val="none" w:sz="0" w:space="0" w:color="auto"/>
        <w:right w:val="none" w:sz="0" w:space="0" w:color="auto"/>
      </w:divBdr>
    </w:div>
    <w:div w:id="1684819477">
      <w:bodyDiv w:val="1"/>
      <w:marLeft w:val="0"/>
      <w:marRight w:val="0"/>
      <w:marTop w:val="0"/>
      <w:marBottom w:val="0"/>
      <w:divBdr>
        <w:top w:val="none" w:sz="0" w:space="0" w:color="auto"/>
        <w:left w:val="none" w:sz="0" w:space="0" w:color="auto"/>
        <w:bottom w:val="none" w:sz="0" w:space="0" w:color="auto"/>
        <w:right w:val="none" w:sz="0" w:space="0" w:color="auto"/>
      </w:divBdr>
    </w:div>
    <w:div w:id="1687946896">
      <w:bodyDiv w:val="1"/>
      <w:marLeft w:val="0"/>
      <w:marRight w:val="0"/>
      <w:marTop w:val="0"/>
      <w:marBottom w:val="0"/>
      <w:divBdr>
        <w:top w:val="none" w:sz="0" w:space="0" w:color="auto"/>
        <w:left w:val="none" w:sz="0" w:space="0" w:color="auto"/>
        <w:bottom w:val="none" w:sz="0" w:space="0" w:color="auto"/>
        <w:right w:val="none" w:sz="0" w:space="0" w:color="auto"/>
      </w:divBdr>
    </w:div>
    <w:div w:id="1688677252">
      <w:bodyDiv w:val="1"/>
      <w:marLeft w:val="0"/>
      <w:marRight w:val="0"/>
      <w:marTop w:val="0"/>
      <w:marBottom w:val="0"/>
      <w:divBdr>
        <w:top w:val="none" w:sz="0" w:space="0" w:color="auto"/>
        <w:left w:val="none" w:sz="0" w:space="0" w:color="auto"/>
        <w:bottom w:val="none" w:sz="0" w:space="0" w:color="auto"/>
        <w:right w:val="none" w:sz="0" w:space="0" w:color="auto"/>
      </w:divBdr>
    </w:div>
    <w:div w:id="1689453690">
      <w:bodyDiv w:val="1"/>
      <w:marLeft w:val="0"/>
      <w:marRight w:val="0"/>
      <w:marTop w:val="0"/>
      <w:marBottom w:val="0"/>
      <w:divBdr>
        <w:top w:val="none" w:sz="0" w:space="0" w:color="auto"/>
        <w:left w:val="none" w:sz="0" w:space="0" w:color="auto"/>
        <w:bottom w:val="none" w:sz="0" w:space="0" w:color="auto"/>
        <w:right w:val="none" w:sz="0" w:space="0" w:color="auto"/>
      </w:divBdr>
    </w:div>
    <w:div w:id="1691443534">
      <w:bodyDiv w:val="1"/>
      <w:marLeft w:val="0"/>
      <w:marRight w:val="0"/>
      <w:marTop w:val="0"/>
      <w:marBottom w:val="0"/>
      <w:divBdr>
        <w:top w:val="none" w:sz="0" w:space="0" w:color="auto"/>
        <w:left w:val="none" w:sz="0" w:space="0" w:color="auto"/>
        <w:bottom w:val="none" w:sz="0" w:space="0" w:color="auto"/>
        <w:right w:val="none" w:sz="0" w:space="0" w:color="auto"/>
      </w:divBdr>
    </w:div>
    <w:div w:id="1694964241">
      <w:bodyDiv w:val="1"/>
      <w:marLeft w:val="0"/>
      <w:marRight w:val="0"/>
      <w:marTop w:val="0"/>
      <w:marBottom w:val="0"/>
      <w:divBdr>
        <w:top w:val="none" w:sz="0" w:space="0" w:color="auto"/>
        <w:left w:val="none" w:sz="0" w:space="0" w:color="auto"/>
        <w:bottom w:val="none" w:sz="0" w:space="0" w:color="auto"/>
        <w:right w:val="none" w:sz="0" w:space="0" w:color="auto"/>
      </w:divBdr>
    </w:div>
    <w:div w:id="1700161499">
      <w:bodyDiv w:val="1"/>
      <w:marLeft w:val="0"/>
      <w:marRight w:val="0"/>
      <w:marTop w:val="0"/>
      <w:marBottom w:val="0"/>
      <w:divBdr>
        <w:top w:val="none" w:sz="0" w:space="0" w:color="auto"/>
        <w:left w:val="none" w:sz="0" w:space="0" w:color="auto"/>
        <w:bottom w:val="none" w:sz="0" w:space="0" w:color="auto"/>
        <w:right w:val="none" w:sz="0" w:space="0" w:color="auto"/>
      </w:divBdr>
    </w:div>
    <w:div w:id="1701541833">
      <w:bodyDiv w:val="1"/>
      <w:marLeft w:val="0"/>
      <w:marRight w:val="0"/>
      <w:marTop w:val="0"/>
      <w:marBottom w:val="0"/>
      <w:divBdr>
        <w:top w:val="none" w:sz="0" w:space="0" w:color="auto"/>
        <w:left w:val="none" w:sz="0" w:space="0" w:color="auto"/>
        <w:bottom w:val="none" w:sz="0" w:space="0" w:color="auto"/>
        <w:right w:val="none" w:sz="0" w:space="0" w:color="auto"/>
      </w:divBdr>
    </w:div>
    <w:div w:id="1702509913">
      <w:bodyDiv w:val="1"/>
      <w:marLeft w:val="0"/>
      <w:marRight w:val="0"/>
      <w:marTop w:val="0"/>
      <w:marBottom w:val="0"/>
      <w:divBdr>
        <w:top w:val="none" w:sz="0" w:space="0" w:color="auto"/>
        <w:left w:val="none" w:sz="0" w:space="0" w:color="auto"/>
        <w:bottom w:val="none" w:sz="0" w:space="0" w:color="auto"/>
        <w:right w:val="none" w:sz="0" w:space="0" w:color="auto"/>
      </w:divBdr>
    </w:div>
    <w:div w:id="1709256936">
      <w:bodyDiv w:val="1"/>
      <w:marLeft w:val="0"/>
      <w:marRight w:val="0"/>
      <w:marTop w:val="0"/>
      <w:marBottom w:val="0"/>
      <w:divBdr>
        <w:top w:val="none" w:sz="0" w:space="0" w:color="auto"/>
        <w:left w:val="none" w:sz="0" w:space="0" w:color="auto"/>
        <w:bottom w:val="none" w:sz="0" w:space="0" w:color="auto"/>
        <w:right w:val="none" w:sz="0" w:space="0" w:color="auto"/>
      </w:divBdr>
    </w:div>
    <w:div w:id="1710179469">
      <w:bodyDiv w:val="1"/>
      <w:marLeft w:val="0"/>
      <w:marRight w:val="0"/>
      <w:marTop w:val="0"/>
      <w:marBottom w:val="0"/>
      <w:divBdr>
        <w:top w:val="none" w:sz="0" w:space="0" w:color="auto"/>
        <w:left w:val="none" w:sz="0" w:space="0" w:color="auto"/>
        <w:bottom w:val="none" w:sz="0" w:space="0" w:color="auto"/>
        <w:right w:val="none" w:sz="0" w:space="0" w:color="auto"/>
      </w:divBdr>
    </w:div>
    <w:div w:id="1712073832">
      <w:bodyDiv w:val="1"/>
      <w:marLeft w:val="0"/>
      <w:marRight w:val="0"/>
      <w:marTop w:val="0"/>
      <w:marBottom w:val="0"/>
      <w:divBdr>
        <w:top w:val="none" w:sz="0" w:space="0" w:color="auto"/>
        <w:left w:val="none" w:sz="0" w:space="0" w:color="auto"/>
        <w:bottom w:val="none" w:sz="0" w:space="0" w:color="auto"/>
        <w:right w:val="none" w:sz="0" w:space="0" w:color="auto"/>
      </w:divBdr>
    </w:div>
    <w:div w:id="1714386673">
      <w:bodyDiv w:val="1"/>
      <w:marLeft w:val="0"/>
      <w:marRight w:val="0"/>
      <w:marTop w:val="0"/>
      <w:marBottom w:val="0"/>
      <w:divBdr>
        <w:top w:val="none" w:sz="0" w:space="0" w:color="auto"/>
        <w:left w:val="none" w:sz="0" w:space="0" w:color="auto"/>
        <w:bottom w:val="none" w:sz="0" w:space="0" w:color="auto"/>
        <w:right w:val="none" w:sz="0" w:space="0" w:color="auto"/>
      </w:divBdr>
    </w:div>
    <w:div w:id="1714647084">
      <w:bodyDiv w:val="1"/>
      <w:marLeft w:val="0"/>
      <w:marRight w:val="0"/>
      <w:marTop w:val="0"/>
      <w:marBottom w:val="0"/>
      <w:divBdr>
        <w:top w:val="none" w:sz="0" w:space="0" w:color="auto"/>
        <w:left w:val="none" w:sz="0" w:space="0" w:color="auto"/>
        <w:bottom w:val="none" w:sz="0" w:space="0" w:color="auto"/>
        <w:right w:val="none" w:sz="0" w:space="0" w:color="auto"/>
      </w:divBdr>
    </w:div>
    <w:div w:id="1717503232">
      <w:bodyDiv w:val="1"/>
      <w:marLeft w:val="0"/>
      <w:marRight w:val="0"/>
      <w:marTop w:val="0"/>
      <w:marBottom w:val="0"/>
      <w:divBdr>
        <w:top w:val="none" w:sz="0" w:space="0" w:color="auto"/>
        <w:left w:val="none" w:sz="0" w:space="0" w:color="auto"/>
        <w:bottom w:val="none" w:sz="0" w:space="0" w:color="auto"/>
        <w:right w:val="none" w:sz="0" w:space="0" w:color="auto"/>
      </w:divBdr>
    </w:div>
    <w:div w:id="1718238515">
      <w:bodyDiv w:val="1"/>
      <w:marLeft w:val="0"/>
      <w:marRight w:val="0"/>
      <w:marTop w:val="0"/>
      <w:marBottom w:val="0"/>
      <w:divBdr>
        <w:top w:val="none" w:sz="0" w:space="0" w:color="auto"/>
        <w:left w:val="none" w:sz="0" w:space="0" w:color="auto"/>
        <w:bottom w:val="none" w:sz="0" w:space="0" w:color="auto"/>
        <w:right w:val="none" w:sz="0" w:space="0" w:color="auto"/>
      </w:divBdr>
    </w:div>
    <w:div w:id="1731878372">
      <w:bodyDiv w:val="1"/>
      <w:marLeft w:val="0"/>
      <w:marRight w:val="0"/>
      <w:marTop w:val="0"/>
      <w:marBottom w:val="0"/>
      <w:divBdr>
        <w:top w:val="none" w:sz="0" w:space="0" w:color="auto"/>
        <w:left w:val="none" w:sz="0" w:space="0" w:color="auto"/>
        <w:bottom w:val="none" w:sz="0" w:space="0" w:color="auto"/>
        <w:right w:val="none" w:sz="0" w:space="0" w:color="auto"/>
      </w:divBdr>
    </w:div>
    <w:div w:id="1731880158">
      <w:bodyDiv w:val="1"/>
      <w:marLeft w:val="0"/>
      <w:marRight w:val="0"/>
      <w:marTop w:val="0"/>
      <w:marBottom w:val="0"/>
      <w:divBdr>
        <w:top w:val="none" w:sz="0" w:space="0" w:color="auto"/>
        <w:left w:val="none" w:sz="0" w:space="0" w:color="auto"/>
        <w:bottom w:val="none" w:sz="0" w:space="0" w:color="auto"/>
        <w:right w:val="none" w:sz="0" w:space="0" w:color="auto"/>
      </w:divBdr>
    </w:div>
    <w:div w:id="1732458589">
      <w:bodyDiv w:val="1"/>
      <w:marLeft w:val="0"/>
      <w:marRight w:val="0"/>
      <w:marTop w:val="0"/>
      <w:marBottom w:val="0"/>
      <w:divBdr>
        <w:top w:val="none" w:sz="0" w:space="0" w:color="auto"/>
        <w:left w:val="none" w:sz="0" w:space="0" w:color="auto"/>
        <w:bottom w:val="none" w:sz="0" w:space="0" w:color="auto"/>
        <w:right w:val="none" w:sz="0" w:space="0" w:color="auto"/>
      </w:divBdr>
    </w:div>
    <w:div w:id="1738161083">
      <w:bodyDiv w:val="1"/>
      <w:marLeft w:val="0"/>
      <w:marRight w:val="0"/>
      <w:marTop w:val="0"/>
      <w:marBottom w:val="0"/>
      <w:divBdr>
        <w:top w:val="none" w:sz="0" w:space="0" w:color="auto"/>
        <w:left w:val="none" w:sz="0" w:space="0" w:color="auto"/>
        <w:bottom w:val="none" w:sz="0" w:space="0" w:color="auto"/>
        <w:right w:val="none" w:sz="0" w:space="0" w:color="auto"/>
      </w:divBdr>
    </w:div>
    <w:div w:id="1740441111">
      <w:bodyDiv w:val="1"/>
      <w:marLeft w:val="0"/>
      <w:marRight w:val="0"/>
      <w:marTop w:val="0"/>
      <w:marBottom w:val="0"/>
      <w:divBdr>
        <w:top w:val="none" w:sz="0" w:space="0" w:color="auto"/>
        <w:left w:val="none" w:sz="0" w:space="0" w:color="auto"/>
        <w:bottom w:val="none" w:sz="0" w:space="0" w:color="auto"/>
        <w:right w:val="none" w:sz="0" w:space="0" w:color="auto"/>
      </w:divBdr>
    </w:div>
    <w:div w:id="1745714319">
      <w:bodyDiv w:val="1"/>
      <w:marLeft w:val="0"/>
      <w:marRight w:val="0"/>
      <w:marTop w:val="0"/>
      <w:marBottom w:val="0"/>
      <w:divBdr>
        <w:top w:val="none" w:sz="0" w:space="0" w:color="auto"/>
        <w:left w:val="none" w:sz="0" w:space="0" w:color="auto"/>
        <w:bottom w:val="none" w:sz="0" w:space="0" w:color="auto"/>
        <w:right w:val="none" w:sz="0" w:space="0" w:color="auto"/>
      </w:divBdr>
    </w:div>
    <w:div w:id="1746610806">
      <w:bodyDiv w:val="1"/>
      <w:marLeft w:val="0"/>
      <w:marRight w:val="0"/>
      <w:marTop w:val="0"/>
      <w:marBottom w:val="0"/>
      <w:divBdr>
        <w:top w:val="none" w:sz="0" w:space="0" w:color="auto"/>
        <w:left w:val="none" w:sz="0" w:space="0" w:color="auto"/>
        <w:bottom w:val="none" w:sz="0" w:space="0" w:color="auto"/>
        <w:right w:val="none" w:sz="0" w:space="0" w:color="auto"/>
      </w:divBdr>
    </w:div>
    <w:div w:id="1747071496">
      <w:bodyDiv w:val="1"/>
      <w:marLeft w:val="0"/>
      <w:marRight w:val="0"/>
      <w:marTop w:val="0"/>
      <w:marBottom w:val="0"/>
      <w:divBdr>
        <w:top w:val="none" w:sz="0" w:space="0" w:color="auto"/>
        <w:left w:val="none" w:sz="0" w:space="0" w:color="auto"/>
        <w:bottom w:val="none" w:sz="0" w:space="0" w:color="auto"/>
        <w:right w:val="none" w:sz="0" w:space="0" w:color="auto"/>
      </w:divBdr>
    </w:div>
    <w:div w:id="1749231174">
      <w:bodyDiv w:val="1"/>
      <w:marLeft w:val="0"/>
      <w:marRight w:val="0"/>
      <w:marTop w:val="0"/>
      <w:marBottom w:val="0"/>
      <w:divBdr>
        <w:top w:val="none" w:sz="0" w:space="0" w:color="auto"/>
        <w:left w:val="none" w:sz="0" w:space="0" w:color="auto"/>
        <w:bottom w:val="none" w:sz="0" w:space="0" w:color="auto"/>
        <w:right w:val="none" w:sz="0" w:space="0" w:color="auto"/>
      </w:divBdr>
    </w:div>
    <w:div w:id="1751080343">
      <w:bodyDiv w:val="1"/>
      <w:marLeft w:val="0"/>
      <w:marRight w:val="0"/>
      <w:marTop w:val="0"/>
      <w:marBottom w:val="0"/>
      <w:divBdr>
        <w:top w:val="none" w:sz="0" w:space="0" w:color="auto"/>
        <w:left w:val="none" w:sz="0" w:space="0" w:color="auto"/>
        <w:bottom w:val="none" w:sz="0" w:space="0" w:color="auto"/>
        <w:right w:val="none" w:sz="0" w:space="0" w:color="auto"/>
      </w:divBdr>
    </w:div>
    <w:div w:id="1751996783">
      <w:bodyDiv w:val="1"/>
      <w:marLeft w:val="0"/>
      <w:marRight w:val="0"/>
      <w:marTop w:val="0"/>
      <w:marBottom w:val="0"/>
      <w:divBdr>
        <w:top w:val="none" w:sz="0" w:space="0" w:color="auto"/>
        <w:left w:val="none" w:sz="0" w:space="0" w:color="auto"/>
        <w:bottom w:val="none" w:sz="0" w:space="0" w:color="auto"/>
        <w:right w:val="none" w:sz="0" w:space="0" w:color="auto"/>
      </w:divBdr>
    </w:div>
    <w:div w:id="1761220830">
      <w:bodyDiv w:val="1"/>
      <w:marLeft w:val="0"/>
      <w:marRight w:val="0"/>
      <w:marTop w:val="0"/>
      <w:marBottom w:val="0"/>
      <w:divBdr>
        <w:top w:val="none" w:sz="0" w:space="0" w:color="auto"/>
        <w:left w:val="none" w:sz="0" w:space="0" w:color="auto"/>
        <w:bottom w:val="none" w:sz="0" w:space="0" w:color="auto"/>
        <w:right w:val="none" w:sz="0" w:space="0" w:color="auto"/>
      </w:divBdr>
    </w:div>
    <w:div w:id="1763986338">
      <w:bodyDiv w:val="1"/>
      <w:marLeft w:val="0"/>
      <w:marRight w:val="0"/>
      <w:marTop w:val="0"/>
      <w:marBottom w:val="0"/>
      <w:divBdr>
        <w:top w:val="none" w:sz="0" w:space="0" w:color="auto"/>
        <w:left w:val="none" w:sz="0" w:space="0" w:color="auto"/>
        <w:bottom w:val="none" w:sz="0" w:space="0" w:color="auto"/>
        <w:right w:val="none" w:sz="0" w:space="0" w:color="auto"/>
      </w:divBdr>
    </w:div>
    <w:div w:id="1768502976">
      <w:bodyDiv w:val="1"/>
      <w:marLeft w:val="0"/>
      <w:marRight w:val="0"/>
      <w:marTop w:val="0"/>
      <w:marBottom w:val="0"/>
      <w:divBdr>
        <w:top w:val="none" w:sz="0" w:space="0" w:color="auto"/>
        <w:left w:val="none" w:sz="0" w:space="0" w:color="auto"/>
        <w:bottom w:val="none" w:sz="0" w:space="0" w:color="auto"/>
        <w:right w:val="none" w:sz="0" w:space="0" w:color="auto"/>
      </w:divBdr>
    </w:div>
    <w:div w:id="1768652649">
      <w:bodyDiv w:val="1"/>
      <w:marLeft w:val="0"/>
      <w:marRight w:val="0"/>
      <w:marTop w:val="0"/>
      <w:marBottom w:val="0"/>
      <w:divBdr>
        <w:top w:val="none" w:sz="0" w:space="0" w:color="auto"/>
        <w:left w:val="none" w:sz="0" w:space="0" w:color="auto"/>
        <w:bottom w:val="none" w:sz="0" w:space="0" w:color="auto"/>
        <w:right w:val="none" w:sz="0" w:space="0" w:color="auto"/>
      </w:divBdr>
    </w:div>
    <w:div w:id="1770463637">
      <w:bodyDiv w:val="1"/>
      <w:marLeft w:val="0"/>
      <w:marRight w:val="0"/>
      <w:marTop w:val="0"/>
      <w:marBottom w:val="0"/>
      <w:divBdr>
        <w:top w:val="none" w:sz="0" w:space="0" w:color="auto"/>
        <w:left w:val="none" w:sz="0" w:space="0" w:color="auto"/>
        <w:bottom w:val="none" w:sz="0" w:space="0" w:color="auto"/>
        <w:right w:val="none" w:sz="0" w:space="0" w:color="auto"/>
      </w:divBdr>
    </w:div>
    <w:div w:id="1772428632">
      <w:bodyDiv w:val="1"/>
      <w:marLeft w:val="0"/>
      <w:marRight w:val="0"/>
      <w:marTop w:val="0"/>
      <w:marBottom w:val="0"/>
      <w:divBdr>
        <w:top w:val="none" w:sz="0" w:space="0" w:color="auto"/>
        <w:left w:val="none" w:sz="0" w:space="0" w:color="auto"/>
        <w:bottom w:val="none" w:sz="0" w:space="0" w:color="auto"/>
        <w:right w:val="none" w:sz="0" w:space="0" w:color="auto"/>
      </w:divBdr>
    </w:div>
    <w:div w:id="1772629156">
      <w:bodyDiv w:val="1"/>
      <w:marLeft w:val="0"/>
      <w:marRight w:val="0"/>
      <w:marTop w:val="0"/>
      <w:marBottom w:val="0"/>
      <w:divBdr>
        <w:top w:val="none" w:sz="0" w:space="0" w:color="auto"/>
        <w:left w:val="none" w:sz="0" w:space="0" w:color="auto"/>
        <w:bottom w:val="none" w:sz="0" w:space="0" w:color="auto"/>
        <w:right w:val="none" w:sz="0" w:space="0" w:color="auto"/>
      </w:divBdr>
    </w:div>
    <w:div w:id="1772823503">
      <w:bodyDiv w:val="1"/>
      <w:marLeft w:val="0"/>
      <w:marRight w:val="0"/>
      <w:marTop w:val="0"/>
      <w:marBottom w:val="0"/>
      <w:divBdr>
        <w:top w:val="none" w:sz="0" w:space="0" w:color="auto"/>
        <w:left w:val="none" w:sz="0" w:space="0" w:color="auto"/>
        <w:bottom w:val="none" w:sz="0" w:space="0" w:color="auto"/>
        <w:right w:val="none" w:sz="0" w:space="0" w:color="auto"/>
      </w:divBdr>
    </w:div>
    <w:div w:id="1778717985">
      <w:bodyDiv w:val="1"/>
      <w:marLeft w:val="0"/>
      <w:marRight w:val="0"/>
      <w:marTop w:val="0"/>
      <w:marBottom w:val="0"/>
      <w:divBdr>
        <w:top w:val="none" w:sz="0" w:space="0" w:color="auto"/>
        <w:left w:val="none" w:sz="0" w:space="0" w:color="auto"/>
        <w:bottom w:val="none" w:sz="0" w:space="0" w:color="auto"/>
        <w:right w:val="none" w:sz="0" w:space="0" w:color="auto"/>
      </w:divBdr>
    </w:div>
    <w:div w:id="1782218172">
      <w:bodyDiv w:val="1"/>
      <w:marLeft w:val="0"/>
      <w:marRight w:val="0"/>
      <w:marTop w:val="0"/>
      <w:marBottom w:val="0"/>
      <w:divBdr>
        <w:top w:val="none" w:sz="0" w:space="0" w:color="auto"/>
        <w:left w:val="none" w:sz="0" w:space="0" w:color="auto"/>
        <w:bottom w:val="none" w:sz="0" w:space="0" w:color="auto"/>
        <w:right w:val="none" w:sz="0" w:space="0" w:color="auto"/>
      </w:divBdr>
    </w:div>
    <w:div w:id="1784687883">
      <w:bodyDiv w:val="1"/>
      <w:marLeft w:val="0"/>
      <w:marRight w:val="0"/>
      <w:marTop w:val="0"/>
      <w:marBottom w:val="0"/>
      <w:divBdr>
        <w:top w:val="none" w:sz="0" w:space="0" w:color="auto"/>
        <w:left w:val="none" w:sz="0" w:space="0" w:color="auto"/>
        <w:bottom w:val="none" w:sz="0" w:space="0" w:color="auto"/>
        <w:right w:val="none" w:sz="0" w:space="0" w:color="auto"/>
      </w:divBdr>
    </w:div>
    <w:div w:id="1787116410">
      <w:bodyDiv w:val="1"/>
      <w:marLeft w:val="0"/>
      <w:marRight w:val="0"/>
      <w:marTop w:val="0"/>
      <w:marBottom w:val="0"/>
      <w:divBdr>
        <w:top w:val="none" w:sz="0" w:space="0" w:color="auto"/>
        <w:left w:val="none" w:sz="0" w:space="0" w:color="auto"/>
        <w:bottom w:val="none" w:sz="0" w:space="0" w:color="auto"/>
        <w:right w:val="none" w:sz="0" w:space="0" w:color="auto"/>
      </w:divBdr>
    </w:div>
    <w:div w:id="1788889416">
      <w:bodyDiv w:val="1"/>
      <w:marLeft w:val="0"/>
      <w:marRight w:val="0"/>
      <w:marTop w:val="0"/>
      <w:marBottom w:val="0"/>
      <w:divBdr>
        <w:top w:val="none" w:sz="0" w:space="0" w:color="auto"/>
        <w:left w:val="none" w:sz="0" w:space="0" w:color="auto"/>
        <w:bottom w:val="none" w:sz="0" w:space="0" w:color="auto"/>
        <w:right w:val="none" w:sz="0" w:space="0" w:color="auto"/>
      </w:divBdr>
    </w:div>
    <w:div w:id="1788889859">
      <w:bodyDiv w:val="1"/>
      <w:marLeft w:val="0"/>
      <w:marRight w:val="0"/>
      <w:marTop w:val="0"/>
      <w:marBottom w:val="0"/>
      <w:divBdr>
        <w:top w:val="none" w:sz="0" w:space="0" w:color="auto"/>
        <w:left w:val="none" w:sz="0" w:space="0" w:color="auto"/>
        <w:bottom w:val="none" w:sz="0" w:space="0" w:color="auto"/>
        <w:right w:val="none" w:sz="0" w:space="0" w:color="auto"/>
      </w:divBdr>
    </w:div>
    <w:div w:id="1802192705">
      <w:bodyDiv w:val="1"/>
      <w:marLeft w:val="0"/>
      <w:marRight w:val="0"/>
      <w:marTop w:val="0"/>
      <w:marBottom w:val="0"/>
      <w:divBdr>
        <w:top w:val="none" w:sz="0" w:space="0" w:color="auto"/>
        <w:left w:val="none" w:sz="0" w:space="0" w:color="auto"/>
        <w:bottom w:val="none" w:sz="0" w:space="0" w:color="auto"/>
        <w:right w:val="none" w:sz="0" w:space="0" w:color="auto"/>
      </w:divBdr>
    </w:div>
    <w:div w:id="1802457217">
      <w:bodyDiv w:val="1"/>
      <w:marLeft w:val="0"/>
      <w:marRight w:val="0"/>
      <w:marTop w:val="0"/>
      <w:marBottom w:val="0"/>
      <w:divBdr>
        <w:top w:val="none" w:sz="0" w:space="0" w:color="auto"/>
        <w:left w:val="none" w:sz="0" w:space="0" w:color="auto"/>
        <w:bottom w:val="none" w:sz="0" w:space="0" w:color="auto"/>
        <w:right w:val="none" w:sz="0" w:space="0" w:color="auto"/>
      </w:divBdr>
    </w:div>
    <w:div w:id="1803305906">
      <w:bodyDiv w:val="1"/>
      <w:marLeft w:val="0"/>
      <w:marRight w:val="0"/>
      <w:marTop w:val="0"/>
      <w:marBottom w:val="0"/>
      <w:divBdr>
        <w:top w:val="none" w:sz="0" w:space="0" w:color="auto"/>
        <w:left w:val="none" w:sz="0" w:space="0" w:color="auto"/>
        <w:bottom w:val="none" w:sz="0" w:space="0" w:color="auto"/>
        <w:right w:val="none" w:sz="0" w:space="0" w:color="auto"/>
      </w:divBdr>
    </w:div>
    <w:div w:id="1808353487">
      <w:bodyDiv w:val="1"/>
      <w:marLeft w:val="0"/>
      <w:marRight w:val="0"/>
      <w:marTop w:val="0"/>
      <w:marBottom w:val="0"/>
      <w:divBdr>
        <w:top w:val="none" w:sz="0" w:space="0" w:color="auto"/>
        <w:left w:val="none" w:sz="0" w:space="0" w:color="auto"/>
        <w:bottom w:val="none" w:sz="0" w:space="0" w:color="auto"/>
        <w:right w:val="none" w:sz="0" w:space="0" w:color="auto"/>
      </w:divBdr>
    </w:div>
    <w:div w:id="1824734445">
      <w:bodyDiv w:val="1"/>
      <w:marLeft w:val="0"/>
      <w:marRight w:val="0"/>
      <w:marTop w:val="0"/>
      <w:marBottom w:val="0"/>
      <w:divBdr>
        <w:top w:val="none" w:sz="0" w:space="0" w:color="auto"/>
        <w:left w:val="none" w:sz="0" w:space="0" w:color="auto"/>
        <w:bottom w:val="none" w:sz="0" w:space="0" w:color="auto"/>
        <w:right w:val="none" w:sz="0" w:space="0" w:color="auto"/>
      </w:divBdr>
    </w:div>
    <w:div w:id="1825582208">
      <w:bodyDiv w:val="1"/>
      <w:marLeft w:val="0"/>
      <w:marRight w:val="0"/>
      <w:marTop w:val="0"/>
      <w:marBottom w:val="0"/>
      <w:divBdr>
        <w:top w:val="none" w:sz="0" w:space="0" w:color="auto"/>
        <w:left w:val="none" w:sz="0" w:space="0" w:color="auto"/>
        <w:bottom w:val="none" w:sz="0" w:space="0" w:color="auto"/>
        <w:right w:val="none" w:sz="0" w:space="0" w:color="auto"/>
      </w:divBdr>
    </w:div>
    <w:div w:id="1829175332">
      <w:bodyDiv w:val="1"/>
      <w:marLeft w:val="0"/>
      <w:marRight w:val="0"/>
      <w:marTop w:val="0"/>
      <w:marBottom w:val="0"/>
      <w:divBdr>
        <w:top w:val="none" w:sz="0" w:space="0" w:color="auto"/>
        <w:left w:val="none" w:sz="0" w:space="0" w:color="auto"/>
        <w:bottom w:val="none" w:sz="0" w:space="0" w:color="auto"/>
        <w:right w:val="none" w:sz="0" w:space="0" w:color="auto"/>
      </w:divBdr>
    </w:div>
    <w:div w:id="1830243667">
      <w:bodyDiv w:val="1"/>
      <w:marLeft w:val="0"/>
      <w:marRight w:val="0"/>
      <w:marTop w:val="0"/>
      <w:marBottom w:val="0"/>
      <w:divBdr>
        <w:top w:val="none" w:sz="0" w:space="0" w:color="auto"/>
        <w:left w:val="none" w:sz="0" w:space="0" w:color="auto"/>
        <w:bottom w:val="none" w:sz="0" w:space="0" w:color="auto"/>
        <w:right w:val="none" w:sz="0" w:space="0" w:color="auto"/>
      </w:divBdr>
    </w:div>
    <w:div w:id="1830367344">
      <w:bodyDiv w:val="1"/>
      <w:marLeft w:val="0"/>
      <w:marRight w:val="0"/>
      <w:marTop w:val="0"/>
      <w:marBottom w:val="0"/>
      <w:divBdr>
        <w:top w:val="none" w:sz="0" w:space="0" w:color="auto"/>
        <w:left w:val="none" w:sz="0" w:space="0" w:color="auto"/>
        <w:bottom w:val="none" w:sz="0" w:space="0" w:color="auto"/>
        <w:right w:val="none" w:sz="0" w:space="0" w:color="auto"/>
      </w:divBdr>
    </w:div>
    <w:div w:id="1830634869">
      <w:bodyDiv w:val="1"/>
      <w:marLeft w:val="0"/>
      <w:marRight w:val="0"/>
      <w:marTop w:val="0"/>
      <w:marBottom w:val="0"/>
      <w:divBdr>
        <w:top w:val="none" w:sz="0" w:space="0" w:color="auto"/>
        <w:left w:val="none" w:sz="0" w:space="0" w:color="auto"/>
        <w:bottom w:val="none" w:sz="0" w:space="0" w:color="auto"/>
        <w:right w:val="none" w:sz="0" w:space="0" w:color="auto"/>
      </w:divBdr>
    </w:div>
    <w:div w:id="1830825414">
      <w:bodyDiv w:val="1"/>
      <w:marLeft w:val="0"/>
      <w:marRight w:val="0"/>
      <w:marTop w:val="0"/>
      <w:marBottom w:val="0"/>
      <w:divBdr>
        <w:top w:val="none" w:sz="0" w:space="0" w:color="auto"/>
        <w:left w:val="none" w:sz="0" w:space="0" w:color="auto"/>
        <w:bottom w:val="none" w:sz="0" w:space="0" w:color="auto"/>
        <w:right w:val="none" w:sz="0" w:space="0" w:color="auto"/>
      </w:divBdr>
    </w:div>
    <w:div w:id="1833986480">
      <w:bodyDiv w:val="1"/>
      <w:marLeft w:val="0"/>
      <w:marRight w:val="0"/>
      <w:marTop w:val="0"/>
      <w:marBottom w:val="0"/>
      <w:divBdr>
        <w:top w:val="none" w:sz="0" w:space="0" w:color="auto"/>
        <w:left w:val="none" w:sz="0" w:space="0" w:color="auto"/>
        <w:bottom w:val="none" w:sz="0" w:space="0" w:color="auto"/>
        <w:right w:val="none" w:sz="0" w:space="0" w:color="auto"/>
      </w:divBdr>
    </w:div>
    <w:div w:id="1834442490">
      <w:bodyDiv w:val="1"/>
      <w:marLeft w:val="0"/>
      <w:marRight w:val="0"/>
      <w:marTop w:val="0"/>
      <w:marBottom w:val="0"/>
      <w:divBdr>
        <w:top w:val="none" w:sz="0" w:space="0" w:color="auto"/>
        <w:left w:val="none" w:sz="0" w:space="0" w:color="auto"/>
        <w:bottom w:val="none" w:sz="0" w:space="0" w:color="auto"/>
        <w:right w:val="none" w:sz="0" w:space="0" w:color="auto"/>
      </w:divBdr>
    </w:div>
    <w:div w:id="1841654691">
      <w:bodyDiv w:val="1"/>
      <w:marLeft w:val="0"/>
      <w:marRight w:val="0"/>
      <w:marTop w:val="0"/>
      <w:marBottom w:val="0"/>
      <w:divBdr>
        <w:top w:val="none" w:sz="0" w:space="0" w:color="auto"/>
        <w:left w:val="none" w:sz="0" w:space="0" w:color="auto"/>
        <w:bottom w:val="none" w:sz="0" w:space="0" w:color="auto"/>
        <w:right w:val="none" w:sz="0" w:space="0" w:color="auto"/>
      </w:divBdr>
    </w:div>
    <w:div w:id="1847594348">
      <w:bodyDiv w:val="1"/>
      <w:marLeft w:val="0"/>
      <w:marRight w:val="0"/>
      <w:marTop w:val="0"/>
      <w:marBottom w:val="0"/>
      <w:divBdr>
        <w:top w:val="none" w:sz="0" w:space="0" w:color="auto"/>
        <w:left w:val="none" w:sz="0" w:space="0" w:color="auto"/>
        <w:bottom w:val="none" w:sz="0" w:space="0" w:color="auto"/>
        <w:right w:val="none" w:sz="0" w:space="0" w:color="auto"/>
      </w:divBdr>
    </w:div>
    <w:div w:id="1854682927">
      <w:bodyDiv w:val="1"/>
      <w:marLeft w:val="0"/>
      <w:marRight w:val="0"/>
      <w:marTop w:val="0"/>
      <w:marBottom w:val="0"/>
      <w:divBdr>
        <w:top w:val="none" w:sz="0" w:space="0" w:color="auto"/>
        <w:left w:val="none" w:sz="0" w:space="0" w:color="auto"/>
        <w:bottom w:val="none" w:sz="0" w:space="0" w:color="auto"/>
        <w:right w:val="none" w:sz="0" w:space="0" w:color="auto"/>
      </w:divBdr>
    </w:div>
    <w:div w:id="1862160213">
      <w:bodyDiv w:val="1"/>
      <w:marLeft w:val="0"/>
      <w:marRight w:val="0"/>
      <w:marTop w:val="0"/>
      <w:marBottom w:val="0"/>
      <w:divBdr>
        <w:top w:val="none" w:sz="0" w:space="0" w:color="auto"/>
        <w:left w:val="none" w:sz="0" w:space="0" w:color="auto"/>
        <w:bottom w:val="none" w:sz="0" w:space="0" w:color="auto"/>
        <w:right w:val="none" w:sz="0" w:space="0" w:color="auto"/>
      </w:divBdr>
    </w:div>
    <w:div w:id="1862622321">
      <w:bodyDiv w:val="1"/>
      <w:marLeft w:val="0"/>
      <w:marRight w:val="0"/>
      <w:marTop w:val="0"/>
      <w:marBottom w:val="0"/>
      <w:divBdr>
        <w:top w:val="none" w:sz="0" w:space="0" w:color="auto"/>
        <w:left w:val="none" w:sz="0" w:space="0" w:color="auto"/>
        <w:bottom w:val="none" w:sz="0" w:space="0" w:color="auto"/>
        <w:right w:val="none" w:sz="0" w:space="0" w:color="auto"/>
      </w:divBdr>
    </w:div>
    <w:div w:id="1866209181">
      <w:bodyDiv w:val="1"/>
      <w:marLeft w:val="0"/>
      <w:marRight w:val="0"/>
      <w:marTop w:val="0"/>
      <w:marBottom w:val="0"/>
      <w:divBdr>
        <w:top w:val="none" w:sz="0" w:space="0" w:color="auto"/>
        <w:left w:val="none" w:sz="0" w:space="0" w:color="auto"/>
        <w:bottom w:val="none" w:sz="0" w:space="0" w:color="auto"/>
        <w:right w:val="none" w:sz="0" w:space="0" w:color="auto"/>
      </w:divBdr>
    </w:div>
    <w:div w:id="1866819260">
      <w:bodyDiv w:val="1"/>
      <w:marLeft w:val="0"/>
      <w:marRight w:val="0"/>
      <w:marTop w:val="0"/>
      <w:marBottom w:val="0"/>
      <w:divBdr>
        <w:top w:val="none" w:sz="0" w:space="0" w:color="auto"/>
        <w:left w:val="none" w:sz="0" w:space="0" w:color="auto"/>
        <w:bottom w:val="none" w:sz="0" w:space="0" w:color="auto"/>
        <w:right w:val="none" w:sz="0" w:space="0" w:color="auto"/>
      </w:divBdr>
    </w:div>
    <w:div w:id="1867252935">
      <w:bodyDiv w:val="1"/>
      <w:marLeft w:val="0"/>
      <w:marRight w:val="0"/>
      <w:marTop w:val="0"/>
      <w:marBottom w:val="0"/>
      <w:divBdr>
        <w:top w:val="none" w:sz="0" w:space="0" w:color="auto"/>
        <w:left w:val="none" w:sz="0" w:space="0" w:color="auto"/>
        <w:bottom w:val="none" w:sz="0" w:space="0" w:color="auto"/>
        <w:right w:val="none" w:sz="0" w:space="0" w:color="auto"/>
      </w:divBdr>
    </w:div>
    <w:div w:id="1876768087">
      <w:bodyDiv w:val="1"/>
      <w:marLeft w:val="0"/>
      <w:marRight w:val="0"/>
      <w:marTop w:val="0"/>
      <w:marBottom w:val="0"/>
      <w:divBdr>
        <w:top w:val="none" w:sz="0" w:space="0" w:color="auto"/>
        <w:left w:val="none" w:sz="0" w:space="0" w:color="auto"/>
        <w:bottom w:val="none" w:sz="0" w:space="0" w:color="auto"/>
        <w:right w:val="none" w:sz="0" w:space="0" w:color="auto"/>
      </w:divBdr>
      <w:divsChild>
        <w:div w:id="462041418">
          <w:marLeft w:val="547"/>
          <w:marRight w:val="0"/>
          <w:marTop w:val="77"/>
          <w:marBottom w:val="0"/>
          <w:divBdr>
            <w:top w:val="none" w:sz="0" w:space="0" w:color="auto"/>
            <w:left w:val="none" w:sz="0" w:space="0" w:color="auto"/>
            <w:bottom w:val="none" w:sz="0" w:space="0" w:color="auto"/>
            <w:right w:val="none" w:sz="0" w:space="0" w:color="auto"/>
          </w:divBdr>
        </w:div>
      </w:divsChild>
    </w:div>
    <w:div w:id="1880237060">
      <w:bodyDiv w:val="1"/>
      <w:marLeft w:val="0"/>
      <w:marRight w:val="0"/>
      <w:marTop w:val="0"/>
      <w:marBottom w:val="0"/>
      <w:divBdr>
        <w:top w:val="none" w:sz="0" w:space="0" w:color="auto"/>
        <w:left w:val="none" w:sz="0" w:space="0" w:color="auto"/>
        <w:bottom w:val="none" w:sz="0" w:space="0" w:color="auto"/>
        <w:right w:val="none" w:sz="0" w:space="0" w:color="auto"/>
      </w:divBdr>
    </w:div>
    <w:div w:id="1882396155">
      <w:bodyDiv w:val="1"/>
      <w:marLeft w:val="0"/>
      <w:marRight w:val="0"/>
      <w:marTop w:val="0"/>
      <w:marBottom w:val="0"/>
      <w:divBdr>
        <w:top w:val="none" w:sz="0" w:space="0" w:color="auto"/>
        <w:left w:val="none" w:sz="0" w:space="0" w:color="auto"/>
        <w:bottom w:val="none" w:sz="0" w:space="0" w:color="auto"/>
        <w:right w:val="none" w:sz="0" w:space="0" w:color="auto"/>
      </w:divBdr>
    </w:div>
    <w:div w:id="1884322841">
      <w:bodyDiv w:val="1"/>
      <w:marLeft w:val="0"/>
      <w:marRight w:val="0"/>
      <w:marTop w:val="0"/>
      <w:marBottom w:val="0"/>
      <w:divBdr>
        <w:top w:val="none" w:sz="0" w:space="0" w:color="auto"/>
        <w:left w:val="none" w:sz="0" w:space="0" w:color="auto"/>
        <w:bottom w:val="none" w:sz="0" w:space="0" w:color="auto"/>
        <w:right w:val="none" w:sz="0" w:space="0" w:color="auto"/>
      </w:divBdr>
    </w:div>
    <w:div w:id="1885363010">
      <w:bodyDiv w:val="1"/>
      <w:marLeft w:val="0"/>
      <w:marRight w:val="0"/>
      <w:marTop w:val="0"/>
      <w:marBottom w:val="0"/>
      <w:divBdr>
        <w:top w:val="none" w:sz="0" w:space="0" w:color="auto"/>
        <w:left w:val="none" w:sz="0" w:space="0" w:color="auto"/>
        <w:bottom w:val="none" w:sz="0" w:space="0" w:color="auto"/>
        <w:right w:val="none" w:sz="0" w:space="0" w:color="auto"/>
      </w:divBdr>
    </w:div>
    <w:div w:id="1889101803">
      <w:bodyDiv w:val="1"/>
      <w:marLeft w:val="0"/>
      <w:marRight w:val="0"/>
      <w:marTop w:val="0"/>
      <w:marBottom w:val="0"/>
      <w:divBdr>
        <w:top w:val="none" w:sz="0" w:space="0" w:color="auto"/>
        <w:left w:val="none" w:sz="0" w:space="0" w:color="auto"/>
        <w:bottom w:val="none" w:sz="0" w:space="0" w:color="auto"/>
        <w:right w:val="none" w:sz="0" w:space="0" w:color="auto"/>
      </w:divBdr>
    </w:div>
    <w:div w:id="1889534689">
      <w:bodyDiv w:val="1"/>
      <w:marLeft w:val="0"/>
      <w:marRight w:val="0"/>
      <w:marTop w:val="0"/>
      <w:marBottom w:val="0"/>
      <w:divBdr>
        <w:top w:val="none" w:sz="0" w:space="0" w:color="auto"/>
        <w:left w:val="none" w:sz="0" w:space="0" w:color="auto"/>
        <w:bottom w:val="none" w:sz="0" w:space="0" w:color="auto"/>
        <w:right w:val="none" w:sz="0" w:space="0" w:color="auto"/>
      </w:divBdr>
    </w:div>
    <w:div w:id="1894268010">
      <w:bodyDiv w:val="1"/>
      <w:marLeft w:val="0"/>
      <w:marRight w:val="0"/>
      <w:marTop w:val="0"/>
      <w:marBottom w:val="0"/>
      <w:divBdr>
        <w:top w:val="none" w:sz="0" w:space="0" w:color="auto"/>
        <w:left w:val="none" w:sz="0" w:space="0" w:color="auto"/>
        <w:bottom w:val="none" w:sz="0" w:space="0" w:color="auto"/>
        <w:right w:val="none" w:sz="0" w:space="0" w:color="auto"/>
      </w:divBdr>
    </w:div>
    <w:div w:id="1899438483">
      <w:bodyDiv w:val="1"/>
      <w:marLeft w:val="0"/>
      <w:marRight w:val="0"/>
      <w:marTop w:val="0"/>
      <w:marBottom w:val="0"/>
      <w:divBdr>
        <w:top w:val="none" w:sz="0" w:space="0" w:color="auto"/>
        <w:left w:val="none" w:sz="0" w:space="0" w:color="auto"/>
        <w:bottom w:val="none" w:sz="0" w:space="0" w:color="auto"/>
        <w:right w:val="none" w:sz="0" w:space="0" w:color="auto"/>
      </w:divBdr>
    </w:div>
    <w:div w:id="1909729374">
      <w:bodyDiv w:val="1"/>
      <w:marLeft w:val="0"/>
      <w:marRight w:val="0"/>
      <w:marTop w:val="0"/>
      <w:marBottom w:val="0"/>
      <w:divBdr>
        <w:top w:val="none" w:sz="0" w:space="0" w:color="auto"/>
        <w:left w:val="none" w:sz="0" w:space="0" w:color="auto"/>
        <w:bottom w:val="none" w:sz="0" w:space="0" w:color="auto"/>
        <w:right w:val="none" w:sz="0" w:space="0" w:color="auto"/>
      </w:divBdr>
    </w:div>
    <w:div w:id="1920021438">
      <w:bodyDiv w:val="1"/>
      <w:marLeft w:val="0"/>
      <w:marRight w:val="0"/>
      <w:marTop w:val="0"/>
      <w:marBottom w:val="0"/>
      <w:divBdr>
        <w:top w:val="none" w:sz="0" w:space="0" w:color="auto"/>
        <w:left w:val="none" w:sz="0" w:space="0" w:color="auto"/>
        <w:bottom w:val="none" w:sz="0" w:space="0" w:color="auto"/>
        <w:right w:val="none" w:sz="0" w:space="0" w:color="auto"/>
      </w:divBdr>
    </w:div>
    <w:div w:id="1923710963">
      <w:bodyDiv w:val="1"/>
      <w:marLeft w:val="0"/>
      <w:marRight w:val="0"/>
      <w:marTop w:val="0"/>
      <w:marBottom w:val="0"/>
      <w:divBdr>
        <w:top w:val="none" w:sz="0" w:space="0" w:color="auto"/>
        <w:left w:val="none" w:sz="0" w:space="0" w:color="auto"/>
        <w:bottom w:val="none" w:sz="0" w:space="0" w:color="auto"/>
        <w:right w:val="none" w:sz="0" w:space="0" w:color="auto"/>
      </w:divBdr>
    </w:div>
    <w:div w:id="1924534694">
      <w:bodyDiv w:val="1"/>
      <w:marLeft w:val="0"/>
      <w:marRight w:val="0"/>
      <w:marTop w:val="0"/>
      <w:marBottom w:val="0"/>
      <w:divBdr>
        <w:top w:val="none" w:sz="0" w:space="0" w:color="auto"/>
        <w:left w:val="none" w:sz="0" w:space="0" w:color="auto"/>
        <w:bottom w:val="none" w:sz="0" w:space="0" w:color="auto"/>
        <w:right w:val="none" w:sz="0" w:space="0" w:color="auto"/>
      </w:divBdr>
    </w:div>
    <w:div w:id="1928222617">
      <w:bodyDiv w:val="1"/>
      <w:marLeft w:val="0"/>
      <w:marRight w:val="0"/>
      <w:marTop w:val="0"/>
      <w:marBottom w:val="0"/>
      <w:divBdr>
        <w:top w:val="none" w:sz="0" w:space="0" w:color="auto"/>
        <w:left w:val="none" w:sz="0" w:space="0" w:color="auto"/>
        <w:bottom w:val="none" w:sz="0" w:space="0" w:color="auto"/>
        <w:right w:val="none" w:sz="0" w:space="0" w:color="auto"/>
      </w:divBdr>
    </w:div>
    <w:div w:id="1928230980">
      <w:bodyDiv w:val="1"/>
      <w:marLeft w:val="0"/>
      <w:marRight w:val="0"/>
      <w:marTop w:val="0"/>
      <w:marBottom w:val="0"/>
      <w:divBdr>
        <w:top w:val="none" w:sz="0" w:space="0" w:color="auto"/>
        <w:left w:val="none" w:sz="0" w:space="0" w:color="auto"/>
        <w:bottom w:val="none" w:sz="0" w:space="0" w:color="auto"/>
        <w:right w:val="none" w:sz="0" w:space="0" w:color="auto"/>
      </w:divBdr>
    </w:div>
    <w:div w:id="1933777462">
      <w:bodyDiv w:val="1"/>
      <w:marLeft w:val="0"/>
      <w:marRight w:val="0"/>
      <w:marTop w:val="0"/>
      <w:marBottom w:val="0"/>
      <w:divBdr>
        <w:top w:val="none" w:sz="0" w:space="0" w:color="auto"/>
        <w:left w:val="none" w:sz="0" w:space="0" w:color="auto"/>
        <w:bottom w:val="none" w:sz="0" w:space="0" w:color="auto"/>
        <w:right w:val="none" w:sz="0" w:space="0" w:color="auto"/>
      </w:divBdr>
    </w:div>
    <w:div w:id="1943108802">
      <w:bodyDiv w:val="1"/>
      <w:marLeft w:val="0"/>
      <w:marRight w:val="0"/>
      <w:marTop w:val="0"/>
      <w:marBottom w:val="0"/>
      <w:divBdr>
        <w:top w:val="none" w:sz="0" w:space="0" w:color="auto"/>
        <w:left w:val="none" w:sz="0" w:space="0" w:color="auto"/>
        <w:bottom w:val="none" w:sz="0" w:space="0" w:color="auto"/>
        <w:right w:val="none" w:sz="0" w:space="0" w:color="auto"/>
      </w:divBdr>
    </w:div>
    <w:div w:id="1944725190">
      <w:bodyDiv w:val="1"/>
      <w:marLeft w:val="0"/>
      <w:marRight w:val="0"/>
      <w:marTop w:val="0"/>
      <w:marBottom w:val="0"/>
      <w:divBdr>
        <w:top w:val="none" w:sz="0" w:space="0" w:color="auto"/>
        <w:left w:val="none" w:sz="0" w:space="0" w:color="auto"/>
        <w:bottom w:val="none" w:sz="0" w:space="0" w:color="auto"/>
        <w:right w:val="none" w:sz="0" w:space="0" w:color="auto"/>
      </w:divBdr>
    </w:div>
    <w:div w:id="1950577476">
      <w:bodyDiv w:val="1"/>
      <w:marLeft w:val="0"/>
      <w:marRight w:val="0"/>
      <w:marTop w:val="0"/>
      <w:marBottom w:val="0"/>
      <w:divBdr>
        <w:top w:val="none" w:sz="0" w:space="0" w:color="auto"/>
        <w:left w:val="none" w:sz="0" w:space="0" w:color="auto"/>
        <w:bottom w:val="none" w:sz="0" w:space="0" w:color="auto"/>
        <w:right w:val="none" w:sz="0" w:space="0" w:color="auto"/>
      </w:divBdr>
    </w:div>
    <w:div w:id="1952978321">
      <w:bodyDiv w:val="1"/>
      <w:marLeft w:val="0"/>
      <w:marRight w:val="0"/>
      <w:marTop w:val="0"/>
      <w:marBottom w:val="0"/>
      <w:divBdr>
        <w:top w:val="none" w:sz="0" w:space="0" w:color="auto"/>
        <w:left w:val="none" w:sz="0" w:space="0" w:color="auto"/>
        <w:bottom w:val="none" w:sz="0" w:space="0" w:color="auto"/>
        <w:right w:val="none" w:sz="0" w:space="0" w:color="auto"/>
      </w:divBdr>
    </w:div>
    <w:div w:id="1954169371">
      <w:bodyDiv w:val="1"/>
      <w:marLeft w:val="0"/>
      <w:marRight w:val="0"/>
      <w:marTop w:val="0"/>
      <w:marBottom w:val="0"/>
      <w:divBdr>
        <w:top w:val="none" w:sz="0" w:space="0" w:color="auto"/>
        <w:left w:val="none" w:sz="0" w:space="0" w:color="auto"/>
        <w:bottom w:val="none" w:sz="0" w:space="0" w:color="auto"/>
        <w:right w:val="none" w:sz="0" w:space="0" w:color="auto"/>
      </w:divBdr>
    </w:div>
    <w:div w:id="1967201261">
      <w:bodyDiv w:val="1"/>
      <w:marLeft w:val="0"/>
      <w:marRight w:val="0"/>
      <w:marTop w:val="0"/>
      <w:marBottom w:val="0"/>
      <w:divBdr>
        <w:top w:val="none" w:sz="0" w:space="0" w:color="auto"/>
        <w:left w:val="none" w:sz="0" w:space="0" w:color="auto"/>
        <w:bottom w:val="none" w:sz="0" w:space="0" w:color="auto"/>
        <w:right w:val="none" w:sz="0" w:space="0" w:color="auto"/>
      </w:divBdr>
    </w:div>
    <w:div w:id="1970086808">
      <w:bodyDiv w:val="1"/>
      <w:marLeft w:val="0"/>
      <w:marRight w:val="0"/>
      <w:marTop w:val="0"/>
      <w:marBottom w:val="0"/>
      <w:divBdr>
        <w:top w:val="none" w:sz="0" w:space="0" w:color="auto"/>
        <w:left w:val="none" w:sz="0" w:space="0" w:color="auto"/>
        <w:bottom w:val="none" w:sz="0" w:space="0" w:color="auto"/>
        <w:right w:val="none" w:sz="0" w:space="0" w:color="auto"/>
      </w:divBdr>
    </w:div>
    <w:div w:id="1976597346">
      <w:bodyDiv w:val="1"/>
      <w:marLeft w:val="0"/>
      <w:marRight w:val="0"/>
      <w:marTop w:val="0"/>
      <w:marBottom w:val="0"/>
      <w:divBdr>
        <w:top w:val="none" w:sz="0" w:space="0" w:color="auto"/>
        <w:left w:val="none" w:sz="0" w:space="0" w:color="auto"/>
        <w:bottom w:val="none" w:sz="0" w:space="0" w:color="auto"/>
        <w:right w:val="none" w:sz="0" w:space="0" w:color="auto"/>
      </w:divBdr>
    </w:div>
    <w:div w:id="1980108800">
      <w:bodyDiv w:val="1"/>
      <w:marLeft w:val="0"/>
      <w:marRight w:val="0"/>
      <w:marTop w:val="0"/>
      <w:marBottom w:val="0"/>
      <w:divBdr>
        <w:top w:val="none" w:sz="0" w:space="0" w:color="auto"/>
        <w:left w:val="none" w:sz="0" w:space="0" w:color="auto"/>
        <w:bottom w:val="none" w:sz="0" w:space="0" w:color="auto"/>
        <w:right w:val="none" w:sz="0" w:space="0" w:color="auto"/>
      </w:divBdr>
    </w:div>
    <w:div w:id="1980576843">
      <w:bodyDiv w:val="1"/>
      <w:marLeft w:val="0"/>
      <w:marRight w:val="0"/>
      <w:marTop w:val="0"/>
      <w:marBottom w:val="0"/>
      <w:divBdr>
        <w:top w:val="none" w:sz="0" w:space="0" w:color="auto"/>
        <w:left w:val="none" w:sz="0" w:space="0" w:color="auto"/>
        <w:bottom w:val="none" w:sz="0" w:space="0" w:color="auto"/>
        <w:right w:val="none" w:sz="0" w:space="0" w:color="auto"/>
      </w:divBdr>
    </w:div>
    <w:div w:id="1983074271">
      <w:bodyDiv w:val="1"/>
      <w:marLeft w:val="0"/>
      <w:marRight w:val="0"/>
      <w:marTop w:val="0"/>
      <w:marBottom w:val="0"/>
      <w:divBdr>
        <w:top w:val="none" w:sz="0" w:space="0" w:color="auto"/>
        <w:left w:val="none" w:sz="0" w:space="0" w:color="auto"/>
        <w:bottom w:val="none" w:sz="0" w:space="0" w:color="auto"/>
        <w:right w:val="none" w:sz="0" w:space="0" w:color="auto"/>
      </w:divBdr>
    </w:div>
    <w:div w:id="1986886080">
      <w:bodyDiv w:val="1"/>
      <w:marLeft w:val="0"/>
      <w:marRight w:val="0"/>
      <w:marTop w:val="0"/>
      <w:marBottom w:val="0"/>
      <w:divBdr>
        <w:top w:val="none" w:sz="0" w:space="0" w:color="auto"/>
        <w:left w:val="none" w:sz="0" w:space="0" w:color="auto"/>
        <w:bottom w:val="none" w:sz="0" w:space="0" w:color="auto"/>
        <w:right w:val="none" w:sz="0" w:space="0" w:color="auto"/>
      </w:divBdr>
    </w:div>
    <w:div w:id="1991012912">
      <w:bodyDiv w:val="1"/>
      <w:marLeft w:val="0"/>
      <w:marRight w:val="0"/>
      <w:marTop w:val="0"/>
      <w:marBottom w:val="0"/>
      <w:divBdr>
        <w:top w:val="none" w:sz="0" w:space="0" w:color="auto"/>
        <w:left w:val="none" w:sz="0" w:space="0" w:color="auto"/>
        <w:bottom w:val="none" w:sz="0" w:space="0" w:color="auto"/>
        <w:right w:val="none" w:sz="0" w:space="0" w:color="auto"/>
      </w:divBdr>
    </w:div>
    <w:div w:id="1991131071">
      <w:bodyDiv w:val="1"/>
      <w:marLeft w:val="0"/>
      <w:marRight w:val="0"/>
      <w:marTop w:val="0"/>
      <w:marBottom w:val="0"/>
      <w:divBdr>
        <w:top w:val="none" w:sz="0" w:space="0" w:color="auto"/>
        <w:left w:val="none" w:sz="0" w:space="0" w:color="auto"/>
        <w:bottom w:val="none" w:sz="0" w:space="0" w:color="auto"/>
        <w:right w:val="none" w:sz="0" w:space="0" w:color="auto"/>
      </w:divBdr>
    </w:div>
    <w:div w:id="1992908168">
      <w:bodyDiv w:val="1"/>
      <w:marLeft w:val="0"/>
      <w:marRight w:val="0"/>
      <w:marTop w:val="0"/>
      <w:marBottom w:val="0"/>
      <w:divBdr>
        <w:top w:val="none" w:sz="0" w:space="0" w:color="auto"/>
        <w:left w:val="none" w:sz="0" w:space="0" w:color="auto"/>
        <w:bottom w:val="none" w:sz="0" w:space="0" w:color="auto"/>
        <w:right w:val="none" w:sz="0" w:space="0" w:color="auto"/>
      </w:divBdr>
    </w:div>
    <w:div w:id="1993633724">
      <w:bodyDiv w:val="1"/>
      <w:marLeft w:val="0"/>
      <w:marRight w:val="0"/>
      <w:marTop w:val="0"/>
      <w:marBottom w:val="0"/>
      <w:divBdr>
        <w:top w:val="none" w:sz="0" w:space="0" w:color="auto"/>
        <w:left w:val="none" w:sz="0" w:space="0" w:color="auto"/>
        <w:bottom w:val="none" w:sz="0" w:space="0" w:color="auto"/>
        <w:right w:val="none" w:sz="0" w:space="0" w:color="auto"/>
      </w:divBdr>
    </w:div>
    <w:div w:id="1997760735">
      <w:bodyDiv w:val="1"/>
      <w:marLeft w:val="0"/>
      <w:marRight w:val="0"/>
      <w:marTop w:val="0"/>
      <w:marBottom w:val="0"/>
      <w:divBdr>
        <w:top w:val="none" w:sz="0" w:space="0" w:color="auto"/>
        <w:left w:val="none" w:sz="0" w:space="0" w:color="auto"/>
        <w:bottom w:val="none" w:sz="0" w:space="0" w:color="auto"/>
        <w:right w:val="none" w:sz="0" w:space="0" w:color="auto"/>
      </w:divBdr>
    </w:div>
    <w:div w:id="2002075864">
      <w:bodyDiv w:val="1"/>
      <w:marLeft w:val="0"/>
      <w:marRight w:val="0"/>
      <w:marTop w:val="0"/>
      <w:marBottom w:val="0"/>
      <w:divBdr>
        <w:top w:val="none" w:sz="0" w:space="0" w:color="auto"/>
        <w:left w:val="none" w:sz="0" w:space="0" w:color="auto"/>
        <w:bottom w:val="none" w:sz="0" w:space="0" w:color="auto"/>
        <w:right w:val="none" w:sz="0" w:space="0" w:color="auto"/>
      </w:divBdr>
    </w:div>
    <w:div w:id="2022730873">
      <w:bodyDiv w:val="1"/>
      <w:marLeft w:val="0"/>
      <w:marRight w:val="0"/>
      <w:marTop w:val="0"/>
      <w:marBottom w:val="0"/>
      <w:divBdr>
        <w:top w:val="none" w:sz="0" w:space="0" w:color="auto"/>
        <w:left w:val="none" w:sz="0" w:space="0" w:color="auto"/>
        <w:bottom w:val="none" w:sz="0" w:space="0" w:color="auto"/>
        <w:right w:val="none" w:sz="0" w:space="0" w:color="auto"/>
      </w:divBdr>
    </w:div>
    <w:div w:id="2025207257">
      <w:bodyDiv w:val="1"/>
      <w:marLeft w:val="0"/>
      <w:marRight w:val="0"/>
      <w:marTop w:val="0"/>
      <w:marBottom w:val="0"/>
      <w:divBdr>
        <w:top w:val="none" w:sz="0" w:space="0" w:color="auto"/>
        <w:left w:val="none" w:sz="0" w:space="0" w:color="auto"/>
        <w:bottom w:val="none" w:sz="0" w:space="0" w:color="auto"/>
        <w:right w:val="none" w:sz="0" w:space="0" w:color="auto"/>
      </w:divBdr>
    </w:div>
    <w:div w:id="2026714435">
      <w:bodyDiv w:val="1"/>
      <w:marLeft w:val="0"/>
      <w:marRight w:val="0"/>
      <w:marTop w:val="0"/>
      <w:marBottom w:val="0"/>
      <w:divBdr>
        <w:top w:val="none" w:sz="0" w:space="0" w:color="auto"/>
        <w:left w:val="none" w:sz="0" w:space="0" w:color="auto"/>
        <w:bottom w:val="none" w:sz="0" w:space="0" w:color="auto"/>
        <w:right w:val="none" w:sz="0" w:space="0" w:color="auto"/>
      </w:divBdr>
    </w:div>
    <w:div w:id="2030372656">
      <w:bodyDiv w:val="1"/>
      <w:marLeft w:val="0"/>
      <w:marRight w:val="0"/>
      <w:marTop w:val="0"/>
      <w:marBottom w:val="0"/>
      <w:divBdr>
        <w:top w:val="none" w:sz="0" w:space="0" w:color="auto"/>
        <w:left w:val="none" w:sz="0" w:space="0" w:color="auto"/>
        <w:bottom w:val="none" w:sz="0" w:space="0" w:color="auto"/>
        <w:right w:val="none" w:sz="0" w:space="0" w:color="auto"/>
      </w:divBdr>
    </w:div>
    <w:div w:id="2033336478">
      <w:bodyDiv w:val="1"/>
      <w:marLeft w:val="0"/>
      <w:marRight w:val="0"/>
      <w:marTop w:val="0"/>
      <w:marBottom w:val="0"/>
      <w:divBdr>
        <w:top w:val="none" w:sz="0" w:space="0" w:color="auto"/>
        <w:left w:val="none" w:sz="0" w:space="0" w:color="auto"/>
        <w:bottom w:val="none" w:sz="0" w:space="0" w:color="auto"/>
        <w:right w:val="none" w:sz="0" w:space="0" w:color="auto"/>
      </w:divBdr>
    </w:div>
    <w:div w:id="2034913383">
      <w:bodyDiv w:val="1"/>
      <w:marLeft w:val="0"/>
      <w:marRight w:val="0"/>
      <w:marTop w:val="0"/>
      <w:marBottom w:val="0"/>
      <w:divBdr>
        <w:top w:val="none" w:sz="0" w:space="0" w:color="auto"/>
        <w:left w:val="none" w:sz="0" w:space="0" w:color="auto"/>
        <w:bottom w:val="none" w:sz="0" w:space="0" w:color="auto"/>
        <w:right w:val="none" w:sz="0" w:space="0" w:color="auto"/>
      </w:divBdr>
    </w:div>
    <w:div w:id="2036685163">
      <w:bodyDiv w:val="1"/>
      <w:marLeft w:val="0"/>
      <w:marRight w:val="0"/>
      <w:marTop w:val="0"/>
      <w:marBottom w:val="0"/>
      <w:divBdr>
        <w:top w:val="none" w:sz="0" w:space="0" w:color="auto"/>
        <w:left w:val="none" w:sz="0" w:space="0" w:color="auto"/>
        <w:bottom w:val="none" w:sz="0" w:space="0" w:color="auto"/>
        <w:right w:val="none" w:sz="0" w:space="0" w:color="auto"/>
      </w:divBdr>
    </w:div>
    <w:div w:id="2037847982">
      <w:bodyDiv w:val="1"/>
      <w:marLeft w:val="0"/>
      <w:marRight w:val="0"/>
      <w:marTop w:val="0"/>
      <w:marBottom w:val="0"/>
      <w:divBdr>
        <w:top w:val="none" w:sz="0" w:space="0" w:color="auto"/>
        <w:left w:val="none" w:sz="0" w:space="0" w:color="auto"/>
        <w:bottom w:val="none" w:sz="0" w:space="0" w:color="auto"/>
        <w:right w:val="none" w:sz="0" w:space="0" w:color="auto"/>
      </w:divBdr>
    </w:div>
    <w:div w:id="2039772617">
      <w:bodyDiv w:val="1"/>
      <w:marLeft w:val="0"/>
      <w:marRight w:val="0"/>
      <w:marTop w:val="0"/>
      <w:marBottom w:val="0"/>
      <w:divBdr>
        <w:top w:val="none" w:sz="0" w:space="0" w:color="auto"/>
        <w:left w:val="none" w:sz="0" w:space="0" w:color="auto"/>
        <w:bottom w:val="none" w:sz="0" w:space="0" w:color="auto"/>
        <w:right w:val="none" w:sz="0" w:space="0" w:color="auto"/>
      </w:divBdr>
    </w:div>
    <w:div w:id="2039813850">
      <w:bodyDiv w:val="1"/>
      <w:marLeft w:val="0"/>
      <w:marRight w:val="0"/>
      <w:marTop w:val="0"/>
      <w:marBottom w:val="0"/>
      <w:divBdr>
        <w:top w:val="none" w:sz="0" w:space="0" w:color="auto"/>
        <w:left w:val="none" w:sz="0" w:space="0" w:color="auto"/>
        <w:bottom w:val="none" w:sz="0" w:space="0" w:color="auto"/>
        <w:right w:val="none" w:sz="0" w:space="0" w:color="auto"/>
      </w:divBdr>
    </w:div>
    <w:div w:id="2040936971">
      <w:bodyDiv w:val="1"/>
      <w:marLeft w:val="0"/>
      <w:marRight w:val="0"/>
      <w:marTop w:val="0"/>
      <w:marBottom w:val="0"/>
      <w:divBdr>
        <w:top w:val="none" w:sz="0" w:space="0" w:color="auto"/>
        <w:left w:val="none" w:sz="0" w:space="0" w:color="auto"/>
        <w:bottom w:val="none" w:sz="0" w:space="0" w:color="auto"/>
        <w:right w:val="none" w:sz="0" w:space="0" w:color="auto"/>
      </w:divBdr>
    </w:div>
    <w:div w:id="2041587701">
      <w:bodyDiv w:val="1"/>
      <w:marLeft w:val="0"/>
      <w:marRight w:val="0"/>
      <w:marTop w:val="0"/>
      <w:marBottom w:val="0"/>
      <w:divBdr>
        <w:top w:val="none" w:sz="0" w:space="0" w:color="auto"/>
        <w:left w:val="none" w:sz="0" w:space="0" w:color="auto"/>
        <w:bottom w:val="none" w:sz="0" w:space="0" w:color="auto"/>
        <w:right w:val="none" w:sz="0" w:space="0" w:color="auto"/>
      </w:divBdr>
    </w:div>
    <w:div w:id="2057702754">
      <w:bodyDiv w:val="1"/>
      <w:marLeft w:val="0"/>
      <w:marRight w:val="0"/>
      <w:marTop w:val="0"/>
      <w:marBottom w:val="0"/>
      <w:divBdr>
        <w:top w:val="none" w:sz="0" w:space="0" w:color="auto"/>
        <w:left w:val="none" w:sz="0" w:space="0" w:color="auto"/>
        <w:bottom w:val="none" w:sz="0" w:space="0" w:color="auto"/>
        <w:right w:val="none" w:sz="0" w:space="0" w:color="auto"/>
      </w:divBdr>
    </w:div>
    <w:div w:id="2061975969">
      <w:bodyDiv w:val="1"/>
      <w:marLeft w:val="0"/>
      <w:marRight w:val="0"/>
      <w:marTop w:val="0"/>
      <w:marBottom w:val="0"/>
      <w:divBdr>
        <w:top w:val="none" w:sz="0" w:space="0" w:color="auto"/>
        <w:left w:val="none" w:sz="0" w:space="0" w:color="auto"/>
        <w:bottom w:val="none" w:sz="0" w:space="0" w:color="auto"/>
        <w:right w:val="none" w:sz="0" w:space="0" w:color="auto"/>
      </w:divBdr>
    </w:div>
    <w:div w:id="2065326363">
      <w:bodyDiv w:val="1"/>
      <w:marLeft w:val="0"/>
      <w:marRight w:val="0"/>
      <w:marTop w:val="0"/>
      <w:marBottom w:val="0"/>
      <w:divBdr>
        <w:top w:val="none" w:sz="0" w:space="0" w:color="auto"/>
        <w:left w:val="none" w:sz="0" w:space="0" w:color="auto"/>
        <w:bottom w:val="none" w:sz="0" w:space="0" w:color="auto"/>
        <w:right w:val="none" w:sz="0" w:space="0" w:color="auto"/>
      </w:divBdr>
    </w:div>
    <w:div w:id="2065371333">
      <w:bodyDiv w:val="1"/>
      <w:marLeft w:val="0"/>
      <w:marRight w:val="0"/>
      <w:marTop w:val="0"/>
      <w:marBottom w:val="0"/>
      <w:divBdr>
        <w:top w:val="none" w:sz="0" w:space="0" w:color="auto"/>
        <w:left w:val="none" w:sz="0" w:space="0" w:color="auto"/>
        <w:bottom w:val="none" w:sz="0" w:space="0" w:color="auto"/>
        <w:right w:val="none" w:sz="0" w:space="0" w:color="auto"/>
      </w:divBdr>
    </w:div>
    <w:div w:id="2066222323">
      <w:bodyDiv w:val="1"/>
      <w:marLeft w:val="0"/>
      <w:marRight w:val="0"/>
      <w:marTop w:val="0"/>
      <w:marBottom w:val="0"/>
      <w:divBdr>
        <w:top w:val="none" w:sz="0" w:space="0" w:color="auto"/>
        <w:left w:val="none" w:sz="0" w:space="0" w:color="auto"/>
        <w:bottom w:val="none" w:sz="0" w:space="0" w:color="auto"/>
        <w:right w:val="none" w:sz="0" w:space="0" w:color="auto"/>
      </w:divBdr>
    </w:div>
    <w:div w:id="2072262594">
      <w:bodyDiv w:val="1"/>
      <w:marLeft w:val="0"/>
      <w:marRight w:val="0"/>
      <w:marTop w:val="0"/>
      <w:marBottom w:val="0"/>
      <w:divBdr>
        <w:top w:val="none" w:sz="0" w:space="0" w:color="auto"/>
        <w:left w:val="none" w:sz="0" w:space="0" w:color="auto"/>
        <w:bottom w:val="none" w:sz="0" w:space="0" w:color="auto"/>
        <w:right w:val="none" w:sz="0" w:space="0" w:color="auto"/>
      </w:divBdr>
    </w:div>
    <w:div w:id="2077044585">
      <w:bodyDiv w:val="1"/>
      <w:marLeft w:val="0"/>
      <w:marRight w:val="0"/>
      <w:marTop w:val="0"/>
      <w:marBottom w:val="0"/>
      <w:divBdr>
        <w:top w:val="none" w:sz="0" w:space="0" w:color="auto"/>
        <w:left w:val="none" w:sz="0" w:space="0" w:color="auto"/>
        <w:bottom w:val="none" w:sz="0" w:space="0" w:color="auto"/>
        <w:right w:val="none" w:sz="0" w:space="0" w:color="auto"/>
      </w:divBdr>
    </w:div>
    <w:div w:id="2077893429">
      <w:bodyDiv w:val="1"/>
      <w:marLeft w:val="0"/>
      <w:marRight w:val="0"/>
      <w:marTop w:val="0"/>
      <w:marBottom w:val="0"/>
      <w:divBdr>
        <w:top w:val="none" w:sz="0" w:space="0" w:color="auto"/>
        <w:left w:val="none" w:sz="0" w:space="0" w:color="auto"/>
        <w:bottom w:val="none" w:sz="0" w:space="0" w:color="auto"/>
        <w:right w:val="none" w:sz="0" w:space="0" w:color="auto"/>
      </w:divBdr>
    </w:div>
    <w:div w:id="2081096080">
      <w:bodyDiv w:val="1"/>
      <w:marLeft w:val="0"/>
      <w:marRight w:val="0"/>
      <w:marTop w:val="0"/>
      <w:marBottom w:val="0"/>
      <w:divBdr>
        <w:top w:val="none" w:sz="0" w:space="0" w:color="auto"/>
        <w:left w:val="none" w:sz="0" w:space="0" w:color="auto"/>
        <w:bottom w:val="none" w:sz="0" w:space="0" w:color="auto"/>
        <w:right w:val="none" w:sz="0" w:space="0" w:color="auto"/>
      </w:divBdr>
    </w:div>
    <w:div w:id="2086610267">
      <w:bodyDiv w:val="1"/>
      <w:marLeft w:val="0"/>
      <w:marRight w:val="0"/>
      <w:marTop w:val="0"/>
      <w:marBottom w:val="0"/>
      <w:divBdr>
        <w:top w:val="none" w:sz="0" w:space="0" w:color="auto"/>
        <w:left w:val="none" w:sz="0" w:space="0" w:color="auto"/>
        <w:bottom w:val="none" w:sz="0" w:space="0" w:color="auto"/>
        <w:right w:val="none" w:sz="0" w:space="0" w:color="auto"/>
      </w:divBdr>
    </w:div>
    <w:div w:id="2099866054">
      <w:bodyDiv w:val="1"/>
      <w:marLeft w:val="0"/>
      <w:marRight w:val="0"/>
      <w:marTop w:val="0"/>
      <w:marBottom w:val="0"/>
      <w:divBdr>
        <w:top w:val="none" w:sz="0" w:space="0" w:color="auto"/>
        <w:left w:val="none" w:sz="0" w:space="0" w:color="auto"/>
        <w:bottom w:val="none" w:sz="0" w:space="0" w:color="auto"/>
        <w:right w:val="none" w:sz="0" w:space="0" w:color="auto"/>
      </w:divBdr>
    </w:div>
    <w:div w:id="2106077282">
      <w:bodyDiv w:val="1"/>
      <w:marLeft w:val="0"/>
      <w:marRight w:val="0"/>
      <w:marTop w:val="0"/>
      <w:marBottom w:val="0"/>
      <w:divBdr>
        <w:top w:val="none" w:sz="0" w:space="0" w:color="auto"/>
        <w:left w:val="none" w:sz="0" w:space="0" w:color="auto"/>
        <w:bottom w:val="none" w:sz="0" w:space="0" w:color="auto"/>
        <w:right w:val="none" w:sz="0" w:space="0" w:color="auto"/>
      </w:divBdr>
    </w:div>
    <w:div w:id="2113934956">
      <w:bodyDiv w:val="1"/>
      <w:marLeft w:val="0"/>
      <w:marRight w:val="0"/>
      <w:marTop w:val="0"/>
      <w:marBottom w:val="0"/>
      <w:divBdr>
        <w:top w:val="none" w:sz="0" w:space="0" w:color="auto"/>
        <w:left w:val="none" w:sz="0" w:space="0" w:color="auto"/>
        <w:bottom w:val="none" w:sz="0" w:space="0" w:color="auto"/>
        <w:right w:val="none" w:sz="0" w:space="0" w:color="auto"/>
      </w:divBdr>
    </w:div>
    <w:div w:id="2127044718">
      <w:bodyDiv w:val="1"/>
      <w:marLeft w:val="0"/>
      <w:marRight w:val="0"/>
      <w:marTop w:val="0"/>
      <w:marBottom w:val="0"/>
      <w:divBdr>
        <w:top w:val="none" w:sz="0" w:space="0" w:color="auto"/>
        <w:left w:val="none" w:sz="0" w:space="0" w:color="auto"/>
        <w:bottom w:val="none" w:sz="0" w:space="0" w:color="auto"/>
        <w:right w:val="none" w:sz="0" w:space="0" w:color="auto"/>
      </w:divBdr>
    </w:div>
    <w:div w:id="2131625868">
      <w:bodyDiv w:val="1"/>
      <w:marLeft w:val="0"/>
      <w:marRight w:val="0"/>
      <w:marTop w:val="0"/>
      <w:marBottom w:val="0"/>
      <w:divBdr>
        <w:top w:val="none" w:sz="0" w:space="0" w:color="auto"/>
        <w:left w:val="none" w:sz="0" w:space="0" w:color="auto"/>
        <w:bottom w:val="none" w:sz="0" w:space="0" w:color="auto"/>
        <w:right w:val="none" w:sz="0" w:space="0" w:color="auto"/>
      </w:divBdr>
    </w:div>
    <w:div w:id="2135055361">
      <w:bodyDiv w:val="1"/>
      <w:marLeft w:val="0"/>
      <w:marRight w:val="0"/>
      <w:marTop w:val="0"/>
      <w:marBottom w:val="0"/>
      <w:divBdr>
        <w:top w:val="none" w:sz="0" w:space="0" w:color="auto"/>
        <w:left w:val="none" w:sz="0" w:space="0" w:color="auto"/>
        <w:bottom w:val="none" w:sz="0" w:space="0" w:color="auto"/>
        <w:right w:val="none" w:sz="0" w:space="0" w:color="auto"/>
      </w:divBdr>
    </w:div>
    <w:div w:id="2135519644">
      <w:bodyDiv w:val="1"/>
      <w:marLeft w:val="0"/>
      <w:marRight w:val="0"/>
      <w:marTop w:val="0"/>
      <w:marBottom w:val="0"/>
      <w:divBdr>
        <w:top w:val="none" w:sz="0" w:space="0" w:color="auto"/>
        <w:left w:val="none" w:sz="0" w:space="0" w:color="auto"/>
        <w:bottom w:val="none" w:sz="0" w:space="0" w:color="auto"/>
        <w:right w:val="none" w:sz="0" w:space="0" w:color="auto"/>
      </w:divBdr>
    </w:div>
    <w:div w:id="2143037559">
      <w:bodyDiv w:val="1"/>
      <w:marLeft w:val="0"/>
      <w:marRight w:val="0"/>
      <w:marTop w:val="0"/>
      <w:marBottom w:val="0"/>
      <w:divBdr>
        <w:top w:val="none" w:sz="0" w:space="0" w:color="auto"/>
        <w:left w:val="none" w:sz="0" w:space="0" w:color="auto"/>
        <w:bottom w:val="none" w:sz="0" w:space="0" w:color="auto"/>
        <w:right w:val="none" w:sz="0" w:space="0" w:color="auto"/>
      </w:divBdr>
    </w:div>
    <w:div w:id="21457317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nda.ie/publications/review-of-part-5-of-the-disability-act-2005"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nda.ie/publications/review-of-part-5-of-the-disability-act-2005"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nda.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AA596A-33A7-439B-B1EE-FEDA55E3A1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56</Pages>
  <Words>10796</Words>
  <Characters>61543</Characters>
  <Application>Microsoft Office Word</Application>
  <DocSecurity>4</DocSecurity>
  <Lines>512</Lines>
  <Paragraphs>144</Paragraphs>
  <ScaleCrop>false</ScaleCrop>
  <HeadingPairs>
    <vt:vector size="2" baseType="variant">
      <vt:variant>
        <vt:lpstr>Title</vt:lpstr>
      </vt:variant>
      <vt:variant>
        <vt:i4>1</vt:i4>
      </vt:variant>
    </vt:vector>
  </HeadingPairs>
  <TitlesOfParts>
    <vt:vector size="1" baseType="lpstr">
      <vt:lpstr/>
    </vt:vector>
  </TitlesOfParts>
  <Company>National Disability Authority</Company>
  <LinksUpToDate>false</LinksUpToDate>
  <CharactersWithSpaces>72195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Jacinta G. Byrne</dc:creator>
  <cp:keywords/>
  <dc:description/>
  <cp:lastModifiedBy>Meghna Manu (NDA)</cp:lastModifiedBy>
  <cp:revision>2</cp:revision>
  <cp:lastPrinted>2022-11-30T15:08:00Z</cp:lastPrinted>
  <dcterms:created xsi:type="dcterms:W3CDTF">2026-01-23T17:08:00Z</dcterms:created>
  <dcterms:modified xsi:type="dcterms:W3CDTF">2026-01-23T17:08:00Z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-2094557482</vt:i4>
  </property>
</Properties>
</file>