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68AE4C40" w:rsidR="00A970B1" w:rsidRPr="00056548" w:rsidRDefault="004C3F48" w:rsidP="00595E25">
      <w:pPr>
        <w:pStyle w:val="Header"/>
        <w:rPr>
          <w:rFonts w:ascii="Rockwell" w:hAnsi="Rockwell" w:cs="Arial"/>
          <w:b/>
          <w:bCs/>
          <w:color w:val="CC3399"/>
          <w:kern w:val="28"/>
          <w:sz w:val="112"/>
          <w:szCs w:val="112"/>
        </w:rPr>
      </w:pPr>
      <w:bookmarkStart w:id="0" w:name="_Toc62833862"/>
      <w:bookmarkStart w:id="1" w:name="_Toc57392669"/>
      <w:bookmarkStart w:id="2" w:name="_Toc57392094"/>
      <w:bookmarkStart w:id="3" w:name="_Toc57374333"/>
      <w:bookmarkStart w:id="4" w:name="_Toc57300069"/>
      <w:bookmarkStart w:id="5" w:name="_Toc57297405"/>
      <w:bookmarkStart w:id="6" w:name="_Toc57297130"/>
      <w:bookmarkStart w:id="7" w:name="_Toc56497131"/>
      <w:bookmarkStart w:id="8" w:name="_Toc56440422"/>
      <w:bookmarkStart w:id="9" w:name="_Toc56426021"/>
      <w:bookmarkStart w:id="10" w:name="_Toc56422697"/>
      <w:bookmarkStart w:id="11" w:name="_Toc56170443"/>
      <w:bookmarkStart w:id="12" w:name="_Toc50722622"/>
      <w:bookmarkStart w:id="13" w:name="_Toc50721504"/>
      <w:bookmarkStart w:id="14" w:name="_Toc50721417"/>
      <w:bookmarkStart w:id="15" w:name="_Toc50719718"/>
      <w:bookmarkStart w:id="16" w:name="_Toc82174908"/>
      <w:bookmarkStart w:id="17" w:name="_Toc82165606"/>
      <w:bookmarkStart w:id="18" w:name="_Toc81554206"/>
      <w:bookmarkStart w:id="19" w:name="_Toc81552483"/>
      <w:r w:rsidRPr="00056548">
        <w:rPr>
          <w:rFonts w:ascii="Rockwell" w:hAnsi="Rockwell"/>
          <w:b/>
          <w:bCs/>
          <w:color w:val="CC3399"/>
          <w:kern w:val="28"/>
          <w:sz w:val="112"/>
          <w:szCs w:val="112"/>
          <w:lang w:val="ga"/>
        </w:rPr>
        <w:t>Tuarascáil ar Chomhlíonadh Chuid 5 den Acht um Míchumas 2005 do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56548">
        <w:rPr>
          <w:rFonts w:ascii="Rockwell" w:hAnsi="Rockwell"/>
          <w:b/>
          <w:bCs/>
          <w:color w:val="CC3399"/>
          <w:kern w:val="28"/>
          <w:sz w:val="112"/>
          <w:szCs w:val="112"/>
          <w:lang w:val="ga"/>
        </w:rPr>
        <w:t>2</w:t>
      </w:r>
      <w:bookmarkEnd w:id="16"/>
      <w:bookmarkEnd w:id="17"/>
      <w:bookmarkEnd w:id="18"/>
      <w:bookmarkEnd w:id="19"/>
      <w:r w:rsidRPr="00056548">
        <w:rPr>
          <w:rFonts w:ascii="Rockwell" w:hAnsi="Rockwell"/>
          <w:b/>
          <w:bCs/>
          <w:color w:val="CC3399"/>
          <w:kern w:val="28"/>
          <w:sz w:val="112"/>
          <w:szCs w:val="112"/>
          <w:lang w:val="ga"/>
        </w:rPr>
        <w:t>2</w:t>
      </w:r>
    </w:p>
    <w:p w14:paraId="2A3EA481" w14:textId="384BE214" w:rsidR="00A970B1" w:rsidRPr="004C3D5B" w:rsidRDefault="00A970B1" w:rsidP="00A970B1">
      <w:pPr>
        <w:rPr>
          <w:rFonts w:ascii="Rockwell" w:hAnsi="Rockwell"/>
        </w:rPr>
      </w:pPr>
      <w:r>
        <w:rPr>
          <w:rFonts w:ascii="Rockwell" w:hAnsi="Rockwell"/>
          <w:noProof/>
          <w:lang w:val="ga"/>
        </w:rPr>
        <w:drawing>
          <wp:inline distT="0" distB="0" distL="0" distR="0" wp14:anchorId="4A02F215" wp14:editId="4A9467E2">
            <wp:extent cx="2294890" cy="1800225"/>
            <wp:effectExtent l="0" t="0" r="0" b="9525"/>
            <wp:docPr id="5" name="Picture 1" descr="Lógó an Údaráis Náisiúnta Míchu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Pr>
          <w:rFonts w:ascii="Rockwell" w:hAnsi="Rockwell"/>
          <w:lang w:val="ga"/>
        </w:rPr>
        <w:t xml:space="preserve"> </w:t>
      </w:r>
    </w:p>
    <w:p w14:paraId="40399FF0" w14:textId="77777777" w:rsidR="00A970B1" w:rsidRPr="004C3D5B" w:rsidRDefault="00A970B1" w:rsidP="00A970B1">
      <w:pPr>
        <w:rPr>
          <w:rFonts w:ascii="Rockwell" w:hAnsi="Rockwell"/>
        </w:rPr>
        <w:sectPr w:rsidR="00A970B1" w:rsidRPr="004C3D5B"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4C3D5B" w:rsidRDefault="006A3E29" w:rsidP="005E3C2C">
      <w:r>
        <w:rPr>
          <w:rFonts w:ascii="Rockwell" w:hAnsi="Rockwell" w:cs="Arial"/>
          <w:b/>
          <w:bCs/>
          <w:color w:val="CC3399"/>
          <w:kern w:val="32"/>
          <w:sz w:val="56"/>
          <w:szCs w:val="56"/>
          <w:lang w:val="ga"/>
        </w:rPr>
        <w:lastRenderedPageBreak/>
        <w:t>Buíochas</w:t>
      </w:r>
    </w:p>
    <w:p w14:paraId="42BEA2F0" w14:textId="2A303A40" w:rsidR="009502D9" w:rsidRPr="004C3D5B" w:rsidRDefault="005E3C2C" w:rsidP="005E3C2C">
      <w:pPr>
        <w:rPr>
          <w:color w:val="000000" w:themeColor="text1"/>
        </w:rPr>
      </w:pPr>
      <w:r>
        <w:rPr>
          <w:color w:val="000000" w:themeColor="text1"/>
          <w:lang w:val="ga"/>
        </w:rPr>
        <w:t>Is mór ag an Údarás Náisiúnta Míchumais an méid suntasach tacaíochta agus comhair a fuaireamar ó Choistí Faireacháin na Ranna agus ó chomhlachtaí poiblí a chinntigh gur cuireadh tuairisceáin bhliantúla Chuid 5 uathu isteach faoin spriocdháta reachtúil, mar a bhí an 30 Meitheamh 2023.</w:t>
      </w:r>
    </w:p>
    <w:p w14:paraId="7A45747A" w14:textId="38EFA29C" w:rsidR="005E3C2C" w:rsidRPr="004C3D5B" w:rsidRDefault="00F75150" w:rsidP="005E3C2C">
      <w:pPr>
        <w:rPr>
          <w:color w:val="000000" w:themeColor="text1"/>
        </w:rPr>
      </w:pPr>
      <w:r>
        <w:rPr>
          <w:color w:val="000000" w:themeColor="text1"/>
          <w:lang w:val="ga"/>
        </w:rPr>
        <w:t>Is mór againn freisin na freagraí prasa a fuaireamar ar aon cheisteanna a bhí againn maidir le sonraí le haghaidh thuairisceáin Chuid 5 don bhliain 2022.</w:t>
      </w:r>
    </w:p>
    <w:p w14:paraId="08245294" w14:textId="77777777" w:rsidR="005E3C2C" w:rsidRPr="004C3D5B" w:rsidRDefault="005E3C2C" w:rsidP="00C27149">
      <w:pPr>
        <w:shd w:val="clear" w:color="auto" w:fill="FFFFFF" w:themeFill="background1"/>
        <w:spacing w:after="0"/>
        <w:rPr>
          <w:rFonts w:ascii="Rockwell" w:hAnsi="Rockwell" w:cs="Arial"/>
          <w:b/>
          <w:bCs/>
          <w:color w:val="CC3399"/>
          <w:kern w:val="32"/>
          <w:sz w:val="56"/>
          <w:szCs w:val="56"/>
        </w:rPr>
      </w:pPr>
    </w:p>
    <w:p w14:paraId="04FFF4AD" w14:textId="77777777" w:rsidR="005E3C2C" w:rsidRPr="004C3D5B" w:rsidRDefault="005E3C2C">
      <w:pPr>
        <w:spacing w:after="0"/>
        <w:rPr>
          <w:rFonts w:ascii="Rockwell" w:hAnsi="Rockwell" w:cs="Arial"/>
          <w:b/>
          <w:bCs/>
          <w:color w:val="CC3399"/>
          <w:kern w:val="32"/>
          <w:sz w:val="56"/>
          <w:szCs w:val="56"/>
        </w:rPr>
      </w:pPr>
      <w:r>
        <w:rPr>
          <w:rFonts w:ascii="Rockwell" w:hAnsi="Rockwell" w:cs="Arial"/>
          <w:b/>
          <w:bCs/>
          <w:color w:val="CC3399"/>
          <w:kern w:val="32"/>
          <w:sz w:val="56"/>
          <w:szCs w:val="56"/>
          <w:lang w:val="ga"/>
        </w:rPr>
        <w:br w:type="page"/>
      </w:r>
    </w:p>
    <w:p w14:paraId="1E2947A5" w14:textId="77777777" w:rsidR="00F7547F" w:rsidRPr="004C3D5B" w:rsidRDefault="00973B13">
      <w:pPr>
        <w:pStyle w:val="TOC1"/>
        <w:rPr>
          <w:rFonts w:ascii="Rockwell" w:hAnsi="Rockwell" w:cs="Arial"/>
          <w:bCs/>
          <w:color w:val="CC3399"/>
          <w:kern w:val="32"/>
          <w:sz w:val="56"/>
          <w:szCs w:val="56"/>
        </w:rPr>
      </w:pPr>
      <w:r>
        <w:rPr>
          <w:rFonts w:ascii="Rockwell" w:hAnsi="Rockwell" w:cs="Arial"/>
          <w:bCs/>
          <w:color w:val="CC3399"/>
          <w:kern w:val="32"/>
          <w:sz w:val="56"/>
          <w:szCs w:val="56"/>
          <w:lang w:val="ga"/>
        </w:rPr>
        <w:lastRenderedPageBreak/>
        <w:t>Clár Ábhar</w:t>
      </w:r>
    </w:p>
    <w:p w14:paraId="289EEE15" w14:textId="268B0EE3" w:rsidR="00A9276A" w:rsidRDefault="00973B13">
      <w:pPr>
        <w:pStyle w:val="TOC1"/>
        <w:rPr>
          <w:rFonts w:asciiTheme="minorHAnsi" w:eastAsiaTheme="minorEastAsia" w:hAnsiTheme="minorHAnsi" w:cstheme="minorBidi"/>
          <w:b w:val="0"/>
          <w:noProof/>
          <w:kern w:val="2"/>
          <w:sz w:val="22"/>
          <w:szCs w:val="22"/>
          <w:lang w:val="en-GB" w:eastAsia="en-GB"/>
          <w14:ligatures w14:val="standardContextual"/>
        </w:rPr>
      </w:pPr>
      <w:r>
        <w:rPr>
          <w:bCs/>
          <w:lang w:val="ga"/>
        </w:rPr>
        <w:fldChar w:fldCharType="begin"/>
      </w:r>
      <w:r>
        <w:instrText xml:space="preserve"> TOC \o "1-2" \h \z \u </w:instrText>
      </w:r>
      <w:r>
        <w:fldChar w:fldCharType="separate"/>
      </w:r>
      <w:hyperlink w:anchor="_Toc147910063" w:history="1">
        <w:r w:rsidR="00A9276A" w:rsidRPr="00D613D3">
          <w:rPr>
            <w:rStyle w:val="Hyperlink"/>
            <w:bCs/>
            <w:noProof/>
            <w:lang w:val="ga"/>
          </w:rPr>
          <w:t>Achoimre Fheidhmeach</w:t>
        </w:r>
        <w:r w:rsidR="00A9276A">
          <w:rPr>
            <w:noProof/>
            <w:webHidden/>
          </w:rPr>
          <w:tab/>
        </w:r>
        <w:r w:rsidR="00A9276A">
          <w:rPr>
            <w:noProof/>
            <w:webHidden/>
          </w:rPr>
          <w:fldChar w:fldCharType="begin"/>
        </w:r>
        <w:r w:rsidR="00A9276A">
          <w:rPr>
            <w:noProof/>
            <w:webHidden/>
          </w:rPr>
          <w:instrText xml:space="preserve"> PAGEREF _Toc147910063 \h </w:instrText>
        </w:r>
        <w:r w:rsidR="00A9276A">
          <w:rPr>
            <w:noProof/>
            <w:webHidden/>
          </w:rPr>
        </w:r>
        <w:r w:rsidR="00A9276A">
          <w:rPr>
            <w:noProof/>
            <w:webHidden/>
          </w:rPr>
          <w:fldChar w:fldCharType="separate"/>
        </w:r>
        <w:r w:rsidR="00AA0798">
          <w:rPr>
            <w:noProof/>
            <w:webHidden/>
          </w:rPr>
          <w:t>4</w:t>
        </w:r>
        <w:r w:rsidR="00A9276A">
          <w:rPr>
            <w:noProof/>
            <w:webHidden/>
          </w:rPr>
          <w:fldChar w:fldCharType="end"/>
        </w:r>
      </w:hyperlink>
    </w:p>
    <w:p w14:paraId="74206761" w14:textId="6FE04FE3"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64" w:history="1">
        <w:r w:rsidRPr="00D613D3">
          <w:rPr>
            <w:rStyle w:val="Hyperlink"/>
            <w:bCs/>
            <w:noProof/>
            <w:lang w:val="ga"/>
          </w:rPr>
          <w:t>Forbhreathnú ar an anailís</w:t>
        </w:r>
        <w:r>
          <w:rPr>
            <w:noProof/>
            <w:webHidden/>
          </w:rPr>
          <w:tab/>
        </w:r>
        <w:r>
          <w:rPr>
            <w:noProof/>
            <w:webHidden/>
          </w:rPr>
          <w:fldChar w:fldCharType="begin"/>
        </w:r>
        <w:r>
          <w:rPr>
            <w:noProof/>
            <w:webHidden/>
          </w:rPr>
          <w:instrText xml:space="preserve"> PAGEREF _Toc147910064 \h </w:instrText>
        </w:r>
        <w:r>
          <w:rPr>
            <w:noProof/>
            <w:webHidden/>
          </w:rPr>
        </w:r>
        <w:r>
          <w:rPr>
            <w:noProof/>
            <w:webHidden/>
          </w:rPr>
          <w:fldChar w:fldCharType="separate"/>
        </w:r>
        <w:r w:rsidR="00AA0798">
          <w:rPr>
            <w:noProof/>
            <w:webHidden/>
          </w:rPr>
          <w:t>4</w:t>
        </w:r>
        <w:r>
          <w:rPr>
            <w:noProof/>
            <w:webHidden/>
          </w:rPr>
          <w:fldChar w:fldCharType="end"/>
        </w:r>
      </w:hyperlink>
    </w:p>
    <w:p w14:paraId="1A2AE695" w14:textId="25049970"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65" w:history="1">
        <w:r w:rsidRPr="00D613D3">
          <w:rPr>
            <w:rStyle w:val="Hyperlink"/>
            <w:bCs/>
            <w:noProof/>
            <w:lang w:val="ga"/>
          </w:rPr>
          <w:t>Feidhmeannacht na Seirbhíse Sláinte (FSS)</w:t>
        </w:r>
        <w:r>
          <w:rPr>
            <w:noProof/>
            <w:webHidden/>
          </w:rPr>
          <w:tab/>
        </w:r>
        <w:r>
          <w:rPr>
            <w:noProof/>
            <w:webHidden/>
          </w:rPr>
          <w:fldChar w:fldCharType="begin"/>
        </w:r>
        <w:r>
          <w:rPr>
            <w:noProof/>
            <w:webHidden/>
          </w:rPr>
          <w:instrText xml:space="preserve"> PAGEREF _Toc147910065 \h </w:instrText>
        </w:r>
        <w:r>
          <w:rPr>
            <w:noProof/>
            <w:webHidden/>
          </w:rPr>
        </w:r>
        <w:r>
          <w:rPr>
            <w:noProof/>
            <w:webHidden/>
          </w:rPr>
          <w:fldChar w:fldCharType="separate"/>
        </w:r>
        <w:r w:rsidR="00AA0798">
          <w:rPr>
            <w:noProof/>
            <w:webHidden/>
          </w:rPr>
          <w:t>5</w:t>
        </w:r>
        <w:r>
          <w:rPr>
            <w:noProof/>
            <w:webHidden/>
          </w:rPr>
          <w:fldChar w:fldCharType="end"/>
        </w:r>
      </w:hyperlink>
    </w:p>
    <w:p w14:paraId="7ADC9CCB" w14:textId="6EE839E2"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66" w:history="1">
        <w:r w:rsidRPr="00D613D3">
          <w:rPr>
            <w:rStyle w:val="Hyperlink"/>
            <w:bCs/>
            <w:noProof/>
            <w:lang w:val="ga"/>
          </w:rPr>
          <w:t>Príomhphointí maidir le feidhmíocht na gcomhlachtaí poiblí sa bhliain 2022</w:t>
        </w:r>
        <w:r>
          <w:rPr>
            <w:noProof/>
            <w:webHidden/>
          </w:rPr>
          <w:tab/>
        </w:r>
        <w:r>
          <w:rPr>
            <w:noProof/>
            <w:webHidden/>
          </w:rPr>
          <w:fldChar w:fldCharType="begin"/>
        </w:r>
        <w:r>
          <w:rPr>
            <w:noProof/>
            <w:webHidden/>
          </w:rPr>
          <w:instrText xml:space="preserve"> PAGEREF _Toc147910066 \h </w:instrText>
        </w:r>
        <w:r>
          <w:rPr>
            <w:noProof/>
            <w:webHidden/>
          </w:rPr>
        </w:r>
        <w:r>
          <w:rPr>
            <w:noProof/>
            <w:webHidden/>
          </w:rPr>
          <w:fldChar w:fldCharType="separate"/>
        </w:r>
        <w:r w:rsidR="00AA0798">
          <w:rPr>
            <w:noProof/>
            <w:webHidden/>
          </w:rPr>
          <w:t>5</w:t>
        </w:r>
        <w:r>
          <w:rPr>
            <w:noProof/>
            <w:webHidden/>
          </w:rPr>
          <w:fldChar w:fldCharType="end"/>
        </w:r>
      </w:hyperlink>
    </w:p>
    <w:p w14:paraId="7C782090" w14:textId="59FFA6AE"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67" w:history="1">
        <w:r w:rsidRPr="00D613D3">
          <w:rPr>
            <w:rStyle w:val="Hyperlink"/>
            <w:bCs/>
            <w:noProof/>
            <w:lang w:val="ga"/>
          </w:rPr>
          <w:t>Comhlachtaí poiblí nár bhain an íos-sprioc 3% amach</w:t>
        </w:r>
        <w:r>
          <w:rPr>
            <w:noProof/>
            <w:webHidden/>
          </w:rPr>
          <w:tab/>
        </w:r>
        <w:r>
          <w:rPr>
            <w:noProof/>
            <w:webHidden/>
          </w:rPr>
          <w:fldChar w:fldCharType="begin"/>
        </w:r>
        <w:r>
          <w:rPr>
            <w:noProof/>
            <w:webHidden/>
          </w:rPr>
          <w:instrText xml:space="preserve"> PAGEREF _Toc147910067 \h </w:instrText>
        </w:r>
        <w:r>
          <w:rPr>
            <w:noProof/>
            <w:webHidden/>
          </w:rPr>
        </w:r>
        <w:r>
          <w:rPr>
            <w:noProof/>
            <w:webHidden/>
          </w:rPr>
          <w:fldChar w:fldCharType="separate"/>
        </w:r>
        <w:r w:rsidR="00AA0798">
          <w:rPr>
            <w:noProof/>
            <w:webHidden/>
          </w:rPr>
          <w:t>8</w:t>
        </w:r>
        <w:r>
          <w:rPr>
            <w:noProof/>
            <w:webHidden/>
          </w:rPr>
          <w:fldChar w:fldCharType="end"/>
        </w:r>
      </w:hyperlink>
    </w:p>
    <w:p w14:paraId="2786283A" w14:textId="49DBF9D7"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68" w:history="1">
        <w:r w:rsidRPr="00D613D3">
          <w:rPr>
            <w:rStyle w:val="Hyperlink"/>
            <w:bCs/>
            <w:noProof/>
            <w:lang w:val="ga"/>
          </w:rPr>
          <w:t>An Móiminteam a Choinneáil ar Bun</w:t>
        </w:r>
        <w:r>
          <w:rPr>
            <w:noProof/>
            <w:webHidden/>
          </w:rPr>
          <w:tab/>
        </w:r>
        <w:r>
          <w:rPr>
            <w:noProof/>
            <w:webHidden/>
          </w:rPr>
          <w:fldChar w:fldCharType="begin"/>
        </w:r>
        <w:r>
          <w:rPr>
            <w:noProof/>
            <w:webHidden/>
          </w:rPr>
          <w:instrText xml:space="preserve"> PAGEREF _Toc147910068 \h </w:instrText>
        </w:r>
        <w:r>
          <w:rPr>
            <w:noProof/>
            <w:webHidden/>
          </w:rPr>
        </w:r>
        <w:r>
          <w:rPr>
            <w:noProof/>
            <w:webHidden/>
          </w:rPr>
          <w:fldChar w:fldCharType="separate"/>
        </w:r>
        <w:r w:rsidR="00AA0798">
          <w:rPr>
            <w:noProof/>
            <w:webHidden/>
          </w:rPr>
          <w:t>10</w:t>
        </w:r>
        <w:r>
          <w:rPr>
            <w:noProof/>
            <w:webHidden/>
          </w:rPr>
          <w:fldChar w:fldCharType="end"/>
        </w:r>
      </w:hyperlink>
    </w:p>
    <w:p w14:paraId="60C212E8" w14:textId="42708A09" w:rsidR="00A9276A" w:rsidRDefault="00A9276A">
      <w:pPr>
        <w:pStyle w:val="TOC1"/>
        <w:rPr>
          <w:rFonts w:asciiTheme="minorHAnsi" w:eastAsiaTheme="minorEastAsia" w:hAnsiTheme="minorHAnsi" w:cstheme="minorBidi"/>
          <w:b w:val="0"/>
          <w:noProof/>
          <w:kern w:val="2"/>
          <w:sz w:val="22"/>
          <w:szCs w:val="22"/>
          <w:lang w:val="en-GB" w:eastAsia="en-GB"/>
          <w14:ligatures w14:val="standardContextual"/>
        </w:rPr>
      </w:pPr>
      <w:hyperlink w:anchor="_Toc147910069" w:history="1">
        <w:r w:rsidRPr="00D613D3">
          <w:rPr>
            <w:rStyle w:val="Hyperlink"/>
            <w:bCs/>
            <w:noProof/>
            <w:lang w:val="ga"/>
          </w:rPr>
          <w:t>1 Réamhrá</w:t>
        </w:r>
        <w:r>
          <w:rPr>
            <w:noProof/>
            <w:webHidden/>
          </w:rPr>
          <w:tab/>
        </w:r>
        <w:r>
          <w:rPr>
            <w:noProof/>
            <w:webHidden/>
          </w:rPr>
          <w:fldChar w:fldCharType="begin"/>
        </w:r>
        <w:r>
          <w:rPr>
            <w:noProof/>
            <w:webHidden/>
          </w:rPr>
          <w:instrText xml:space="preserve"> PAGEREF _Toc147910069 \h </w:instrText>
        </w:r>
        <w:r>
          <w:rPr>
            <w:noProof/>
            <w:webHidden/>
          </w:rPr>
        </w:r>
        <w:r>
          <w:rPr>
            <w:noProof/>
            <w:webHidden/>
          </w:rPr>
          <w:fldChar w:fldCharType="separate"/>
        </w:r>
        <w:r w:rsidR="00AA0798">
          <w:rPr>
            <w:noProof/>
            <w:webHidden/>
          </w:rPr>
          <w:t>12</w:t>
        </w:r>
        <w:r>
          <w:rPr>
            <w:noProof/>
            <w:webHidden/>
          </w:rPr>
          <w:fldChar w:fldCharType="end"/>
        </w:r>
      </w:hyperlink>
    </w:p>
    <w:p w14:paraId="105C4652" w14:textId="2976DC69"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0" w:history="1">
        <w:r w:rsidRPr="00D613D3">
          <w:rPr>
            <w:rStyle w:val="Hyperlink"/>
            <w:bCs/>
            <w:noProof/>
            <w:lang w:val="ga"/>
          </w:rPr>
          <w:t>1.1 An cúlra reachtach</w:t>
        </w:r>
        <w:r>
          <w:rPr>
            <w:noProof/>
            <w:webHidden/>
          </w:rPr>
          <w:tab/>
        </w:r>
        <w:r>
          <w:rPr>
            <w:noProof/>
            <w:webHidden/>
          </w:rPr>
          <w:fldChar w:fldCharType="begin"/>
        </w:r>
        <w:r>
          <w:rPr>
            <w:noProof/>
            <w:webHidden/>
          </w:rPr>
          <w:instrText xml:space="preserve"> PAGEREF _Toc147910070 \h </w:instrText>
        </w:r>
        <w:r>
          <w:rPr>
            <w:noProof/>
            <w:webHidden/>
          </w:rPr>
        </w:r>
        <w:r>
          <w:rPr>
            <w:noProof/>
            <w:webHidden/>
          </w:rPr>
          <w:fldChar w:fldCharType="separate"/>
        </w:r>
        <w:r w:rsidR="00AA0798">
          <w:rPr>
            <w:noProof/>
            <w:webHidden/>
          </w:rPr>
          <w:t>12</w:t>
        </w:r>
        <w:r>
          <w:rPr>
            <w:noProof/>
            <w:webHidden/>
          </w:rPr>
          <w:fldChar w:fldCharType="end"/>
        </w:r>
      </w:hyperlink>
    </w:p>
    <w:p w14:paraId="3F026AD1" w14:textId="48FDAD98"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1" w:history="1">
        <w:r w:rsidRPr="00D613D3">
          <w:rPr>
            <w:rStyle w:val="Hyperlink"/>
            <w:bCs/>
            <w:noProof/>
            <w:lang w:val="ga"/>
          </w:rPr>
          <w:t>1.2 An líon fostaithe a bhfuil míchumas orthu a chomhaireamh</w:t>
        </w:r>
        <w:r>
          <w:rPr>
            <w:noProof/>
            <w:webHidden/>
          </w:rPr>
          <w:tab/>
        </w:r>
        <w:r>
          <w:rPr>
            <w:noProof/>
            <w:webHidden/>
          </w:rPr>
          <w:fldChar w:fldCharType="begin"/>
        </w:r>
        <w:r>
          <w:rPr>
            <w:noProof/>
            <w:webHidden/>
          </w:rPr>
          <w:instrText xml:space="preserve"> PAGEREF _Toc147910071 \h </w:instrText>
        </w:r>
        <w:r>
          <w:rPr>
            <w:noProof/>
            <w:webHidden/>
          </w:rPr>
        </w:r>
        <w:r>
          <w:rPr>
            <w:noProof/>
            <w:webHidden/>
          </w:rPr>
          <w:fldChar w:fldCharType="separate"/>
        </w:r>
        <w:r w:rsidR="00AA0798">
          <w:rPr>
            <w:noProof/>
            <w:webHidden/>
          </w:rPr>
          <w:t>12</w:t>
        </w:r>
        <w:r>
          <w:rPr>
            <w:noProof/>
            <w:webHidden/>
          </w:rPr>
          <w:fldChar w:fldCharType="end"/>
        </w:r>
      </w:hyperlink>
    </w:p>
    <w:p w14:paraId="5AC8A226" w14:textId="7FB7E639"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2" w:history="1">
        <w:r w:rsidRPr="00D613D3">
          <w:rPr>
            <w:rStyle w:val="Hyperlink"/>
            <w:bCs/>
            <w:noProof/>
            <w:lang w:val="ga"/>
          </w:rPr>
          <w:t>1.3 Athbhreithniú ar Chuid 5 – An chéad chéim eile de mholtaí a chur chun feidhme</w:t>
        </w:r>
        <w:r>
          <w:rPr>
            <w:noProof/>
            <w:webHidden/>
          </w:rPr>
          <w:tab/>
        </w:r>
        <w:r>
          <w:rPr>
            <w:noProof/>
            <w:webHidden/>
          </w:rPr>
          <w:fldChar w:fldCharType="begin"/>
        </w:r>
        <w:r>
          <w:rPr>
            <w:noProof/>
            <w:webHidden/>
          </w:rPr>
          <w:instrText xml:space="preserve"> PAGEREF _Toc147910072 \h </w:instrText>
        </w:r>
        <w:r>
          <w:rPr>
            <w:noProof/>
            <w:webHidden/>
          </w:rPr>
        </w:r>
        <w:r>
          <w:rPr>
            <w:noProof/>
            <w:webHidden/>
          </w:rPr>
          <w:fldChar w:fldCharType="separate"/>
        </w:r>
        <w:r w:rsidR="00AA0798">
          <w:rPr>
            <w:noProof/>
            <w:webHidden/>
          </w:rPr>
          <w:t>15</w:t>
        </w:r>
        <w:r>
          <w:rPr>
            <w:noProof/>
            <w:webHidden/>
          </w:rPr>
          <w:fldChar w:fldCharType="end"/>
        </w:r>
      </w:hyperlink>
    </w:p>
    <w:p w14:paraId="5E017DEB" w14:textId="4352407C" w:rsidR="00A9276A" w:rsidRDefault="00A9276A">
      <w:pPr>
        <w:pStyle w:val="TOC1"/>
        <w:rPr>
          <w:rFonts w:asciiTheme="minorHAnsi" w:eastAsiaTheme="minorEastAsia" w:hAnsiTheme="minorHAnsi" w:cstheme="minorBidi"/>
          <w:b w:val="0"/>
          <w:noProof/>
          <w:kern w:val="2"/>
          <w:sz w:val="22"/>
          <w:szCs w:val="22"/>
          <w:lang w:val="en-GB" w:eastAsia="en-GB"/>
          <w14:ligatures w14:val="standardContextual"/>
        </w:rPr>
      </w:pPr>
      <w:hyperlink w:anchor="_Toc147910073" w:history="1">
        <w:r w:rsidRPr="00D613D3">
          <w:rPr>
            <w:rStyle w:val="Hyperlink"/>
            <w:bCs/>
            <w:noProof/>
            <w:lang w:val="ga"/>
          </w:rPr>
          <w:t>2. Na Príomhfhionnachtana don bhliain 2022</w:t>
        </w:r>
        <w:r>
          <w:rPr>
            <w:noProof/>
            <w:webHidden/>
          </w:rPr>
          <w:tab/>
        </w:r>
        <w:r>
          <w:rPr>
            <w:noProof/>
            <w:webHidden/>
          </w:rPr>
          <w:fldChar w:fldCharType="begin"/>
        </w:r>
        <w:r>
          <w:rPr>
            <w:noProof/>
            <w:webHidden/>
          </w:rPr>
          <w:instrText xml:space="preserve"> PAGEREF _Toc147910073 \h </w:instrText>
        </w:r>
        <w:r>
          <w:rPr>
            <w:noProof/>
            <w:webHidden/>
          </w:rPr>
        </w:r>
        <w:r>
          <w:rPr>
            <w:noProof/>
            <w:webHidden/>
          </w:rPr>
          <w:fldChar w:fldCharType="separate"/>
        </w:r>
        <w:r w:rsidR="00AA0798">
          <w:rPr>
            <w:noProof/>
            <w:webHidden/>
          </w:rPr>
          <w:t>18</w:t>
        </w:r>
        <w:r>
          <w:rPr>
            <w:noProof/>
            <w:webHidden/>
          </w:rPr>
          <w:fldChar w:fldCharType="end"/>
        </w:r>
      </w:hyperlink>
    </w:p>
    <w:p w14:paraId="7A4892B5" w14:textId="6AE92448"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4" w:history="1">
        <w:r w:rsidRPr="00D613D3">
          <w:rPr>
            <w:rStyle w:val="Hyperlink"/>
            <w:bCs/>
            <w:noProof/>
            <w:lang w:val="ga"/>
          </w:rPr>
          <w:t>2.1 Na Príomhfhionnachtana don bhliain 2022</w:t>
        </w:r>
        <w:r>
          <w:rPr>
            <w:noProof/>
            <w:webHidden/>
          </w:rPr>
          <w:tab/>
        </w:r>
        <w:r>
          <w:rPr>
            <w:noProof/>
            <w:webHidden/>
          </w:rPr>
          <w:fldChar w:fldCharType="begin"/>
        </w:r>
        <w:r>
          <w:rPr>
            <w:noProof/>
            <w:webHidden/>
          </w:rPr>
          <w:instrText xml:space="preserve"> PAGEREF _Toc147910074 \h </w:instrText>
        </w:r>
        <w:r>
          <w:rPr>
            <w:noProof/>
            <w:webHidden/>
          </w:rPr>
        </w:r>
        <w:r>
          <w:rPr>
            <w:noProof/>
            <w:webHidden/>
          </w:rPr>
          <w:fldChar w:fldCharType="separate"/>
        </w:r>
        <w:r w:rsidR="00AA0798">
          <w:rPr>
            <w:noProof/>
            <w:webHidden/>
          </w:rPr>
          <w:t>18</w:t>
        </w:r>
        <w:r>
          <w:rPr>
            <w:noProof/>
            <w:webHidden/>
          </w:rPr>
          <w:fldChar w:fldCharType="end"/>
        </w:r>
      </w:hyperlink>
    </w:p>
    <w:p w14:paraId="4D313100" w14:textId="6F71B629"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5" w:history="1">
        <w:r w:rsidRPr="00D613D3">
          <w:rPr>
            <w:rStyle w:val="Hyperlink"/>
            <w:bCs/>
            <w:noProof/>
            <w:lang w:val="ga"/>
          </w:rPr>
          <w:t>2.2 Anailís de réir an chineáil comhlachta earnála poiblí</w:t>
        </w:r>
        <w:r>
          <w:rPr>
            <w:noProof/>
            <w:webHidden/>
          </w:rPr>
          <w:tab/>
        </w:r>
        <w:r>
          <w:rPr>
            <w:noProof/>
            <w:webHidden/>
          </w:rPr>
          <w:fldChar w:fldCharType="begin"/>
        </w:r>
        <w:r>
          <w:rPr>
            <w:noProof/>
            <w:webHidden/>
          </w:rPr>
          <w:instrText xml:space="preserve"> PAGEREF _Toc147910075 \h </w:instrText>
        </w:r>
        <w:r>
          <w:rPr>
            <w:noProof/>
            <w:webHidden/>
          </w:rPr>
        </w:r>
        <w:r>
          <w:rPr>
            <w:noProof/>
            <w:webHidden/>
          </w:rPr>
          <w:fldChar w:fldCharType="separate"/>
        </w:r>
        <w:r w:rsidR="00AA0798">
          <w:rPr>
            <w:noProof/>
            <w:webHidden/>
          </w:rPr>
          <w:t>19</w:t>
        </w:r>
        <w:r>
          <w:rPr>
            <w:noProof/>
            <w:webHidden/>
          </w:rPr>
          <w:fldChar w:fldCharType="end"/>
        </w:r>
      </w:hyperlink>
    </w:p>
    <w:p w14:paraId="7331A197" w14:textId="4A33CE84"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6" w:history="1">
        <w:r w:rsidRPr="00D613D3">
          <w:rPr>
            <w:rStyle w:val="Hyperlink"/>
            <w:bCs/>
            <w:noProof/>
            <w:lang w:val="ga"/>
          </w:rPr>
          <w:t>2.3 Anailís de réir mhéid an chomhlachta earnála poiblí</w:t>
        </w:r>
        <w:r>
          <w:rPr>
            <w:noProof/>
            <w:webHidden/>
          </w:rPr>
          <w:tab/>
        </w:r>
        <w:r>
          <w:rPr>
            <w:noProof/>
            <w:webHidden/>
          </w:rPr>
          <w:fldChar w:fldCharType="begin"/>
        </w:r>
        <w:r>
          <w:rPr>
            <w:noProof/>
            <w:webHidden/>
          </w:rPr>
          <w:instrText xml:space="preserve"> PAGEREF _Toc147910076 \h </w:instrText>
        </w:r>
        <w:r>
          <w:rPr>
            <w:noProof/>
            <w:webHidden/>
          </w:rPr>
        </w:r>
        <w:r>
          <w:rPr>
            <w:noProof/>
            <w:webHidden/>
          </w:rPr>
          <w:fldChar w:fldCharType="separate"/>
        </w:r>
        <w:r w:rsidR="00AA0798">
          <w:rPr>
            <w:noProof/>
            <w:webHidden/>
          </w:rPr>
          <w:t>23</w:t>
        </w:r>
        <w:r>
          <w:rPr>
            <w:noProof/>
            <w:webHidden/>
          </w:rPr>
          <w:fldChar w:fldCharType="end"/>
        </w:r>
      </w:hyperlink>
    </w:p>
    <w:p w14:paraId="521120D4" w14:textId="5C04C962"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7" w:history="1">
        <w:r w:rsidRPr="00D613D3">
          <w:rPr>
            <w:rStyle w:val="Hyperlink"/>
            <w:bCs/>
            <w:noProof/>
            <w:lang w:val="ga"/>
          </w:rPr>
          <w:t>2.4 Samhlacha Dea-Chleachtais</w:t>
        </w:r>
        <w:r>
          <w:rPr>
            <w:noProof/>
            <w:webHidden/>
          </w:rPr>
          <w:tab/>
        </w:r>
        <w:r>
          <w:rPr>
            <w:noProof/>
            <w:webHidden/>
          </w:rPr>
          <w:fldChar w:fldCharType="begin"/>
        </w:r>
        <w:r>
          <w:rPr>
            <w:noProof/>
            <w:webHidden/>
          </w:rPr>
          <w:instrText xml:space="preserve"> PAGEREF _Toc147910077 \h </w:instrText>
        </w:r>
        <w:r>
          <w:rPr>
            <w:noProof/>
            <w:webHidden/>
          </w:rPr>
        </w:r>
        <w:r>
          <w:rPr>
            <w:noProof/>
            <w:webHidden/>
          </w:rPr>
          <w:fldChar w:fldCharType="separate"/>
        </w:r>
        <w:r w:rsidR="00AA0798">
          <w:rPr>
            <w:noProof/>
            <w:webHidden/>
          </w:rPr>
          <w:t>25</w:t>
        </w:r>
        <w:r>
          <w:rPr>
            <w:noProof/>
            <w:webHidden/>
          </w:rPr>
          <w:fldChar w:fldCharType="end"/>
        </w:r>
      </w:hyperlink>
    </w:p>
    <w:p w14:paraId="76255255" w14:textId="1DBE525F"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78" w:history="1">
        <w:r w:rsidRPr="00D613D3">
          <w:rPr>
            <w:rStyle w:val="Hyperlink"/>
            <w:bCs/>
            <w:noProof/>
            <w:lang w:val="ga"/>
          </w:rPr>
          <w:t>2.5 An Móiminteam a Choinneáil ar Bun</w:t>
        </w:r>
        <w:r>
          <w:rPr>
            <w:noProof/>
            <w:webHidden/>
          </w:rPr>
          <w:tab/>
        </w:r>
        <w:r>
          <w:rPr>
            <w:noProof/>
            <w:webHidden/>
          </w:rPr>
          <w:fldChar w:fldCharType="begin"/>
        </w:r>
        <w:r>
          <w:rPr>
            <w:noProof/>
            <w:webHidden/>
          </w:rPr>
          <w:instrText xml:space="preserve"> PAGEREF _Toc147910078 \h </w:instrText>
        </w:r>
        <w:r>
          <w:rPr>
            <w:noProof/>
            <w:webHidden/>
          </w:rPr>
        </w:r>
        <w:r>
          <w:rPr>
            <w:noProof/>
            <w:webHidden/>
          </w:rPr>
          <w:fldChar w:fldCharType="separate"/>
        </w:r>
        <w:r w:rsidR="00AA0798">
          <w:rPr>
            <w:noProof/>
            <w:webHidden/>
          </w:rPr>
          <w:t>27</w:t>
        </w:r>
        <w:r>
          <w:rPr>
            <w:noProof/>
            <w:webHidden/>
          </w:rPr>
          <w:fldChar w:fldCharType="end"/>
        </w:r>
      </w:hyperlink>
    </w:p>
    <w:p w14:paraId="10D4879C" w14:textId="3705CCEB" w:rsidR="00A9276A" w:rsidRDefault="00A9276A">
      <w:pPr>
        <w:pStyle w:val="TOC1"/>
        <w:rPr>
          <w:rFonts w:asciiTheme="minorHAnsi" w:eastAsiaTheme="minorEastAsia" w:hAnsiTheme="minorHAnsi" w:cstheme="minorBidi"/>
          <w:b w:val="0"/>
          <w:noProof/>
          <w:kern w:val="2"/>
          <w:sz w:val="22"/>
          <w:szCs w:val="22"/>
          <w:lang w:val="en-GB" w:eastAsia="en-GB"/>
          <w14:ligatures w14:val="standardContextual"/>
        </w:rPr>
      </w:pPr>
      <w:hyperlink w:anchor="_Toc147910079" w:history="1">
        <w:r w:rsidRPr="00D613D3">
          <w:rPr>
            <w:rStyle w:val="Hyperlink"/>
            <w:bCs/>
            <w:noProof/>
            <w:kern w:val="32"/>
            <w:lang w:val="ga"/>
          </w:rPr>
          <w:t xml:space="preserve">3. </w:t>
        </w:r>
        <w:r w:rsidRPr="00D613D3">
          <w:rPr>
            <w:rStyle w:val="Hyperlink"/>
            <w:bCs/>
            <w:noProof/>
            <w:lang w:val="ga"/>
          </w:rPr>
          <w:t>Faireachán agus Comhlíonadh</w:t>
        </w:r>
        <w:r>
          <w:rPr>
            <w:noProof/>
            <w:webHidden/>
          </w:rPr>
          <w:tab/>
        </w:r>
        <w:r>
          <w:rPr>
            <w:noProof/>
            <w:webHidden/>
          </w:rPr>
          <w:fldChar w:fldCharType="begin"/>
        </w:r>
        <w:r>
          <w:rPr>
            <w:noProof/>
            <w:webHidden/>
          </w:rPr>
          <w:instrText xml:space="preserve"> PAGEREF _Toc147910079 \h </w:instrText>
        </w:r>
        <w:r>
          <w:rPr>
            <w:noProof/>
            <w:webHidden/>
          </w:rPr>
        </w:r>
        <w:r>
          <w:rPr>
            <w:noProof/>
            <w:webHidden/>
          </w:rPr>
          <w:fldChar w:fldCharType="separate"/>
        </w:r>
        <w:r w:rsidR="00AA0798">
          <w:rPr>
            <w:noProof/>
            <w:webHidden/>
          </w:rPr>
          <w:t>28</w:t>
        </w:r>
        <w:r>
          <w:rPr>
            <w:noProof/>
            <w:webHidden/>
          </w:rPr>
          <w:fldChar w:fldCharType="end"/>
        </w:r>
      </w:hyperlink>
    </w:p>
    <w:p w14:paraId="4463218C" w14:textId="5FFA8549"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0" w:history="1">
        <w:r w:rsidRPr="00D613D3">
          <w:rPr>
            <w:rStyle w:val="Hyperlink"/>
            <w:bCs/>
            <w:noProof/>
            <w:lang w:val="ga"/>
          </w:rPr>
          <w:t>3.1 Comhlíonadh faoi Chuid 5 den Acht um Míchumas</w:t>
        </w:r>
        <w:r>
          <w:rPr>
            <w:noProof/>
            <w:webHidden/>
          </w:rPr>
          <w:tab/>
        </w:r>
        <w:r>
          <w:rPr>
            <w:noProof/>
            <w:webHidden/>
          </w:rPr>
          <w:fldChar w:fldCharType="begin"/>
        </w:r>
        <w:r>
          <w:rPr>
            <w:noProof/>
            <w:webHidden/>
          </w:rPr>
          <w:instrText xml:space="preserve"> PAGEREF _Toc147910080 \h </w:instrText>
        </w:r>
        <w:r>
          <w:rPr>
            <w:noProof/>
            <w:webHidden/>
          </w:rPr>
        </w:r>
        <w:r>
          <w:rPr>
            <w:noProof/>
            <w:webHidden/>
          </w:rPr>
          <w:fldChar w:fldCharType="separate"/>
        </w:r>
        <w:r w:rsidR="00AA0798">
          <w:rPr>
            <w:noProof/>
            <w:webHidden/>
          </w:rPr>
          <w:t>28</w:t>
        </w:r>
        <w:r>
          <w:rPr>
            <w:noProof/>
            <w:webHidden/>
          </w:rPr>
          <w:fldChar w:fldCharType="end"/>
        </w:r>
      </w:hyperlink>
    </w:p>
    <w:p w14:paraId="2A0AC257" w14:textId="6C500DB9"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1" w:history="1">
        <w:r w:rsidRPr="00D613D3">
          <w:rPr>
            <w:rStyle w:val="Hyperlink"/>
            <w:bCs/>
            <w:noProof/>
            <w:lang w:val="ga"/>
          </w:rPr>
          <w:t>3.2 Comhlíonadh an Achta, 2020 agus 2021</w:t>
        </w:r>
        <w:r>
          <w:rPr>
            <w:noProof/>
            <w:webHidden/>
          </w:rPr>
          <w:tab/>
        </w:r>
        <w:r>
          <w:rPr>
            <w:noProof/>
            <w:webHidden/>
          </w:rPr>
          <w:fldChar w:fldCharType="begin"/>
        </w:r>
        <w:r>
          <w:rPr>
            <w:noProof/>
            <w:webHidden/>
          </w:rPr>
          <w:instrText xml:space="preserve"> PAGEREF _Toc147910081 \h </w:instrText>
        </w:r>
        <w:r>
          <w:rPr>
            <w:noProof/>
            <w:webHidden/>
          </w:rPr>
        </w:r>
        <w:r>
          <w:rPr>
            <w:noProof/>
            <w:webHidden/>
          </w:rPr>
          <w:fldChar w:fldCharType="separate"/>
        </w:r>
        <w:r w:rsidR="00AA0798">
          <w:rPr>
            <w:noProof/>
            <w:webHidden/>
          </w:rPr>
          <w:t>30</w:t>
        </w:r>
        <w:r>
          <w:rPr>
            <w:noProof/>
            <w:webHidden/>
          </w:rPr>
          <w:fldChar w:fldCharType="end"/>
        </w:r>
      </w:hyperlink>
    </w:p>
    <w:p w14:paraId="79CE4C35" w14:textId="3FCBECB6"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2" w:history="1">
        <w:r w:rsidRPr="00D613D3">
          <w:rPr>
            <w:rStyle w:val="Hyperlink"/>
            <w:bCs/>
            <w:noProof/>
            <w:lang w:val="ga"/>
          </w:rPr>
          <w:t>3.3 Comhlíonadh an Achta, 2021 agus 2022</w:t>
        </w:r>
        <w:r>
          <w:rPr>
            <w:noProof/>
            <w:webHidden/>
          </w:rPr>
          <w:tab/>
        </w:r>
        <w:r>
          <w:rPr>
            <w:noProof/>
            <w:webHidden/>
          </w:rPr>
          <w:fldChar w:fldCharType="begin"/>
        </w:r>
        <w:r>
          <w:rPr>
            <w:noProof/>
            <w:webHidden/>
          </w:rPr>
          <w:instrText xml:space="preserve"> PAGEREF _Toc147910082 \h </w:instrText>
        </w:r>
        <w:r>
          <w:rPr>
            <w:noProof/>
            <w:webHidden/>
          </w:rPr>
        </w:r>
        <w:r>
          <w:rPr>
            <w:noProof/>
            <w:webHidden/>
          </w:rPr>
          <w:fldChar w:fldCharType="separate"/>
        </w:r>
        <w:r w:rsidR="00AA0798">
          <w:rPr>
            <w:noProof/>
            <w:webHidden/>
          </w:rPr>
          <w:t>31</w:t>
        </w:r>
        <w:r>
          <w:rPr>
            <w:noProof/>
            <w:webHidden/>
          </w:rPr>
          <w:fldChar w:fldCharType="end"/>
        </w:r>
      </w:hyperlink>
    </w:p>
    <w:p w14:paraId="7A4E8DD4" w14:textId="5E05123E"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3" w:history="1">
        <w:r w:rsidRPr="00D613D3">
          <w:rPr>
            <w:rStyle w:val="Hyperlink"/>
            <w:bCs/>
            <w:noProof/>
            <w:lang w:val="ga"/>
          </w:rPr>
          <w:t>3.4 Coistí Faireacháin</w:t>
        </w:r>
        <w:r>
          <w:rPr>
            <w:noProof/>
            <w:webHidden/>
          </w:rPr>
          <w:tab/>
        </w:r>
        <w:r>
          <w:rPr>
            <w:noProof/>
            <w:webHidden/>
          </w:rPr>
          <w:fldChar w:fldCharType="begin"/>
        </w:r>
        <w:r>
          <w:rPr>
            <w:noProof/>
            <w:webHidden/>
          </w:rPr>
          <w:instrText xml:space="preserve"> PAGEREF _Toc147910083 \h </w:instrText>
        </w:r>
        <w:r>
          <w:rPr>
            <w:noProof/>
            <w:webHidden/>
          </w:rPr>
        </w:r>
        <w:r>
          <w:rPr>
            <w:noProof/>
            <w:webHidden/>
          </w:rPr>
          <w:fldChar w:fldCharType="separate"/>
        </w:r>
        <w:r w:rsidR="00AA0798">
          <w:rPr>
            <w:noProof/>
            <w:webHidden/>
          </w:rPr>
          <w:t>32</w:t>
        </w:r>
        <w:r>
          <w:rPr>
            <w:noProof/>
            <w:webHidden/>
          </w:rPr>
          <w:fldChar w:fldCharType="end"/>
        </w:r>
      </w:hyperlink>
    </w:p>
    <w:p w14:paraId="32A3F288" w14:textId="2CA8A55B"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4" w:history="1">
        <w:r w:rsidRPr="00D613D3">
          <w:rPr>
            <w:rStyle w:val="Hyperlink"/>
            <w:bCs/>
            <w:noProof/>
            <w:lang w:val="ga"/>
          </w:rPr>
          <w:t>3.5 Earráidí – athruithe i sonraí</w:t>
        </w:r>
        <w:r>
          <w:rPr>
            <w:noProof/>
            <w:webHidden/>
          </w:rPr>
          <w:tab/>
        </w:r>
        <w:r>
          <w:rPr>
            <w:noProof/>
            <w:webHidden/>
          </w:rPr>
          <w:fldChar w:fldCharType="begin"/>
        </w:r>
        <w:r>
          <w:rPr>
            <w:noProof/>
            <w:webHidden/>
          </w:rPr>
          <w:instrText xml:space="preserve"> PAGEREF _Toc147910084 \h </w:instrText>
        </w:r>
        <w:r>
          <w:rPr>
            <w:noProof/>
            <w:webHidden/>
          </w:rPr>
        </w:r>
        <w:r>
          <w:rPr>
            <w:noProof/>
            <w:webHidden/>
          </w:rPr>
          <w:fldChar w:fldCharType="separate"/>
        </w:r>
        <w:r w:rsidR="00AA0798">
          <w:rPr>
            <w:noProof/>
            <w:webHidden/>
          </w:rPr>
          <w:t>32</w:t>
        </w:r>
        <w:r>
          <w:rPr>
            <w:noProof/>
            <w:webHidden/>
          </w:rPr>
          <w:fldChar w:fldCharType="end"/>
        </w:r>
      </w:hyperlink>
    </w:p>
    <w:p w14:paraId="569C1044" w14:textId="03DA4745" w:rsidR="00A9276A" w:rsidRDefault="00A9276A">
      <w:pPr>
        <w:pStyle w:val="TOC1"/>
        <w:rPr>
          <w:rFonts w:asciiTheme="minorHAnsi" w:eastAsiaTheme="minorEastAsia" w:hAnsiTheme="minorHAnsi" w:cstheme="minorBidi"/>
          <w:b w:val="0"/>
          <w:noProof/>
          <w:kern w:val="2"/>
          <w:sz w:val="22"/>
          <w:szCs w:val="22"/>
          <w:lang w:val="en-GB" w:eastAsia="en-GB"/>
          <w14:ligatures w14:val="standardContextual"/>
        </w:rPr>
      </w:pPr>
      <w:hyperlink w:anchor="_Toc147910085" w:history="1">
        <w:r w:rsidRPr="00D613D3">
          <w:rPr>
            <w:rStyle w:val="Hyperlink"/>
            <w:bCs/>
            <w:noProof/>
            <w:lang w:val="ga"/>
          </w:rPr>
          <w:t>Aguisín A – Ranna Rialtais</w:t>
        </w:r>
        <w:r>
          <w:rPr>
            <w:noProof/>
            <w:webHidden/>
          </w:rPr>
          <w:tab/>
        </w:r>
        <w:r>
          <w:rPr>
            <w:noProof/>
            <w:webHidden/>
          </w:rPr>
          <w:fldChar w:fldCharType="begin"/>
        </w:r>
        <w:r>
          <w:rPr>
            <w:noProof/>
            <w:webHidden/>
          </w:rPr>
          <w:instrText xml:space="preserve"> PAGEREF _Toc147910085 \h </w:instrText>
        </w:r>
        <w:r>
          <w:rPr>
            <w:noProof/>
            <w:webHidden/>
          </w:rPr>
        </w:r>
        <w:r>
          <w:rPr>
            <w:noProof/>
            <w:webHidden/>
          </w:rPr>
          <w:fldChar w:fldCharType="separate"/>
        </w:r>
        <w:r w:rsidR="00AA0798">
          <w:rPr>
            <w:noProof/>
            <w:webHidden/>
          </w:rPr>
          <w:t>33</w:t>
        </w:r>
        <w:r>
          <w:rPr>
            <w:noProof/>
            <w:webHidden/>
          </w:rPr>
          <w:fldChar w:fldCharType="end"/>
        </w:r>
      </w:hyperlink>
    </w:p>
    <w:p w14:paraId="3C28D7C5" w14:textId="62CEEE56" w:rsidR="00A9276A" w:rsidRDefault="00A9276A">
      <w:pPr>
        <w:pStyle w:val="TOC1"/>
        <w:rPr>
          <w:rFonts w:asciiTheme="minorHAnsi" w:eastAsiaTheme="minorEastAsia" w:hAnsiTheme="minorHAnsi" w:cstheme="minorBidi"/>
          <w:b w:val="0"/>
          <w:noProof/>
          <w:kern w:val="2"/>
          <w:sz w:val="22"/>
          <w:szCs w:val="22"/>
          <w:lang w:val="en-GB" w:eastAsia="en-GB"/>
          <w14:ligatures w14:val="standardContextual"/>
        </w:rPr>
      </w:pPr>
      <w:hyperlink w:anchor="_Toc147910086" w:history="1">
        <w:r w:rsidRPr="00D613D3">
          <w:rPr>
            <w:rStyle w:val="Hyperlink"/>
            <w:bCs/>
            <w:noProof/>
            <w:lang w:val="ga"/>
          </w:rPr>
          <w:t>Aguisín B – Comhlachtaí poiblí</w:t>
        </w:r>
        <w:r>
          <w:rPr>
            <w:noProof/>
            <w:webHidden/>
          </w:rPr>
          <w:tab/>
        </w:r>
        <w:r>
          <w:rPr>
            <w:noProof/>
            <w:webHidden/>
          </w:rPr>
          <w:fldChar w:fldCharType="begin"/>
        </w:r>
        <w:r>
          <w:rPr>
            <w:noProof/>
            <w:webHidden/>
          </w:rPr>
          <w:instrText xml:space="preserve"> PAGEREF _Toc147910086 \h </w:instrText>
        </w:r>
        <w:r>
          <w:rPr>
            <w:noProof/>
            <w:webHidden/>
          </w:rPr>
        </w:r>
        <w:r>
          <w:rPr>
            <w:noProof/>
            <w:webHidden/>
          </w:rPr>
          <w:fldChar w:fldCharType="separate"/>
        </w:r>
        <w:r w:rsidR="00AA0798">
          <w:rPr>
            <w:noProof/>
            <w:webHidden/>
          </w:rPr>
          <w:t>35</w:t>
        </w:r>
        <w:r>
          <w:rPr>
            <w:noProof/>
            <w:webHidden/>
          </w:rPr>
          <w:fldChar w:fldCharType="end"/>
        </w:r>
      </w:hyperlink>
    </w:p>
    <w:p w14:paraId="05EA7CF5" w14:textId="5B21F00B"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7" w:history="1">
        <w:r w:rsidRPr="00D613D3">
          <w:rPr>
            <w:rStyle w:val="Hyperlink"/>
            <w:bCs/>
            <w:noProof/>
            <w:lang w:val="ga"/>
          </w:rPr>
          <w:t>An Roinn Talmhaíochta, Bia agus Mara</w:t>
        </w:r>
        <w:r>
          <w:rPr>
            <w:noProof/>
            <w:webHidden/>
          </w:rPr>
          <w:tab/>
        </w:r>
        <w:r>
          <w:rPr>
            <w:noProof/>
            <w:webHidden/>
          </w:rPr>
          <w:fldChar w:fldCharType="begin"/>
        </w:r>
        <w:r>
          <w:rPr>
            <w:noProof/>
            <w:webHidden/>
          </w:rPr>
          <w:instrText xml:space="preserve"> PAGEREF _Toc147910087 \h </w:instrText>
        </w:r>
        <w:r>
          <w:rPr>
            <w:noProof/>
            <w:webHidden/>
          </w:rPr>
        </w:r>
        <w:r>
          <w:rPr>
            <w:noProof/>
            <w:webHidden/>
          </w:rPr>
          <w:fldChar w:fldCharType="separate"/>
        </w:r>
        <w:r w:rsidR="00AA0798">
          <w:rPr>
            <w:noProof/>
            <w:webHidden/>
          </w:rPr>
          <w:t>35</w:t>
        </w:r>
        <w:r>
          <w:rPr>
            <w:noProof/>
            <w:webHidden/>
          </w:rPr>
          <w:fldChar w:fldCharType="end"/>
        </w:r>
      </w:hyperlink>
    </w:p>
    <w:p w14:paraId="0FC8750F" w14:textId="28482AFC"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8" w:history="1">
        <w:r w:rsidRPr="00D613D3">
          <w:rPr>
            <w:rStyle w:val="Hyperlink"/>
            <w:bCs/>
            <w:noProof/>
            <w:lang w:val="ga"/>
          </w:rPr>
          <w:t>An Roinn Leanaí, Comhionannais, Míchumais, Lánpháirtíochta agus Óige</w:t>
        </w:r>
        <w:r>
          <w:rPr>
            <w:noProof/>
            <w:webHidden/>
          </w:rPr>
          <w:tab/>
        </w:r>
        <w:r>
          <w:rPr>
            <w:noProof/>
            <w:webHidden/>
          </w:rPr>
          <w:fldChar w:fldCharType="begin"/>
        </w:r>
        <w:r>
          <w:rPr>
            <w:noProof/>
            <w:webHidden/>
          </w:rPr>
          <w:instrText xml:space="preserve"> PAGEREF _Toc147910088 \h </w:instrText>
        </w:r>
        <w:r>
          <w:rPr>
            <w:noProof/>
            <w:webHidden/>
          </w:rPr>
        </w:r>
        <w:r>
          <w:rPr>
            <w:noProof/>
            <w:webHidden/>
          </w:rPr>
          <w:fldChar w:fldCharType="separate"/>
        </w:r>
        <w:r w:rsidR="00AA0798">
          <w:rPr>
            <w:noProof/>
            <w:webHidden/>
          </w:rPr>
          <w:t>36</w:t>
        </w:r>
        <w:r>
          <w:rPr>
            <w:noProof/>
            <w:webHidden/>
          </w:rPr>
          <w:fldChar w:fldCharType="end"/>
        </w:r>
      </w:hyperlink>
    </w:p>
    <w:p w14:paraId="183F80D1" w14:textId="6A7E30C1"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89" w:history="1">
        <w:r w:rsidRPr="00D613D3">
          <w:rPr>
            <w:rStyle w:val="Hyperlink"/>
            <w:bCs/>
            <w:noProof/>
            <w:lang w:val="ga"/>
          </w:rPr>
          <w:t>An Roinn Fiontar, Trádála agus Fostaíochta</w:t>
        </w:r>
        <w:r>
          <w:rPr>
            <w:noProof/>
            <w:webHidden/>
          </w:rPr>
          <w:tab/>
        </w:r>
        <w:r>
          <w:rPr>
            <w:noProof/>
            <w:webHidden/>
          </w:rPr>
          <w:fldChar w:fldCharType="begin"/>
        </w:r>
        <w:r>
          <w:rPr>
            <w:noProof/>
            <w:webHidden/>
          </w:rPr>
          <w:instrText xml:space="preserve"> PAGEREF _Toc147910089 \h </w:instrText>
        </w:r>
        <w:r>
          <w:rPr>
            <w:noProof/>
            <w:webHidden/>
          </w:rPr>
        </w:r>
        <w:r>
          <w:rPr>
            <w:noProof/>
            <w:webHidden/>
          </w:rPr>
          <w:fldChar w:fldCharType="separate"/>
        </w:r>
        <w:r w:rsidR="00AA0798">
          <w:rPr>
            <w:noProof/>
            <w:webHidden/>
          </w:rPr>
          <w:t>37</w:t>
        </w:r>
        <w:r>
          <w:rPr>
            <w:noProof/>
            <w:webHidden/>
          </w:rPr>
          <w:fldChar w:fldCharType="end"/>
        </w:r>
      </w:hyperlink>
    </w:p>
    <w:p w14:paraId="573D8686" w14:textId="7A9633E8"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0" w:history="1">
        <w:r w:rsidRPr="00D613D3">
          <w:rPr>
            <w:rStyle w:val="Hyperlink"/>
            <w:bCs/>
            <w:noProof/>
            <w:lang w:val="ga"/>
          </w:rPr>
          <w:t>An Roinn Airgeadais</w:t>
        </w:r>
        <w:r>
          <w:rPr>
            <w:noProof/>
            <w:webHidden/>
          </w:rPr>
          <w:tab/>
        </w:r>
        <w:r>
          <w:rPr>
            <w:noProof/>
            <w:webHidden/>
          </w:rPr>
          <w:fldChar w:fldCharType="begin"/>
        </w:r>
        <w:r>
          <w:rPr>
            <w:noProof/>
            <w:webHidden/>
          </w:rPr>
          <w:instrText xml:space="preserve"> PAGEREF _Toc147910090 \h </w:instrText>
        </w:r>
        <w:r>
          <w:rPr>
            <w:noProof/>
            <w:webHidden/>
          </w:rPr>
        </w:r>
        <w:r>
          <w:rPr>
            <w:noProof/>
            <w:webHidden/>
          </w:rPr>
          <w:fldChar w:fldCharType="separate"/>
        </w:r>
        <w:r w:rsidR="00AA0798">
          <w:rPr>
            <w:noProof/>
            <w:webHidden/>
          </w:rPr>
          <w:t>38</w:t>
        </w:r>
        <w:r>
          <w:rPr>
            <w:noProof/>
            <w:webHidden/>
          </w:rPr>
          <w:fldChar w:fldCharType="end"/>
        </w:r>
      </w:hyperlink>
    </w:p>
    <w:p w14:paraId="6E5EB026" w14:textId="55C8502F"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1" w:history="1">
        <w:r w:rsidRPr="00D613D3">
          <w:rPr>
            <w:rStyle w:val="Hyperlink"/>
            <w:bCs/>
            <w:noProof/>
            <w:lang w:val="ga"/>
          </w:rPr>
          <w:t>An Roinn Breisoideachais agus Ardoideachais, Taighde, Nuálaíochta agus Eolaíochta</w:t>
        </w:r>
        <w:r>
          <w:rPr>
            <w:noProof/>
            <w:webHidden/>
          </w:rPr>
          <w:tab/>
        </w:r>
        <w:r>
          <w:rPr>
            <w:noProof/>
            <w:webHidden/>
          </w:rPr>
          <w:fldChar w:fldCharType="begin"/>
        </w:r>
        <w:r>
          <w:rPr>
            <w:noProof/>
            <w:webHidden/>
          </w:rPr>
          <w:instrText xml:space="preserve"> PAGEREF _Toc147910091 \h </w:instrText>
        </w:r>
        <w:r>
          <w:rPr>
            <w:noProof/>
            <w:webHidden/>
          </w:rPr>
        </w:r>
        <w:r>
          <w:rPr>
            <w:noProof/>
            <w:webHidden/>
          </w:rPr>
          <w:fldChar w:fldCharType="separate"/>
        </w:r>
        <w:r w:rsidR="00AA0798">
          <w:rPr>
            <w:noProof/>
            <w:webHidden/>
          </w:rPr>
          <w:t>39</w:t>
        </w:r>
        <w:r>
          <w:rPr>
            <w:noProof/>
            <w:webHidden/>
          </w:rPr>
          <w:fldChar w:fldCharType="end"/>
        </w:r>
      </w:hyperlink>
    </w:p>
    <w:p w14:paraId="41988A1B" w14:textId="220E0EA4"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2" w:history="1">
        <w:r w:rsidRPr="00D613D3">
          <w:rPr>
            <w:rStyle w:val="Hyperlink"/>
            <w:bCs/>
            <w:noProof/>
            <w:lang w:val="ga"/>
          </w:rPr>
          <w:t>An Roinn Sláinte</w:t>
        </w:r>
        <w:r>
          <w:rPr>
            <w:noProof/>
            <w:webHidden/>
          </w:rPr>
          <w:tab/>
        </w:r>
        <w:r>
          <w:rPr>
            <w:noProof/>
            <w:webHidden/>
          </w:rPr>
          <w:fldChar w:fldCharType="begin"/>
        </w:r>
        <w:r>
          <w:rPr>
            <w:noProof/>
            <w:webHidden/>
          </w:rPr>
          <w:instrText xml:space="preserve"> PAGEREF _Toc147910092 \h </w:instrText>
        </w:r>
        <w:r>
          <w:rPr>
            <w:noProof/>
            <w:webHidden/>
          </w:rPr>
        </w:r>
        <w:r>
          <w:rPr>
            <w:noProof/>
            <w:webHidden/>
          </w:rPr>
          <w:fldChar w:fldCharType="separate"/>
        </w:r>
        <w:r w:rsidR="00AA0798">
          <w:rPr>
            <w:noProof/>
            <w:webHidden/>
          </w:rPr>
          <w:t>42</w:t>
        </w:r>
        <w:r>
          <w:rPr>
            <w:noProof/>
            <w:webHidden/>
          </w:rPr>
          <w:fldChar w:fldCharType="end"/>
        </w:r>
      </w:hyperlink>
    </w:p>
    <w:p w14:paraId="13F701A8" w14:textId="14592E5F"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3" w:history="1">
        <w:r w:rsidRPr="00D613D3">
          <w:rPr>
            <w:rStyle w:val="Hyperlink"/>
            <w:bCs/>
            <w:noProof/>
            <w:lang w:val="ga"/>
          </w:rPr>
          <w:t>An Roinn Tithíochta, Rialtais Áitiúil agus Oidhreachta</w:t>
        </w:r>
        <w:r>
          <w:rPr>
            <w:noProof/>
            <w:webHidden/>
          </w:rPr>
          <w:tab/>
        </w:r>
        <w:r>
          <w:rPr>
            <w:noProof/>
            <w:webHidden/>
          </w:rPr>
          <w:fldChar w:fldCharType="begin"/>
        </w:r>
        <w:r>
          <w:rPr>
            <w:noProof/>
            <w:webHidden/>
          </w:rPr>
          <w:instrText xml:space="preserve"> PAGEREF _Toc147910093 \h </w:instrText>
        </w:r>
        <w:r>
          <w:rPr>
            <w:noProof/>
            <w:webHidden/>
          </w:rPr>
        </w:r>
        <w:r>
          <w:rPr>
            <w:noProof/>
            <w:webHidden/>
          </w:rPr>
          <w:fldChar w:fldCharType="separate"/>
        </w:r>
        <w:r w:rsidR="00AA0798">
          <w:rPr>
            <w:noProof/>
            <w:webHidden/>
          </w:rPr>
          <w:t>45</w:t>
        </w:r>
        <w:r>
          <w:rPr>
            <w:noProof/>
            <w:webHidden/>
          </w:rPr>
          <w:fldChar w:fldCharType="end"/>
        </w:r>
      </w:hyperlink>
    </w:p>
    <w:p w14:paraId="06074754" w14:textId="335A4FB8"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4" w:history="1">
        <w:r w:rsidRPr="00D613D3">
          <w:rPr>
            <w:rStyle w:val="Hyperlink"/>
            <w:bCs/>
            <w:noProof/>
            <w:lang w:val="ga"/>
          </w:rPr>
          <w:t>An Roinn Caiteachais Phoiblí agus Athchóirithe</w:t>
        </w:r>
        <w:r>
          <w:rPr>
            <w:noProof/>
            <w:webHidden/>
          </w:rPr>
          <w:tab/>
        </w:r>
        <w:r>
          <w:rPr>
            <w:noProof/>
            <w:webHidden/>
          </w:rPr>
          <w:fldChar w:fldCharType="begin"/>
        </w:r>
        <w:r>
          <w:rPr>
            <w:noProof/>
            <w:webHidden/>
          </w:rPr>
          <w:instrText xml:space="preserve"> PAGEREF _Toc147910094 \h </w:instrText>
        </w:r>
        <w:r>
          <w:rPr>
            <w:noProof/>
            <w:webHidden/>
          </w:rPr>
        </w:r>
        <w:r>
          <w:rPr>
            <w:noProof/>
            <w:webHidden/>
          </w:rPr>
          <w:fldChar w:fldCharType="separate"/>
        </w:r>
        <w:r w:rsidR="00AA0798">
          <w:rPr>
            <w:noProof/>
            <w:webHidden/>
          </w:rPr>
          <w:t>49</w:t>
        </w:r>
        <w:r>
          <w:rPr>
            <w:noProof/>
            <w:webHidden/>
          </w:rPr>
          <w:fldChar w:fldCharType="end"/>
        </w:r>
      </w:hyperlink>
    </w:p>
    <w:p w14:paraId="604804F4" w14:textId="4C0DC9DA"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5" w:history="1">
        <w:r w:rsidRPr="00D613D3">
          <w:rPr>
            <w:rStyle w:val="Hyperlink"/>
            <w:bCs/>
            <w:noProof/>
            <w:lang w:val="ga"/>
          </w:rPr>
          <w:t>An Roinn Forbartha Tuaithe agus Pobail</w:t>
        </w:r>
        <w:r>
          <w:rPr>
            <w:noProof/>
            <w:webHidden/>
          </w:rPr>
          <w:tab/>
        </w:r>
        <w:r>
          <w:rPr>
            <w:noProof/>
            <w:webHidden/>
          </w:rPr>
          <w:fldChar w:fldCharType="begin"/>
        </w:r>
        <w:r>
          <w:rPr>
            <w:noProof/>
            <w:webHidden/>
          </w:rPr>
          <w:instrText xml:space="preserve"> PAGEREF _Toc147910095 \h </w:instrText>
        </w:r>
        <w:r>
          <w:rPr>
            <w:noProof/>
            <w:webHidden/>
          </w:rPr>
        </w:r>
        <w:r>
          <w:rPr>
            <w:noProof/>
            <w:webHidden/>
          </w:rPr>
          <w:fldChar w:fldCharType="separate"/>
        </w:r>
        <w:r w:rsidR="00AA0798">
          <w:rPr>
            <w:noProof/>
            <w:webHidden/>
          </w:rPr>
          <w:t>53</w:t>
        </w:r>
        <w:r>
          <w:rPr>
            <w:noProof/>
            <w:webHidden/>
          </w:rPr>
          <w:fldChar w:fldCharType="end"/>
        </w:r>
      </w:hyperlink>
    </w:p>
    <w:p w14:paraId="45F3019F" w14:textId="29C8AC10"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6" w:history="1">
        <w:r w:rsidRPr="00D613D3">
          <w:rPr>
            <w:rStyle w:val="Hyperlink"/>
            <w:bCs/>
            <w:noProof/>
            <w:lang w:val="ga"/>
          </w:rPr>
          <w:t>An Roinn Coimirce Sóisialaí</w:t>
        </w:r>
        <w:r>
          <w:rPr>
            <w:noProof/>
            <w:webHidden/>
          </w:rPr>
          <w:tab/>
        </w:r>
        <w:r>
          <w:rPr>
            <w:noProof/>
            <w:webHidden/>
          </w:rPr>
          <w:fldChar w:fldCharType="begin"/>
        </w:r>
        <w:r>
          <w:rPr>
            <w:noProof/>
            <w:webHidden/>
          </w:rPr>
          <w:instrText xml:space="preserve"> PAGEREF _Toc147910096 \h </w:instrText>
        </w:r>
        <w:r>
          <w:rPr>
            <w:noProof/>
            <w:webHidden/>
          </w:rPr>
        </w:r>
        <w:r>
          <w:rPr>
            <w:noProof/>
            <w:webHidden/>
          </w:rPr>
          <w:fldChar w:fldCharType="separate"/>
        </w:r>
        <w:r w:rsidR="00AA0798">
          <w:rPr>
            <w:noProof/>
            <w:webHidden/>
          </w:rPr>
          <w:t>54</w:t>
        </w:r>
        <w:r>
          <w:rPr>
            <w:noProof/>
            <w:webHidden/>
          </w:rPr>
          <w:fldChar w:fldCharType="end"/>
        </w:r>
      </w:hyperlink>
    </w:p>
    <w:p w14:paraId="169209B4" w14:textId="07AF880B"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7" w:history="1">
        <w:r w:rsidRPr="00D613D3">
          <w:rPr>
            <w:rStyle w:val="Hyperlink"/>
            <w:bCs/>
            <w:noProof/>
            <w:lang w:val="ga"/>
          </w:rPr>
          <w:t>An Roinn Comhshaoil, Aeráide agus Cumarsáide</w:t>
        </w:r>
        <w:r>
          <w:rPr>
            <w:noProof/>
            <w:webHidden/>
          </w:rPr>
          <w:tab/>
        </w:r>
        <w:r>
          <w:rPr>
            <w:noProof/>
            <w:webHidden/>
          </w:rPr>
          <w:fldChar w:fldCharType="begin"/>
        </w:r>
        <w:r>
          <w:rPr>
            <w:noProof/>
            <w:webHidden/>
          </w:rPr>
          <w:instrText xml:space="preserve"> PAGEREF _Toc147910097 \h </w:instrText>
        </w:r>
        <w:r>
          <w:rPr>
            <w:noProof/>
            <w:webHidden/>
          </w:rPr>
        </w:r>
        <w:r>
          <w:rPr>
            <w:noProof/>
            <w:webHidden/>
          </w:rPr>
          <w:fldChar w:fldCharType="separate"/>
        </w:r>
        <w:r w:rsidR="00AA0798">
          <w:rPr>
            <w:noProof/>
            <w:webHidden/>
          </w:rPr>
          <w:t>55</w:t>
        </w:r>
        <w:r>
          <w:rPr>
            <w:noProof/>
            <w:webHidden/>
          </w:rPr>
          <w:fldChar w:fldCharType="end"/>
        </w:r>
      </w:hyperlink>
    </w:p>
    <w:p w14:paraId="7B8B092A" w14:textId="1CF94EFC"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8" w:history="1">
        <w:r w:rsidRPr="00D613D3">
          <w:rPr>
            <w:rStyle w:val="Hyperlink"/>
            <w:bCs/>
            <w:noProof/>
            <w:lang w:val="ga"/>
          </w:rPr>
          <w:t>Roinn an Taoisigh</w:t>
        </w:r>
        <w:r>
          <w:rPr>
            <w:noProof/>
            <w:webHidden/>
          </w:rPr>
          <w:tab/>
        </w:r>
        <w:r>
          <w:rPr>
            <w:noProof/>
            <w:webHidden/>
          </w:rPr>
          <w:fldChar w:fldCharType="begin"/>
        </w:r>
        <w:r>
          <w:rPr>
            <w:noProof/>
            <w:webHidden/>
          </w:rPr>
          <w:instrText xml:space="preserve"> PAGEREF _Toc147910098 \h </w:instrText>
        </w:r>
        <w:r>
          <w:rPr>
            <w:noProof/>
            <w:webHidden/>
          </w:rPr>
        </w:r>
        <w:r>
          <w:rPr>
            <w:noProof/>
            <w:webHidden/>
          </w:rPr>
          <w:fldChar w:fldCharType="separate"/>
        </w:r>
        <w:r w:rsidR="00AA0798">
          <w:rPr>
            <w:noProof/>
            <w:webHidden/>
          </w:rPr>
          <w:t>56</w:t>
        </w:r>
        <w:r>
          <w:rPr>
            <w:noProof/>
            <w:webHidden/>
          </w:rPr>
          <w:fldChar w:fldCharType="end"/>
        </w:r>
      </w:hyperlink>
    </w:p>
    <w:p w14:paraId="1FEB9B1A" w14:textId="5EEB2C04"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099" w:history="1">
        <w:r w:rsidRPr="00D613D3">
          <w:rPr>
            <w:rStyle w:val="Hyperlink"/>
            <w:bCs/>
            <w:noProof/>
            <w:lang w:val="ga"/>
          </w:rPr>
          <w:t>An Roinn Turasóireachta, Cultúir, Ealaíon, Gaeltachta, Spóirt agus Meán</w:t>
        </w:r>
        <w:r>
          <w:rPr>
            <w:noProof/>
            <w:webHidden/>
          </w:rPr>
          <w:tab/>
        </w:r>
        <w:r>
          <w:rPr>
            <w:noProof/>
            <w:webHidden/>
          </w:rPr>
          <w:fldChar w:fldCharType="begin"/>
        </w:r>
        <w:r>
          <w:rPr>
            <w:noProof/>
            <w:webHidden/>
          </w:rPr>
          <w:instrText xml:space="preserve"> PAGEREF _Toc147910099 \h </w:instrText>
        </w:r>
        <w:r>
          <w:rPr>
            <w:noProof/>
            <w:webHidden/>
          </w:rPr>
        </w:r>
        <w:r>
          <w:rPr>
            <w:noProof/>
            <w:webHidden/>
          </w:rPr>
          <w:fldChar w:fldCharType="separate"/>
        </w:r>
        <w:r w:rsidR="00AA0798">
          <w:rPr>
            <w:noProof/>
            <w:webHidden/>
          </w:rPr>
          <w:t>57</w:t>
        </w:r>
        <w:r>
          <w:rPr>
            <w:noProof/>
            <w:webHidden/>
          </w:rPr>
          <w:fldChar w:fldCharType="end"/>
        </w:r>
      </w:hyperlink>
    </w:p>
    <w:p w14:paraId="2CA9FE40" w14:textId="7F7A965E" w:rsidR="00A9276A" w:rsidRDefault="00A9276A">
      <w:pPr>
        <w:pStyle w:val="TOC2"/>
        <w:rPr>
          <w:rFonts w:asciiTheme="minorHAnsi" w:eastAsiaTheme="minorEastAsia" w:hAnsiTheme="minorHAnsi" w:cstheme="minorBidi"/>
          <w:noProof/>
          <w:kern w:val="2"/>
          <w:sz w:val="22"/>
          <w:szCs w:val="22"/>
          <w:lang w:val="en-GB" w:eastAsia="en-GB"/>
          <w14:ligatures w14:val="standardContextual"/>
        </w:rPr>
      </w:pPr>
      <w:hyperlink w:anchor="_Toc147910100" w:history="1">
        <w:r w:rsidRPr="00D613D3">
          <w:rPr>
            <w:rStyle w:val="Hyperlink"/>
            <w:bCs/>
            <w:noProof/>
            <w:lang w:val="ga"/>
          </w:rPr>
          <w:t>An Roinn Iompair</w:t>
        </w:r>
        <w:r>
          <w:rPr>
            <w:noProof/>
            <w:webHidden/>
          </w:rPr>
          <w:tab/>
        </w:r>
        <w:r>
          <w:rPr>
            <w:noProof/>
            <w:webHidden/>
          </w:rPr>
          <w:fldChar w:fldCharType="begin"/>
        </w:r>
        <w:r>
          <w:rPr>
            <w:noProof/>
            <w:webHidden/>
          </w:rPr>
          <w:instrText xml:space="preserve"> PAGEREF _Toc147910100 \h </w:instrText>
        </w:r>
        <w:r>
          <w:rPr>
            <w:noProof/>
            <w:webHidden/>
          </w:rPr>
        </w:r>
        <w:r>
          <w:rPr>
            <w:noProof/>
            <w:webHidden/>
          </w:rPr>
          <w:fldChar w:fldCharType="separate"/>
        </w:r>
        <w:r w:rsidR="00AA0798">
          <w:rPr>
            <w:noProof/>
            <w:webHidden/>
          </w:rPr>
          <w:t>59</w:t>
        </w:r>
        <w:r>
          <w:rPr>
            <w:noProof/>
            <w:webHidden/>
          </w:rPr>
          <w:fldChar w:fldCharType="end"/>
        </w:r>
      </w:hyperlink>
    </w:p>
    <w:p w14:paraId="5FBF8660" w14:textId="108BB3DF" w:rsidR="00973B13" w:rsidRPr="004C3D5B" w:rsidRDefault="00973B13" w:rsidP="00973B13">
      <w:pPr>
        <w:rPr>
          <w:rFonts w:ascii="Gill Sans" w:hAnsi="Gill Sans"/>
        </w:rPr>
      </w:pPr>
      <w:r>
        <w:rPr>
          <w:rFonts w:ascii="Gill Sans" w:hAnsi="Gill Sans"/>
        </w:rPr>
        <w:fldChar w:fldCharType="end"/>
      </w:r>
    </w:p>
    <w:p w14:paraId="5192EFF5" w14:textId="77777777" w:rsidR="00973B13" w:rsidRPr="004C3D5B"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4C3D5B" w:rsidSect="00D316AD">
          <w:footerReference w:type="default" r:id="rId10"/>
          <w:pgSz w:w="12240" w:h="15840"/>
          <w:pgMar w:top="1418" w:right="1758" w:bottom="1418" w:left="1758" w:header="709" w:footer="709" w:gutter="0"/>
          <w:pgNumType w:start="1"/>
          <w:cols w:space="708"/>
          <w:titlePg/>
          <w:docGrid w:linePitch="360"/>
        </w:sectPr>
      </w:pPr>
    </w:p>
    <w:p w14:paraId="3241E5E8" w14:textId="11EBDEAD" w:rsidR="00973B13" w:rsidRPr="00BC13A0" w:rsidRDefault="00973B13" w:rsidP="00973B13">
      <w:pPr>
        <w:pStyle w:val="Heading1"/>
      </w:pPr>
      <w:bookmarkStart w:id="20" w:name="_Toc147910063"/>
      <w:bookmarkStart w:id="21" w:name="_Hlk145926013"/>
      <w:r>
        <w:rPr>
          <w:bCs/>
          <w:lang w:val="ga"/>
        </w:rPr>
        <w:lastRenderedPageBreak/>
        <w:t>Achoimre Fheidhmeach</w:t>
      </w:r>
      <w:bookmarkEnd w:id="20"/>
    </w:p>
    <w:p w14:paraId="251DB75F" w14:textId="0C381AA4" w:rsidR="00973B13" w:rsidRPr="00BC13A0" w:rsidRDefault="00E3525E" w:rsidP="00973B13">
      <w:pPr>
        <w:rPr>
          <w:color w:val="000000" w:themeColor="text1"/>
        </w:rPr>
      </w:pPr>
      <w:r>
        <w:rPr>
          <w:lang w:val="ga"/>
        </w:rPr>
        <w:t>Is í seo an seachtú tuarascáil bhliantúil déag ón Údarás Náisiúnta Míchumais (ÚNM) ar fhostú daoine a bhfuil míchumas orthu san earnáil phoiblí. Tá ról reachtúil ag ÚNM i bhfaireachán a dhéanamh ar fhostú daoine a bhfuil míchumas orthu san earnáil phoiblí, ar ról é a eascraíonn as Cuid 5 den Acht um Míchumas 2005.</w:t>
      </w:r>
    </w:p>
    <w:p w14:paraId="001072EF" w14:textId="1F5D5A3F" w:rsidR="00973B13" w:rsidRPr="00BC13A0" w:rsidRDefault="003E1B0B" w:rsidP="00973B13">
      <w:pPr>
        <w:pStyle w:val="Heading2"/>
        <w:rPr>
          <w:color w:val="000000" w:themeColor="text1"/>
        </w:rPr>
      </w:pPr>
      <w:bookmarkStart w:id="22" w:name="_Toc147910064"/>
      <w:r>
        <w:rPr>
          <w:bCs/>
          <w:lang w:val="ga"/>
        </w:rPr>
        <w:t>Forbhreathnú ar an anailís</w:t>
      </w:r>
      <w:bookmarkEnd w:id="22"/>
      <w:r>
        <w:rPr>
          <w:bCs/>
          <w:lang w:val="ga"/>
        </w:rPr>
        <w:t xml:space="preserve"> </w:t>
      </w:r>
    </w:p>
    <w:p w14:paraId="4DBB4FF0" w14:textId="386D4610" w:rsidR="00463BA2" w:rsidRDefault="00246A78" w:rsidP="0069488C">
      <w:pPr>
        <w:rPr>
          <w:rFonts w:cs="Arial"/>
          <w:szCs w:val="26"/>
        </w:rPr>
      </w:pPr>
      <w:r>
        <w:rPr>
          <w:lang w:val="ga"/>
        </w:rPr>
        <w:t>Ag deireadh na bliana 2022, b’ionann an líon iomlán fostaithe sna comhlachtaí iomchuí earnála poiblí agus 260,434 fhostaí. Is méadú 8,882 fhostaí (+3.5%) é sin i gcomparáid le figiúirí na bliana 2021.</w:t>
      </w:r>
    </w:p>
    <w:p w14:paraId="305160BA" w14:textId="5325AFF9" w:rsidR="0069488C" w:rsidRPr="00BC13A0" w:rsidRDefault="0069488C" w:rsidP="0069488C">
      <w:r>
        <w:rPr>
          <w:rFonts w:cs="Arial"/>
          <w:szCs w:val="26"/>
          <w:lang w:val="ga"/>
        </w:rPr>
        <w:t>Tá áthas ar ÚNM a thabhairt dá aire gur tharla an méid seo a leanas den chéad uair riamh:</w:t>
      </w:r>
    </w:p>
    <w:p w14:paraId="28CB6572" w14:textId="4BFF407D" w:rsidR="00463BA2" w:rsidRPr="0069488C" w:rsidRDefault="0069488C" w:rsidP="00353454">
      <w:pPr>
        <w:pStyle w:val="ListBullet"/>
      </w:pPr>
      <w:r>
        <w:rPr>
          <w:rFonts w:cs="Arial"/>
          <w:szCs w:val="26"/>
          <w:lang w:val="ga"/>
        </w:rPr>
        <w:t>Ba mhó ná 4% an céatadán d’fhostaithe a thuairiscigh míchumas. Sa bhliain 2022, b’ionann an líon fostaithe a thuairiscigh míchumas agus 10,631 fhostaí (4.1%), ar méadú 1,620 fostaí (+18.0%) é i gcomparáid le figiúr na bliana 2021, arbh ionann é agus 9,011 fhostaí (3.6%).</w:t>
      </w:r>
    </w:p>
    <w:p w14:paraId="6774F782" w14:textId="33A16BEC" w:rsidR="004B419F" w:rsidRDefault="0069488C" w:rsidP="0069488C">
      <w:pPr>
        <w:pStyle w:val="ListBullet"/>
      </w:pPr>
      <w:r>
        <w:rPr>
          <w:lang w:val="ga"/>
        </w:rPr>
        <w:t>Bhain na cúig chineál comhlachta phoiblí uile an íos-sprioc 3% amach (Comhlachtaí Tráchtála, Ranna Rialtais, Rialtas Áitiúil, Comhlachtaí Neamhthráchtála, agus Comhlachtaí Poiblí a bhfuil Státseirbhísigh mar fhoireann dóibh).</w:t>
      </w:r>
    </w:p>
    <w:p w14:paraId="39306C66" w14:textId="1B729DD5" w:rsidR="0069488C" w:rsidRDefault="0069488C" w:rsidP="004B419F">
      <w:pPr>
        <w:pStyle w:val="ListBullet"/>
        <w:numPr>
          <w:ilvl w:val="0"/>
          <w:numId w:val="0"/>
        </w:numPr>
        <w:ind w:left="360"/>
      </w:pPr>
      <w:r>
        <w:rPr>
          <w:lang w:val="ga"/>
        </w:rPr>
        <w:t xml:space="preserve">Sa bhliain 2021, bhain ceithre chineál comhlachta phoiblí an íos-sprioc 3% amach. Níor bhain cineál comhlachta phoiblí amháin (Comhlachtaí Neamhthráchtála) an sprioc amach.  </w:t>
      </w:r>
    </w:p>
    <w:p w14:paraId="0392FE7A" w14:textId="77777777" w:rsidR="0069488C" w:rsidRPr="00BC13A0" w:rsidRDefault="0069488C" w:rsidP="0069488C">
      <w:pPr>
        <w:pStyle w:val="ListBullet"/>
      </w:pPr>
      <w:r>
        <w:rPr>
          <w:lang w:val="ga"/>
        </w:rPr>
        <w:t>Sa tuarascáil seo, catagóirítear comhlachtaí poiblí ina gceithre mhéid dhifriúla freisin:</w:t>
      </w:r>
    </w:p>
    <w:p w14:paraId="393944DE" w14:textId="77777777" w:rsidR="0069488C" w:rsidRPr="00BC13A0" w:rsidRDefault="0069488C" w:rsidP="0069488C">
      <w:pPr>
        <w:pStyle w:val="ListBullet2"/>
      </w:pPr>
      <w:r>
        <w:rPr>
          <w:lang w:val="ga"/>
        </w:rPr>
        <w:t>0-99 fostaí</w:t>
      </w:r>
    </w:p>
    <w:p w14:paraId="6513DB7A" w14:textId="77777777" w:rsidR="0069488C" w:rsidRPr="00BC13A0" w:rsidRDefault="0069488C" w:rsidP="0069488C">
      <w:pPr>
        <w:pStyle w:val="ListBullet2"/>
      </w:pPr>
      <w:r>
        <w:rPr>
          <w:lang w:val="ga"/>
        </w:rPr>
        <w:t>100-999 fostaí</w:t>
      </w:r>
    </w:p>
    <w:p w14:paraId="45D7C790" w14:textId="77777777" w:rsidR="0069488C" w:rsidRPr="00BC13A0" w:rsidRDefault="0069488C" w:rsidP="0069488C">
      <w:pPr>
        <w:pStyle w:val="ListBullet2"/>
      </w:pPr>
      <w:r>
        <w:rPr>
          <w:lang w:val="ga"/>
        </w:rPr>
        <w:t>1000-4,999 fostaí</w:t>
      </w:r>
    </w:p>
    <w:p w14:paraId="020FBCE7" w14:textId="1C38FA40" w:rsidR="0069488C" w:rsidRPr="00BC13A0" w:rsidRDefault="0069488C" w:rsidP="0069488C">
      <w:pPr>
        <w:pStyle w:val="ListBullet2"/>
      </w:pPr>
      <w:r>
        <w:rPr>
          <w:lang w:val="ga"/>
        </w:rPr>
        <w:t>5,000 fostaí nó níos mó</w:t>
      </w:r>
    </w:p>
    <w:p w14:paraId="1BFF75D7" w14:textId="77777777" w:rsidR="00E91393" w:rsidRDefault="0069488C" w:rsidP="00D224CD">
      <w:pPr>
        <w:spacing w:after="120"/>
        <w:ind w:left="357"/>
        <w:rPr>
          <w:color w:val="000000" w:themeColor="text1"/>
        </w:rPr>
      </w:pPr>
      <w:r>
        <w:rPr>
          <w:color w:val="000000" w:themeColor="text1"/>
          <w:lang w:val="ga"/>
        </w:rPr>
        <w:t xml:space="preserve">Sa bhliain 2022, rinne na ceithre chatagóir méide uile an íos-sprioc 3% a chomhlíonadh nó a shárú. </w:t>
      </w:r>
    </w:p>
    <w:p w14:paraId="36F8BFFE" w14:textId="1B3B0BE7" w:rsidR="004B419F" w:rsidRDefault="0069488C" w:rsidP="00D224CD">
      <w:pPr>
        <w:spacing w:after="120"/>
        <w:ind w:left="357"/>
        <w:rPr>
          <w:color w:val="000000" w:themeColor="text1"/>
        </w:rPr>
      </w:pPr>
      <w:r>
        <w:rPr>
          <w:color w:val="000000" w:themeColor="text1"/>
          <w:lang w:val="ga"/>
        </w:rPr>
        <w:t>Sa bhliain 2021, rinne trí cinn de na ceithre chatagóir méide an íos-sprioc 3% a chomhlíonadh nó a shárú. Níor chomhlíon an chatagóir um chomhlachtaí poiblí a bhfuil 5,000 fostaí nó níos mó acu an íos-sprioc 3% sa bhliain sin.</w:t>
      </w:r>
    </w:p>
    <w:p w14:paraId="290D6435" w14:textId="41A96FF6" w:rsidR="00D224CD" w:rsidRPr="003272C7" w:rsidRDefault="00D224CD" w:rsidP="00D224CD">
      <w:pPr>
        <w:pStyle w:val="ListParagraph"/>
        <w:numPr>
          <w:ilvl w:val="0"/>
          <w:numId w:val="15"/>
        </w:numPr>
        <w:spacing w:after="120"/>
        <w:rPr>
          <w:rFonts w:ascii="Gill Sans MT" w:hAnsi="Gill Sans MT"/>
        </w:rPr>
      </w:pPr>
      <w:r>
        <w:rPr>
          <w:rFonts w:ascii="Gill Sans MT" w:hAnsi="Gill Sans MT"/>
          <w:lang w:val="ga"/>
        </w:rPr>
        <w:lastRenderedPageBreak/>
        <w:t>Sa bhliain 2022, luaigh FSS gur thuairiscigh 2,331 fhostaí (2.3%) míchumas. Is é sin an líon is airde fostaithe, agus an céatadán is airde d’fhostaithe, a bhfuil míchumas orthu a thuairiscigh FSS go dtí seo</w:t>
      </w:r>
    </w:p>
    <w:p w14:paraId="1D44E4FA" w14:textId="491AED46" w:rsidR="0069488C" w:rsidRPr="00BC13A0" w:rsidRDefault="0069488C" w:rsidP="00F770ED">
      <w:pPr>
        <w:pStyle w:val="ListBullet"/>
        <w:numPr>
          <w:ilvl w:val="0"/>
          <w:numId w:val="0"/>
        </w:numPr>
      </w:pPr>
      <w:r>
        <w:rPr>
          <w:lang w:val="ga"/>
        </w:rPr>
        <w:t>Tugann ÚNM na forbairtí dearfacha breise seo dá aire freisin:</w:t>
      </w:r>
    </w:p>
    <w:p w14:paraId="07D7D371" w14:textId="7E370CA7" w:rsidR="00463BA2" w:rsidRPr="00BC13A0" w:rsidRDefault="00463BA2" w:rsidP="00353454">
      <w:pPr>
        <w:pStyle w:val="ListBullet"/>
      </w:pPr>
      <w:r>
        <w:rPr>
          <w:lang w:val="ga"/>
        </w:rPr>
        <w:t>Sa bhliain 2022, rinne 193 chomhlacht phoiblí (90.6%) an íos-sprioc 3% a bhaint amach nó a shárú, i gcomparáid le 186 chomhlacht (87.3%) sa bhliain 2021</w:t>
      </w:r>
    </w:p>
    <w:p w14:paraId="77883F4A" w14:textId="25916CE2" w:rsidR="00463BA2" w:rsidRPr="00BC13A0" w:rsidRDefault="00463BA2" w:rsidP="00353454">
      <w:pPr>
        <w:pStyle w:val="ListBullet"/>
      </w:pPr>
      <w:r>
        <w:rPr>
          <w:lang w:val="ga"/>
        </w:rPr>
        <w:t>Sa bhliain 2022, níor shroich 20 comhlacht poiblí (9.4%) an íos-sprioc 3%, i gcomparáid le 27 gcomhlacht phoiblí (12.7%) sa bhliain 2021</w:t>
      </w:r>
    </w:p>
    <w:p w14:paraId="7CF4AAAF" w14:textId="2BD5084A" w:rsidR="003E1B0B" w:rsidRPr="00BC13A0" w:rsidRDefault="003E1B0B" w:rsidP="00353454">
      <w:pPr>
        <w:pStyle w:val="ListBullet"/>
      </w:pPr>
      <w:r>
        <w:rPr>
          <w:lang w:val="ga"/>
        </w:rPr>
        <w:t>Sa bhliain 2022, thuairiscigh 103 chomhlacht phoiblí (48.4%) gur daoine a bhfuil míchumas orthu a bhí i 6% ar a laghad dá bhfostaithe. Is méadú é sin i gcomparáid leis an mbliain 2021, inar thuairiscigh 78 gcomhlacht phoiblí (36.6%) gur thuairiscigh 6% ar a laghad dá bhfostaithe míchumas</w:t>
      </w:r>
    </w:p>
    <w:p w14:paraId="6EA3E65A" w14:textId="56A98D95" w:rsidR="00064C9A" w:rsidRPr="0069488C" w:rsidRDefault="00986077" w:rsidP="00973B13">
      <w:pPr>
        <w:pStyle w:val="ListBullet"/>
      </w:pPr>
      <w:r>
        <w:rPr>
          <w:rFonts w:cs="Arial"/>
          <w:szCs w:val="26"/>
          <w:lang w:val="ga"/>
        </w:rPr>
        <w:t>Sháraigh an earnáil phoiblí ar an iomlán an íos-sprioc 3% don dóú bliain déag as a chéile</w:t>
      </w:r>
    </w:p>
    <w:p w14:paraId="2966571F" w14:textId="2BF4EFE5" w:rsidR="00973B13" w:rsidRPr="00BC13A0" w:rsidRDefault="00973B13" w:rsidP="00973B13">
      <w:pPr>
        <w:pStyle w:val="Heading2"/>
      </w:pPr>
      <w:bookmarkStart w:id="23" w:name="_Toc147910065"/>
      <w:r>
        <w:rPr>
          <w:bCs/>
          <w:lang w:val="ga"/>
        </w:rPr>
        <w:t>Feidhmeannacht na Seirbhíse Sláinte (FSS)</w:t>
      </w:r>
      <w:bookmarkEnd w:id="23"/>
      <w:r>
        <w:rPr>
          <w:bCs/>
          <w:lang w:val="ga"/>
        </w:rPr>
        <w:t xml:space="preserve"> </w:t>
      </w:r>
    </w:p>
    <w:p w14:paraId="0DA4660D" w14:textId="1A59D39A" w:rsidR="00585C40" w:rsidRDefault="00973B13" w:rsidP="00353454">
      <w:r>
        <w:rPr>
          <w:lang w:val="ga"/>
        </w:rPr>
        <w:t xml:space="preserve">Is é FSS an comhlacht is mó san earnáil phoiblí. Sa bhliain 2022, thuairiscigh an comhlacht poiblí sin méadú 4,345 fhostaí ina líon fostaithe, ó 96,675 fhostaí sa bhliain 2021 go 101,020 fostaí sa bhliain 2022. </w:t>
      </w:r>
    </w:p>
    <w:p w14:paraId="40BBFFE6" w14:textId="3253FB13" w:rsidR="00E91393" w:rsidRDefault="00585C40" w:rsidP="00B86AC7">
      <w:r>
        <w:rPr>
          <w:lang w:val="ga"/>
        </w:rPr>
        <w:t xml:space="preserve">Tá áthas ar ÚNM a thabhairt dá aire gurb amhlaidh sa bhliain 2022 a thuairiscigh an comhlacht poiblí sin méadú idir an bhliain 2021 agus an bhliain 2022 sa líon fostaithe (+823 fhostaí), agus sa chéatadán d’fhostaithe (+0.7%), a thuairiscigh míchumas. Sa bhliain 2021, thuairiscigh 1,508 bhfostaí (1.6%) míchumas. Sa bhliain 2022, tháinig méadú ar an bhfigiúr sin go 2,331 fhostaí (2.3%). Cé nár chomhlíon FSS an íos-sprioc 3% riamh go fóill, is é sin an líon is airde fostaithe, agus an céatadán is airde d’fhostaithe, a bhfuil míchumas orthu a thuairiscigh FSS go dtí seo. </w:t>
      </w:r>
    </w:p>
    <w:p w14:paraId="4C825E11" w14:textId="77777777" w:rsidR="00D43A0A" w:rsidRPr="00DA2B08" w:rsidRDefault="00D43A0A" w:rsidP="00DA2B08">
      <w:pPr>
        <w:rPr>
          <w:rFonts w:cs="Arial"/>
          <w:szCs w:val="26"/>
        </w:rPr>
      </w:pPr>
      <w:r>
        <w:rPr>
          <w:rStyle w:val="cf01"/>
          <w:rFonts w:ascii="Gill Sans MT" w:hAnsi="Gill Sans MT"/>
          <w:sz w:val="26"/>
          <w:szCs w:val="26"/>
          <w:lang w:val="ga"/>
        </w:rPr>
        <w:t xml:space="preserve">Bhí an méadú sa líon fostaithe a thuairiscigh míchumas in FSS freagrach as breis agus leath an mhéadaithe fhoriomláin sa líon fostaithe a thuairiscigh míchumas san earnáil phoiblí. Dá réir sin, rannchuidigh an méadú sin go mór leis an bhfigiúr foriomlán 4.1%. </w:t>
      </w:r>
    </w:p>
    <w:p w14:paraId="52E557EB" w14:textId="245B543B" w:rsidR="00A431D2" w:rsidRDefault="00A40925" w:rsidP="00A431D2">
      <w:pPr>
        <w:pStyle w:val="Heading2"/>
      </w:pPr>
      <w:bookmarkStart w:id="24" w:name="_Toc147910066"/>
      <w:r>
        <w:rPr>
          <w:bCs/>
          <w:lang w:val="ga"/>
        </w:rPr>
        <w:t>Príomhphointí maidir le feidhmíocht na gcomhlachtaí poiblí sa bhliain 2022</w:t>
      </w:r>
      <w:bookmarkEnd w:id="24"/>
    </w:p>
    <w:p w14:paraId="0738761C" w14:textId="5998BD0F" w:rsidR="0069128D" w:rsidRDefault="00A431D2" w:rsidP="0069128D">
      <w:pPr>
        <w:rPr>
          <w:sz w:val="24"/>
        </w:rPr>
      </w:pPr>
      <w:r>
        <w:rPr>
          <w:lang w:val="ga"/>
        </w:rPr>
        <w:t>Is ionann agus 3% go fóill an íos-sprioc reachtúil fostaíochta. Méadófar an íos-sprioc sin ó 3% go 4.5% sa bhliain 2024 agus go 6% faoin mbliain 2025, mar atá leagtha amach san Acht um Chinnteoireacht Chuidithe (Cumas) (Leasú), 2022, atá achtaithe anois.</w:t>
      </w:r>
    </w:p>
    <w:p w14:paraId="1C17B364" w14:textId="12B4D6B4" w:rsidR="0069128D" w:rsidRDefault="0069128D" w:rsidP="0069128D">
      <w:r>
        <w:rPr>
          <w:lang w:val="ga"/>
        </w:rPr>
        <w:lastRenderedPageBreak/>
        <w:t>Cuireann ÚNM in iúl do chomhlachtaí poiblí arís agus arís eile gur íos-sprioc comhlíonta é an figiúr 3%. Cuirimid in iúl dóibh go bhfuil sé tábhachtach go ndíreodh siad ar an sprioc sin a shárú agus ar bhogadh i dtreo na híos-spriocanna nua 4.5% agus 6% a bhaint amach faoin mbliain 2024 agus faoin mbliain 2025 faoi seach.</w:t>
      </w:r>
    </w:p>
    <w:p w14:paraId="55F3DEAF" w14:textId="2F1B516C" w:rsidR="00A431D2" w:rsidRDefault="0069128D" w:rsidP="00A40925">
      <w:r>
        <w:rPr>
          <w:lang w:val="ga"/>
        </w:rPr>
        <w:t>Tá áthas ar ÚNM na feabhsuithe seo a leanas a fheiceáil i bhfeidhmíocht na gcomhlachtaí poiblí:</w:t>
      </w:r>
    </w:p>
    <w:p w14:paraId="69D76B27" w14:textId="77777777" w:rsidR="0014516C" w:rsidRPr="0014516C" w:rsidRDefault="00B86AC7" w:rsidP="005C3812">
      <w:pPr>
        <w:pStyle w:val="Heading3"/>
        <w:rPr>
          <w:color w:val="000000" w:themeColor="text1"/>
        </w:rPr>
      </w:pPr>
      <w:r>
        <w:rPr>
          <w:bCs/>
          <w:lang w:val="ga"/>
        </w:rPr>
        <w:t>Feabhsú leanúnach i gcáilíocht sonraí</w:t>
      </w:r>
    </w:p>
    <w:p w14:paraId="34711F62" w14:textId="4C2934D8" w:rsidR="00411486" w:rsidRPr="005C3812" w:rsidRDefault="00ED2587" w:rsidP="005C3812">
      <w:pPr>
        <w:rPr>
          <w:color w:val="000000" w:themeColor="text1"/>
        </w:rPr>
      </w:pPr>
      <w:r>
        <w:rPr>
          <w:lang w:val="ga"/>
        </w:rPr>
        <w:t xml:space="preserve">Sa bhliain 2019, choimisiúnaigh ÚNM Athbhreithniú ar phróiseas Chuid 5. Ceann de chuspóirí an Athbhreithnithe ba ea feabhas a chur ar cháilíocht shonraí Chuid 5 a fuaireamar ó chomhlachtaí poiblí. Sa bhliain 2020, táirgeadh </w:t>
      </w:r>
      <w:hyperlink r:id="rId11" w:history="1">
        <w:r>
          <w:rPr>
            <w:rStyle w:val="Hyperlink"/>
            <w:lang w:val="ga"/>
          </w:rPr>
          <w:t>páipéar ina mionsonraítear na fionnachtana taighde a forbraíodh mar chuid den Athbhreithniú agus ina leagtar amach moltaí le haghaidh na gcéad chéimeanna eile</w:t>
        </w:r>
      </w:hyperlink>
      <w:r>
        <w:rPr>
          <w:color w:val="000000" w:themeColor="text1"/>
          <w:lang w:val="ga"/>
        </w:rPr>
        <w:t xml:space="preserve">. Is próiseas casta é próiseas Chuid 5 agus tógfaidh sé am chun an próiseas sin a athrú.  Beidh athruithe reachtacha ag teastáil chun roinnt de na moltaí ón Athbhreithniú a chur chun feidhme. Ón mbliain 2021 i leith, dá bhrí sin, tá ÚNM ag cur na moltaí ón Athbhreithniú chun feidhme ar bhonn céimnithe.  </w:t>
      </w:r>
    </w:p>
    <w:p w14:paraId="1A9A5850" w14:textId="78E4D24B" w:rsidR="00ED2587" w:rsidRDefault="00114E29" w:rsidP="005C3812">
      <w:r>
        <w:rPr>
          <w:lang w:val="ga"/>
        </w:rPr>
        <w:t>Ceann de na príomh-mholtaí a chuir ÚNM chun feidhme ba ea comhairle atá cothrom le dáta a sholáthar do Choistí Faireacháin agus do chomhlachtaí poiblí maidir lena bpróisis bailithe sonraí a fheabhsú agus maidir lena chinntiú gur cruinn a bheadh na sonraí a chuirfeadh siad isteach, ar aon dul lena n-oibleagáidí reachtúla faoi Chuid 5.</w:t>
      </w:r>
    </w:p>
    <w:p w14:paraId="58891510" w14:textId="77777777" w:rsidR="000B503C" w:rsidRDefault="00971D63" w:rsidP="005C3812">
      <w:r>
        <w:rPr>
          <w:lang w:val="ga"/>
        </w:rPr>
        <w:t>Tá áthas ar ÚNM a thabhairt dá aire go bhfuil comhlachtaí poiblí ag gníomhú de bhun na treorach sin agus go bhfuil cáilíocht na sonraí de chuid Chuid 5 a fhaighimid uathu ag feabhsú ar bhonn comhsheasmhach.</w:t>
      </w:r>
    </w:p>
    <w:p w14:paraId="5A3E92B1" w14:textId="107EA0AC" w:rsidR="008E3E57" w:rsidRDefault="00971D63" w:rsidP="005C3812">
      <w:r>
        <w:rPr>
          <w:lang w:val="ga"/>
        </w:rPr>
        <w:t xml:space="preserve">I dtuairisceáin Chuid 5 don bhliain 2022, mar shampla, sholáthair formhór na gcomhlachtaí poiblí faisnéis maidir leis na </w:t>
      </w:r>
      <w:r>
        <w:rPr>
          <w:b/>
          <w:bCs/>
          <w:lang w:val="ga"/>
        </w:rPr>
        <w:t>samhlacha dea-chleachtais a bhí i bhfeidhm acu</w:t>
      </w:r>
      <w:r>
        <w:rPr>
          <w:lang w:val="ga"/>
        </w:rPr>
        <w:t xml:space="preserve"> chun a n-oibleagáidí faoi Chuid 5 a chomhlíonadh. Thaispeáin na comhlachtaí poiblí sin conas a chabhraigh na samhlacha dea-chleachtais sin leo an íos-sprioc 3% a bhaint amach nó a shárú, is cuma cé acu a thuairiscigh siad méadú suntasach nó laghdú suntasach sa líon iomlán fostaithe, agus sa chéatadán iomlán d’fhostaithe, a thuairiscigh míchumas.</w:t>
      </w:r>
    </w:p>
    <w:p w14:paraId="40A9CAF6" w14:textId="1F9527D0" w:rsidR="00A94BF0" w:rsidRDefault="00A94BF0" w:rsidP="00A94BF0">
      <w:r>
        <w:rPr>
          <w:lang w:val="ga"/>
        </w:rPr>
        <w:t>Is féidir le hathruithe i bhfigiúirí na gcomhlachtaí poiblí teacht chun cinn ar roinnt cúiseanna.</w:t>
      </w:r>
    </w:p>
    <w:p w14:paraId="6232C6D9" w14:textId="622D5061" w:rsidR="00A94BF0" w:rsidRDefault="00A94BF0" w:rsidP="00A94BF0">
      <w:r>
        <w:rPr>
          <w:lang w:val="ga"/>
        </w:rPr>
        <w:t xml:space="preserve">Sa bhliain 2022, thuairiscigh roinnt comhlachtaí poiblí </w:t>
      </w:r>
      <w:r>
        <w:rPr>
          <w:b/>
          <w:bCs/>
          <w:lang w:val="ga"/>
        </w:rPr>
        <w:t>méadú suntasach sa líon iomlán fostaithe</w:t>
      </w:r>
      <w:r>
        <w:rPr>
          <w:lang w:val="ga"/>
        </w:rPr>
        <w:t xml:space="preserve"> toisc go raibh siad ag díriú ar earcaíocht. Chomh maith leis sin, thuairiscigh na comhlachtaí poiblí sin méadú sa líon iomlán fostaithe, agus sa </w:t>
      </w:r>
      <w:r>
        <w:rPr>
          <w:lang w:val="ga"/>
        </w:rPr>
        <w:lastRenderedPageBreak/>
        <w:t>chéatadán iomlán d’fhostaithe, a thuairiscigh míchumas; gur sháraigh siad an íos-sprioc 3% agus go raibh siad ag díriú ar dhul chun cinn a dhéanamh i dtreo an íos-sprioc 4.5% faoin mbliain 2024 a bhaint amach agus an íos-sprioc 6% faoin mbliain 2025 a bhaint amach.</w:t>
      </w:r>
    </w:p>
    <w:p w14:paraId="51034F5E" w14:textId="382514E7" w:rsidR="00A94BF0" w:rsidRDefault="00A94BF0" w:rsidP="00A94BF0">
      <w:r>
        <w:rPr>
          <w:lang w:val="ga"/>
        </w:rPr>
        <w:t xml:space="preserve">Thuairiscigh roinnt comhlachtaí poiblí </w:t>
      </w:r>
      <w:r>
        <w:rPr>
          <w:b/>
          <w:bCs/>
          <w:lang w:val="ga"/>
        </w:rPr>
        <w:t>laghdú suntasach sa líon iomlán fostaithe agus laghdú sa líon fostaithe, agus sa chéatadán d’fhostaithe, a thuairiscigh míchumas</w:t>
      </w:r>
      <w:r>
        <w:rPr>
          <w:lang w:val="ga"/>
        </w:rPr>
        <w:t>. Thuairiscigh na comhlachtaí poiblí sin cúiseanna difriúla leis an laghdú sin ina líon fostaithe. Áiríodh leo sin an méid a chuir paindéim COVID-19 isteach ar oibríochtaí comhlachtaí poiblí. Ag brath ar chineál a ngnó, bhí ar roinnt comhlachtaí poiblí a n-oibríochtaí a dhúnadh agus oibriú le fórsa saothair a bhí i bhfad níos lú. Níl na comhlachtaí poiblí sin ach tar éis tosú ar a n-oibríochtaí a chur ar siúl arís agus tá siad ag díriú anois ar fhostaithe nua a earcú.</w:t>
      </w:r>
    </w:p>
    <w:p w14:paraId="2097665C" w14:textId="01F0C6DC" w:rsidR="00A94BF0" w:rsidRDefault="00A94BF0" w:rsidP="005C3812">
      <w:r>
        <w:rPr>
          <w:lang w:val="ga"/>
        </w:rPr>
        <w:t>Thuairiscigh comhlachtaí poiblí eile go raibh siad ag déileáil le hathstruchtúrú suntasach eagrúcháin, agus iad ag cailleadh fostaithe ina dhiaidh sin trí iomarcaíocht dheonach nó trí scor nó toisc gur éirigh fostaithe as chun deiseanna fostaíochta eile a shaothrú. Thuairiscigh na comhlachtaí poiblí sin go raibh beagán acmhainní acu chun fostaithe nua a earcú chun folúntais atá ann cheana a líonadh toisc go raibh siad ag díriú ar an lóistíocht a bhí i gceist leis an gclaochlú eagraíochtúil.</w:t>
      </w:r>
    </w:p>
    <w:p w14:paraId="17E6E46D" w14:textId="0D09A89D" w:rsidR="000B503C" w:rsidRDefault="008E3E57" w:rsidP="005C3812">
      <w:r>
        <w:rPr>
          <w:lang w:val="ga"/>
        </w:rPr>
        <w:t xml:space="preserve">Luaigh comhlachtaí poiblí freisin gur bailíodh na sonraí de chuid Chuid 5 uathu i gcomhréir leis an Rialachán Ginearálta maidir le Cosaint Sonraí, de réir na treorach ó ÚNM. Dheimhnigh na Coistí Faireacháin gur chruinn a bhí na sonraí de chuid Chuid 5 don bhliain 2022 a chuir siad isteach chuig ÚNM.  </w:t>
      </w:r>
    </w:p>
    <w:p w14:paraId="78AD396B" w14:textId="7E94446C" w:rsidR="00FE3C65" w:rsidRDefault="00F95A36" w:rsidP="000B503C">
      <w:r>
        <w:rPr>
          <w:lang w:val="ga"/>
        </w:rPr>
        <w:t>Tá ÚNM i mbun cur chun feidhme a dhéanamh ar an gcéad chéim eile de mholtaí ón Athbhreithniú ar Chuid 5 lena ndírítear ar shonraí níos gráinní a fháil ó chomhlachtaí poiblí faoi na bearta atá i bhfeidhm acu chun dul chun cinn a dhéanamh ar an íos-sprioc 4.5% faoin mbliain 2024 a bhaint amach agus ar an íos-sprioc 6% faoin mbliain 2025 a bhaint amach agus ar shonraí níos gráinní a fháil uathu faoin tionchar atá á imirt ag na bearta sin maidir le hearcú daoine a bhfuil míchumas orthu san earnáil phoiblí a mhéadú. Príomh-mholadh eile a bheidh ÚNM ag cur chun feidhme a bheidh sna scileanna a theastaíonn chun a scileanna bailithe sonraí a fheabhsú, lena n-áirítear rátaí freagartha fostaithe dá suirbhéanna a fheabhsú, a sholáthar do chomhlachtaí poiblí.</w:t>
      </w:r>
    </w:p>
    <w:p w14:paraId="2CB19819" w14:textId="1A93157E" w:rsidR="00A94BF0" w:rsidRDefault="00F95A36" w:rsidP="00A94BF0">
      <w:r>
        <w:rPr>
          <w:lang w:val="ga"/>
        </w:rPr>
        <w:t xml:space="preserve">Díreofar sna moltaí sin freisin ar phróiseas a bheidh níos áisiúla don úsáideoir, níos cuíchóirithe, níos éifeachtúla agus níos sodhéanta ar an iomlán a chur chun feidhme lena bhainistiú ag ÚNM. Is mionsonraithe i </w:t>
      </w:r>
      <w:r>
        <w:rPr>
          <w:b/>
          <w:bCs/>
          <w:lang w:val="ga"/>
        </w:rPr>
        <w:t>Rannán 1.3</w:t>
      </w:r>
      <w:r>
        <w:rPr>
          <w:lang w:val="ga"/>
        </w:rPr>
        <w:t xml:space="preserve"> den tuarascáil seo atá achoimre ar na moltaí a bheimid ag cur chun feidhme.</w:t>
      </w:r>
    </w:p>
    <w:p w14:paraId="44ED52CA" w14:textId="33505AA1" w:rsidR="00A94BF0" w:rsidRDefault="00A94BF0" w:rsidP="00A94BF0">
      <w:pPr>
        <w:pStyle w:val="Heading3"/>
      </w:pPr>
      <w:r>
        <w:rPr>
          <w:bCs/>
          <w:lang w:val="ga"/>
        </w:rPr>
        <w:t xml:space="preserve">Samhlacha Dea-Chleachtais </w:t>
      </w:r>
    </w:p>
    <w:p w14:paraId="60C0B8E9" w14:textId="5D350AF4" w:rsidR="00A94BF0" w:rsidRDefault="00A94BF0" w:rsidP="00A94BF0">
      <w:r>
        <w:rPr>
          <w:lang w:val="ga"/>
        </w:rPr>
        <w:lastRenderedPageBreak/>
        <w:t xml:space="preserve">I </w:t>
      </w:r>
      <w:r>
        <w:rPr>
          <w:b/>
          <w:bCs/>
          <w:lang w:val="ga"/>
        </w:rPr>
        <w:t>Rannán 2.4 den tuarascáil seo</w:t>
      </w:r>
      <w:r>
        <w:rPr>
          <w:lang w:val="ga"/>
        </w:rPr>
        <w:t>, tugtar achoimre achomair ar na samhlacha dea-chleachtais a chuir comhlachtaí poiblí agus Ranna Rialtais chun feidhme chun a n-oibleagáidí faoi Chuid 5 a chomhlíonadh, de réir na comhairle agus na treorach ó ÚNM.</w:t>
      </w:r>
    </w:p>
    <w:p w14:paraId="5D34BF4A" w14:textId="7926C216" w:rsidR="00A94BF0" w:rsidRDefault="00A94BF0" w:rsidP="00A94BF0">
      <w:r>
        <w:rPr>
          <w:lang w:val="ga"/>
        </w:rPr>
        <w:t>Cabhraíonn na samhlacha dea-chleachtais sin le comhlachtaí poiblí cultúir Chomhionanna Éagsúla Chuimsitheacha oibre a chruthú, ar cultúir iad atá dírithe ar earcú agus coinneáil daoine a bhfuil míchumas orthu a mhéadú; ar thacú le fostaithe a bhfuil míchumas orthu bheith ar a gcompord le linn dóibh a stádas míchumais a chur in iúl; agus ar a bpróisis bailithe sonraí a fheabhsú.</w:t>
      </w:r>
    </w:p>
    <w:p w14:paraId="7A293F43" w14:textId="7B7B65BF" w:rsidR="002808C4" w:rsidRDefault="003E01C9" w:rsidP="002808C4">
      <w:r>
        <w:rPr>
          <w:lang w:val="ga"/>
        </w:rPr>
        <w:t>Is é an toradh a bhí ar na samhlacha dea-chleachtais sin a chur chun feidhme ná gur thuairiscigh roinnt comhlachtaí poiblí méadú sa líon fostaithe, agus sa chéatadán d’fhostaithe, a thuairiscigh míchumas, agus iad ag taispeáint an dul chun cinn atá á dhéanamh acu ar an íos-sprioc 4.5% faoin mbliain 2024 a bhaint amach agus ar an íos-sprioc 6% faoin mbliain 2025 a bhaint amach.</w:t>
      </w:r>
    </w:p>
    <w:p w14:paraId="51A3B507" w14:textId="0E1F9A7A" w:rsidR="00A94BF0" w:rsidRDefault="002808C4" w:rsidP="00A94BF0">
      <w:r>
        <w:rPr>
          <w:lang w:val="ga"/>
        </w:rPr>
        <w:t>I gcás roinnt comhlachtaí poiblí a bhí ag déileáil le hathstruchtúrú suntasach eagrúcháin agus/nó le cur isteach suntasach ar a n-oibríochtaí de dheasca phaindéim COVID-19, cabhraíodh leo, trí shamhlacha dea-chleachtais a bheith i bhfeidhm acu, a thaispeáint go bhfuil siad ag obair i dtreo a n-oibleagáidí faoi Chuid 5 a chomhlíonadh, d’ainneoin na n-imeachtaí sin.</w:t>
      </w:r>
    </w:p>
    <w:p w14:paraId="337AC800" w14:textId="7CEC0F3A" w:rsidR="001B3DD4" w:rsidRPr="001B3DD4" w:rsidRDefault="001B3DD4" w:rsidP="00F64E08">
      <w:pPr>
        <w:pStyle w:val="Heading2"/>
      </w:pPr>
      <w:bookmarkStart w:id="25" w:name="_Toc147910067"/>
      <w:r>
        <w:rPr>
          <w:bCs/>
          <w:lang w:val="ga"/>
        </w:rPr>
        <w:t>Comhlachtaí poiblí nár bhain an íos-sprioc 3% amach</w:t>
      </w:r>
      <w:bookmarkEnd w:id="25"/>
    </w:p>
    <w:p w14:paraId="294942E4" w14:textId="69057317" w:rsidR="007458AB" w:rsidRPr="003343F5" w:rsidRDefault="00E21011" w:rsidP="00A017F6">
      <w:r>
        <w:rPr>
          <w:lang w:val="ga"/>
        </w:rPr>
        <w:t xml:space="preserve">Tháinig laghdú ar an líon comhlachtaí poiblí nár bhain an íos-sprioc 3% amach ó 27 gcinn (12.7%) sa bhliain 2021 go 20 ceann (9.4%) sa bhliain 2022. </w:t>
      </w:r>
    </w:p>
    <w:p w14:paraId="7EFB94A7" w14:textId="68FC6DEF" w:rsidR="00C21B88" w:rsidRPr="003343F5" w:rsidRDefault="00E21011" w:rsidP="00A017F6">
      <w:r>
        <w:rPr>
          <w:lang w:val="ga"/>
        </w:rPr>
        <w:t xml:space="preserve">Thuairiscigh na comhlachtaí poiblí sin cúiseanna difriúla nár chomhlíon siad an íos-sprioc 3%. Áiríodh leo sin cumasc le comhlachtaí poiblí eile; déileáil le hathstruchtúrú suntasach eagrúcháin; agus filleadh ar ghnáthoibríochtaí tar éis phaindéim COVID-19. Admhaíonn ÚNM gur féidir leis na himeachtaí sin tionchar a bheith acu ar chumas an chomhlachta phoiblí chun a oibleagáidí faoi Chuid 5 a chomhlíonadh. Maidir le daoine a bhfuil míchumas orthu a bheith ag dul ar scor nó ag éirí as comhlacht poiblí agus le fostaithe a bheith ag roghnú gan a stádas míchumais a chur in iúl, is féidir leo freisin dul i bhfeidhm ar chumas an chomhlachta phoiblí chun an íos-sprioc 3% a chomhlíonadh.  </w:t>
      </w:r>
    </w:p>
    <w:p w14:paraId="53169E4A" w14:textId="77777777" w:rsidR="002D2A3D" w:rsidRPr="003343F5" w:rsidRDefault="002D2A3D" w:rsidP="002D2A3D">
      <w:pPr>
        <w:rPr>
          <w:sz w:val="24"/>
        </w:rPr>
      </w:pPr>
      <w:r>
        <w:rPr>
          <w:szCs w:val="26"/>
          <w:lang w:val="ga"/>
        </w:rPr>
        <w:t xml:space="preserve">Admhaíonn ÚNM gurb amhlaidh, i gcás gur comhlacht an-bheag a bhfuil níos lú ná 50 ball foirne aige é comhlacht poiblí, go ndéanann méid an chomhlachta difear dá chumas an íos-sprioc 3% a chomhlíonadh. </w:t>
      </w:r>
      <w:r>
        <w:rPr>
          <w:lang w:val="ga"/>
        </w:rPr>
        <w:t xml:space="preserve">Tá imeacht ball foirne amháin a bhfuil míchumas air/uirthi trí scor, trí shos gairme nó trí scéim iomarcaíochta deonaí ar cheann de na príomhthosca a theip ar chomhlachtaí poiblí beaga an íos-sprioc 3% a bhaint amach. I gcás comhlachtaí den mhéid sin, is ionann ball foirne amháin sa </w:t>
      </w:r>
      <w:r>
        <w:rPr>
          <w:lang w:val="ga"/>
        </w:rPr>
        <w:lastRenderedPageBreak/>
        <w:t>bhreis a chailleadh (nó a fhostú) agus an difríocht idir an íos-sprioc comhlíonta 3% a chomhlíonadh agus gan í a chomhlíonadh.</w:t>
      </w:r>
    </w:p>
    <w:p w14:paraId="25C36BDB" w14:textId="77777777" w:rsidR="002D2A3D" w:rsidRPr="003343F5" w:rsidRDefault="002D2A3D" w:rsidP="002D2A3D">
      <w:pPr>
        <w:rPr>
          <w:b/>
          <w:color w:val="CC3399"/>
          <w:sz w:val="28"/>
          <w:szCs w:val="28"/>
        </w:rPr>
      </w:pPr>
      <w:r>
        <w:rPr>
          <w:lang w:val="ga"/>
        </w:rPr>
        <w:t>I gcomhlachtaí poiblí den mhéid bheag sin, tá seans ann freisin nach mbeidh fostaithe a bhfuil míchumas orthu ar a gcompord le linn dóibh a stádas míchumais a chur in iúl agus is féidir leis sin difear a dhéanamh freisin do chumas na gcomhlachtaí poiblí sin an dóigh a gcomhlíonann siad na hoibleagáidí atá orthu faoi Chuid 5 den Acht um Míchumas 2005 a thuairisciú go cruinn.</w:t>
      </w:r>
    </w:p>
    <w:p w14:paraId="08F8D021" w14:textId="62DDA005" w:rsidR="002D2A3D" w:rsidRPr="003343F5" w:rsidRDefault="002D2A3D" w:rsidP="00A017F6">
      <w:r>
        <w:rPr>
          <w:lang w:val="ga"/>
        </w:rPr>
        <w:t xml:space="preserve">Bíonn ÚNM ag tabhairt comhairle do chomhlachtaí poiblí ar bhonn seasta maidir le conas is féidir leo earcú daoine a bhfuil míchumas orthu a mhéadú agus cultúir oibre a chruthú ina measann fostaithe go bhfaigheann siad an-tacaíocht le linn dóibh a stádas míchumais a chur in iúl.  </w:t>
      </w:r>
    </w:p>
    <w:p w14:paraId="1A630996" w14:textId="08DA660C" w:rsidR="00C863F4" w:rsidRPr="003343F5" w:rsidRDefault="002D2A3D" w:rsidP="00C863F4">
      <w:r>
        <w:rPr>
          <w:lang w:val="ga"/>
        </w:rPr>
        <w:t xml:space="preserve">Is ann do chásanna, áfach, ina dtuairiscíonn roinnt comhlachtaí poiblí a bhfuil níos mó ná 50 fostaí acu nár bhain siad an íos-sprioc 3% amach do dhá bhliain i ndiaidh a chéile. I dtuairisceáin Chuid 5 uathu le haghaidh na dtréimhsí sonracha dhá bhliain sin, thug roinnt de na comhlachtaí poiblí sin beagán fianaise á léiriú go raibh bearta i bhfeidhm acu chun earcú agus coinneáil daoine a bhfuil míchumas orthu a mhéadú; chun tacú le fostaithe bheith ar a gcompord le linn dóibh a stádas míchumais a chur in iúl; agus chun a bpróisis bailithe sonraí a fheabhsú.  </w:t>
      </w:r>
    </w:p>
    <w:p w14:paraId="7A21118C" w14:textId="2F1EE0FF" w:rsidR="00C863F4" w:rsidRPr="003343F5" w:rsidRDefault="00C863F4" w:rsidP="00A017F6">
      <w:pPr>
        <w:rPr>
          <w:szCs w:val="26"/>
        </w:rPr>
      </w:pPr>
      <w:r>
        <w:rPr>
          <w:szCs w:val="26"/>
          <w:lang w:val="ga"/>
        </w:rPr>
        <w:t xml:space="preserve">Faoi alt 49 den Acht um Míchumas 2005, féadfaidh ÚNM tuilleadh faisnéise a iarraidh ó na comhlachtaí poiblí sin chun a dhéanamh amach an raibh nó nach raibh bearta i bhfeidhm acu chun a n-oibleagáidí faoi Chuid 5 a chomhlíonadh. I </w:t>
      </w:r>
      <w:r>
        <w:rPr>
          <w:b/>
          <w:bCs/>
          <w:szCs w:val="26"/>
          <w:lang w:val="ga"/>
        </w:rPr>
        <w:t>Rannán 3.1 den tuarascáil seo</w:t>
      </w:r>
      <w:r>
        <w:rPr>
          <w:szCs w:val="26"/>
          <w:lang w:val="ga"/>
        </w:rPr>
        <w:t>, tugtar achoimre mhionsonraithe ar an bpróiseas a úsáideann ÚNM chun a chinneadh cé acu atá nó nach bhfuil comhlacht poiblí ag comhlíonadh Chuid 5.</w:t>
      </w:r>
    </w:p>
    <w:p w14:paraId="065A865F" w14:textId="48C81A39" w:rsidR="002D2A3D" w:rsidRPr="003343F5" w:rsidRDefault="00C863F4" w:rsidP="00A017F6">
      <w:pPr>
        <w:rPr>
          <w:szCs w:val="26"/>
        </w:rPr>
      </w:pPr>
      <w:r>
        <w:rPr>
          <w:szCs w:val="26"/>
          <w:lang w:val="ga"/>
        </w:rPr>
        <w:t>Is gá do chomhlachtaí poiblí a thaispeáint, dá bhrí sin, go bhfuil samhlacha dea-chleachtais acu chun cabhrú leo dul trí chumasc agus trí athruithe suntasacha eagrúcháin agus díriú ar bhogadh i dtreo na híos-spriocanna 4.5% agus 6% a chomhlíonadh.</w:t>
      </w:r>
    </w:p>
    <w:p w14:paraId="56710045" w14:textId="1274DAD1" w:rsidR="00662D89" w:rsidRPr="003343F5" w:rsidRDefault="00E21011" w:rsidP="00A017F6">
      <w:pPr>
        <w:rPr>
          <w:szCs w:val="26"/>
        </w:rPr>
      </w:pPr>
      <w:r>
        <w:rPr>
          <w:szCs w:val="26"/>
          <w:lang w:val="ga"/>
        </w:rPr>
        <w:t>Leanfaidh ÚNM d’obair i gcomhar le comhlachtaí poiblí atá ag streachailt lena n-oibleagáidí faoi Chuid 5 a chomhlíonadh. Cuirfidh ÚNM in iúl do na comhlachtaí poiblí sin, áfach, go mbeimid ag súil le feabhsú suntasach ar a bhfeidhmíocht sa dá bhliain atá le teacht.</w:t>
      </w:r>
    </w:p>
    <w:p w14:paraId="66B6C7F5" w14:textId="3B319F6D" w:rsidR="00662D89" w:rsidRPr="00A40925" w:rsidRDefault="00662D89" w:rsidP="00C863F4">
      <w:pPr>
        <w:pStyle w:val="Heading3"/>
      </w:pPr>
      <w:r>
        <w:rPr>
          <w:bCs/>
          <w:lang w:val="ga"/>
        </w:rPr>
        <w:t>Idirchaidreamh ÚNM le FSS</w:t>
      </w:r>
    </w:p>
    <w:p w14:paraId="72486D4C" w14:textId="15305368" w:rsidR="00F37ED9" w:rsidRDefault="00F37ED9" w:rsidP="00662D89">
      <w:pPr>
        <w:rPr>
          <w:color w:val="0D0D0D" w:themeColor="text1" w:themeTint="F2"/>
        </w:rPr>
      </w:pPr>
      <w:r>
        <w:rPr>
          <w:color w:val="0D0D0D" w:themeColor="text1" w:themeTint="F2"/>
          <w:lang w:val="ga"/>
        </w:rPr>
        <w:t>Tá idirchaidreamh straitéiseach ÚNM le FSS ina eiseamláir de conas is féidir le comhairle chomhsheasmhach agus le tacaíocht chomhsheasmhach, mar aon le hionchas go mbainfí feabhsú i bhfeidhmíocht amach, cabhrú le comhlacht poiblí roinnt dul chun cinn a thaispeáint chuige sin.</w:t>
      </w:r>
    </w:p>
    <w:p w14:paraId="0D21F9D1" w14:textId="7F06FA37" w:rsidR="00662D89" w:rsidRPr="000108E0" w:rsidRDefault="00F37ED9" w:rsidP="00662D89">
      <w:pPr>
        <w:rPr>
          <w:color w:val="0D0D0D" w:themeColor="text1" w:themeTint="F2"/>
        </w:rPr>
      </w:pPr>
      <w:r>
        <w:rPr>
          <w:color w:val="0D0D0D" w:themeColor="text1" w:themeTint="F2"/>
          <w:lang w:val="ga"/>
        </w:rPr>
        <w:lastRenderedPageBreak/>
        <w:t>Tá ÚNM ag cur comhairle ar FSS arís agus arís eile maidir le bearta a d’fhéadfadh sé a chur chun feidhme chun forbairt a dhéanamh ar phróisis bhailithe sonraí ar féidir leo a léiriú go cruinn cén tionchar atá ag na gníomhartha atá á ndéanamh ag an gcomhlacht poiblí sin chun timpeallacht chuimsitheach oibre a chruthú, ar timpeallacht í ina measann fostaithe go bhfaigheann siad tacaíocht le linn dóibh a stádas míchumais a chur in iúl agus ina ndéantar earcú agus coinneáil daoine a bhfuil míchumas orthu a chur chun cinn agus a chur ar aghaidh freisin.</w:t>
      </w:r>
    </w:p>
    <w:p w14:paraId="6B798B68" w14:textId="77777777" w:rsidR="00662D89" w:rsidRPr="000108E0" w:rsidRDefault="00662D89" w:rsidP="00662D89">
      <w:pPr>
        <w:rPr>
          <w:color w:val="0D0D0D" w:themeColor="text1" w:themeTint="F2"/>
        </w:rPr>
      </w:pPr>
      <w:r>
        <w:rPr>
          <w:color w:val="0D0D0D" w:themeColor="text1" w:themeTint="F2"/>
          <w:lang w:val="ga"/>
        </w:rPr>
        <w:t>I mí an Mheithimh 2020, thionscain ÚNM próiseas straitéiseach idirchaidrimh le foireann ainmnithe a ceapadh in FSS chun díriú ar fheabhas a chur ar fheidhmíocht an chomhlachta phoiblí sin faoi Chuid 5, agus tá sé ag glacadh páirt sa phróiseas sin ón uair sin i leith. Bíonn cruinnithe ráithiúla ag ÚNM leis an bhfoireann sin trí Zoom agus tá áthas air a thabhairt dá aire go bhfuil roinnt dul chun cinn á dhéanamh ag FSS ar na hoibleagáidí atá air faoi Chuid 5 a chomhlíonadh, faoi mar atá mionsonraithe i dTábla 1.</w:t>
      </w:r>
    </w:p>
    <w:p w14:paraId="30E615BC" w14:textId="77777777" w:rsidR="00662D89" w:rsidRPr="004A4B7A" w:rsidRDefault="00662D89" w:rsidP="00662D89">
      <w:pPr>
        <w:pStyle w:val="TableTitle"/>
        <w:rPr>
          <w:color w:val="0D0D0D" w:themeColor="text1" w:themeTint="F2"/>
        </w:rPr>
      </w:pPr>
      <w:r>
        <w:rPr>
          <w:bCs/>
          <w:color w:val="0D0D0D" w:themeColor="text1" w:themeTint="F2"/>
          <w:lang w:val="ga"/>
        </w:rPr>
        <w:t>Tábla 1. Achoimre ar fheidhmíocht FSS, 2019 – 2022</w:t>
      </w:r>
    </w:p>
    <w:tbl>
      <w:tblPr>
        <w:tblStyle w:val="TableGrid1"/>
        <w:tblW w:w="8640" w:type="dxa"/>
        <w:tblLayout w:type="fixed"/>
        <w:tblLook w:val="0020" w:firstRow="1" w:lastRow="0" w:firstColumn="0" w:lastColumn="0" w:noHBand="0" w:noVBand="0"/>
      </w:tblPr>
      <w:tblGrid>
        <w:gridCol w:w="1728"/>
        <w:gridCol w:w="1728"/>
        <w:gridCol w:w="1728"/>
        <w:gridCol w:w="1728"/>
        <w:gridCol w:w="1728"/>
      </w:tblGrid>
      <w:tr w:rsidR="00662D89" w:rsidRPr="004A4B7A" w14:paraId="1FC00333" w14:textId="77777777" w:rsidTr="00E57050">
        <w:tc>
          <w:tcPr>
            <w:tcW w:w="1728" w:type="dxa"/>
          </w:tcPr>
          <w:p w14:paraId="05DC9801" w14:textId="77777777" w:rsidR="00662D89" w:rsidRPr="004A4B7A" w:rsidRDefault="00662D89" w:rsidP="009448C6">
            <w:pPr>
              <w:pStyle w:val="TableHead"/>
              <w:jc w:val="right"/>
              <w:rPr>
                <w:color w:val="0D0D0D" w:themeColor="text1" w:themeTint="F2"/>
              </w:rPr>
            </w:pPr>
          </w:p>
        </w:tc>
        <w:tc>
          <w:tcPr>
            <w:tcW w:w="1728" w:type="dxa"/>
          </w:tcPr>
          <w:p w14:paraId="7AC01582" w14:textId="77777777" w:rsidR="00662D89" w:rsidRPr="004A4B7A" w:rsidRDefault="00662D89" w:rsidP="009448C6">
            <w:pPr>
              <w:pStyle w:val="TableHead"/>
              <w:jc w:val="right"/>
              <w:rPr>
                <w:color w:val="0D0D0D" w:themeColor="text1" w:themeTint="F2"/>
                <w:sz w:val="22"/>
                <w:szCs w:val="22"/>
              </w:rPr>
            </w:pPr>
            <w:r>
              <w:rPr>
                <w:bCs/>
                <w:color w:val="0D0D0D" w:themeColor="text1" w:themeTint="F2"/>
                <w:sz w:val="22"/>
                <w:szCs w:val="22"/>
                <w:lang w:val="ga"/>
              </w:rPr>
              <w:t>2019</w:t>
            </w:r>
          </w:p>
        </w:tc>
        <w:tc>
          <w:tcPr>
            <w:tcW w:w="1728" w:type="dxa"/>
          </w:tcPr>
          <w:p w14:paraId="36061071" w14:textId="77777777" w:rsidR="00662D89" w:rsidRPr="004A4B7A" w:rsidRDefault="00662D89" w:rsidP="009448C6">
            <w:pPr>
              <w:pStyle w:val="TableHead"/>
              <w:jc w:val="right"/>
              <w:rPr>
                <w:color w:val="0D0D0D" w:themeColor="text1" w:themeTint="F2"/>
                <w:sz w:val="22"/>
                <w:szCs w:val="22"/>
              </w:rPr>
            </w:pPr>
            <w:r>
              <w:rPr>
                <w:bCs/>
                <w:color w:val="0D0D0D" w:themeColor="text1" w:themeTint="F2"/>
                <w:sz w:val="22"/>
                <w:szCs w:val="22"/>
                <w:lang w:val="ga"/>
              </w:rPr>
              <w:t>2020</w:t>
            </w:r>
          </w:p>
        </w:tc>
        <w:tc>
          <w:tcPr>
            <w:tcW w:w="1728" w:type="dxa"/>
          </w:tcPr>
          <w:p w14:paraId="21B18E67" w14:textId="77777777" w:rsidR="00662D89" w:rsidRPr="004A4B7A" w:rsidRDefault="00662D89" w:rsidP="009448C6">
            <w:pPr>
              <w:pStyle w:val="TableHead"/>
              <w:jc w:val="right"/>
              <w:rPr>
                <w:color w:val="0D0D0D" w:themeColor="text1" w:themeTint="F2"/>
                <w:sz w:val="22"/>
                <w:szCs w:val="22"/>
              </w:rPr>
            </w:pPr>
            <w:r>
              <w:rPr>
                <w:bCs/>
                <w:color w:val="0D0D0D" w:themeColor="text1" w:themeTint="F2"/>
                <w:sz w:val="22"/>
                <w:szCs w:val="22"/>
                <w:lang w:val="ga"/>
              </w:rPr>
              <w:t>2021</w:t>
            </w:r>
          </w:p>
        </w:tc>
        <w:tc>
          <w:tcPr>
            <w:tcW w:w="1728" w:type="dxa"/>
          </w:tcPr>
          <w:p w14:paraId="33B0C69B" w14:textId="77777777" w:rsidR="00662D89" w:rsidRPr="004A4B7A" w:rsidRDefault="00662D89" w:rsidP="009448C6">
            <w:pPr>
              <w:pStyle w:val="TableHead"/>
              <w:jc w:val="right"/>
              <w:rPr>
                <w:color w:val="0D0D0D" w:themeColor="text1" w:themeTint="F2"/>
                <w:sz w:val="22"/>
                <w:szCs w:val="22"/>
              </w:rPr>
            </w:pPr>
            <w:r>
              <w:rPr>
                <w:bCs/>
                <w:color w:val="0D0D0D" w:themeColor="text1" w:themeTint="F2"/>
                <w:sz w:val="22"/>
                <w:szCs w:val="22"/>
                <w:lang w:val="ga"/>
              </w:rPr>
              <w:t>2022</w:t>
            </w:r>
          </w:p>
        </w:tc>
      </w:tr>
      <w:tr w:rsidR="00662D89" w:rsidRPr="004A4B7A" w14:paraId="504D1FF6" w14:textId="77777777" w:rsidTr="00E57050">
        <w:tc>
          <w:tcPr>
            <w:tcW w:w="1728" w:type="dxa"/>
          </w:tcPr>
          <w:p w14:paraId="24477BAB" w14:textId="77777777" w:rsidR="00662D89" w:rsidRPr="004A4B7A" w:rsidRDefault="00662D89" w:rsidP="009448C6">
            <w:pPr>
              <w:spacing w:after="0"/>
              <w:rPr>
                <w:b/>
                <w:color w:val="0D0D0D" w:themeColor="text1" w:themeTint="F2"/>
                <w:sz w:val="22"/>
                <w:szCs w:val="22"/>
              </w:rPr>
            </w:pPr>
            <w:r>
              <w:rPr>
                <w:b/>
                <w:bCs/>
                <w:color w:val="0D0D0D" w:themeColor="text1" w:themeTint="F2"/>
                <w:sz w:val="22"/>
                <w:szCs w:val="22"/>
                <w:lang w:val="ga"/>
              </w:rPr>
              <w:t>An líon iomlán fostaithe</w:t>
            </w:r>
          </w:p>
        </w:tc>
        <w:tc>
          <w:tcPr>
            <w:tcW w:w="1728" w:type="dxa"/>
          </w:tcPr>
          <w:p w14:paraId="6560152D" w14:textId="77777777" w:rsidR="00662D89" w:rsidRPr="004A4B7A" w:rsidRDefault="00662D89" w:rsidP="009448C6">
            <w:pPr>
              <w:pStyle w:val="TableCell"/>
              <w:jc w:val="right"/>
              <w:rPr>
                <w:color w:val="0D0D0D" w:themeColor="text1" w:themeTint="F2"/>
              </w:rPr>
            </w:pPr>
            <w:r>
              <w:rPr>
                <w:rFonts w:cs="Arial"/>
                <w:color w:val="0D0D0D" w:themeColor="text1" w:themeTint="F2"/>
                <w:sz w:val="22"/>
                <w:szCs w:val="22"/>
                <w:lang w:val="ga"/>
              </w:rPr>
              <w:t>88,215</w:t>
            </w:r>
          </w:p>
        </w:tc>
        <w:tc>
          <w:tcPr>
            <w:tcW w:w="1728" w:type="dxa"/>
          </w:tcPr>
          <w:p w14:paraId="3219592F"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lang w:val="ga"/>
              </w:rPr>
              <w:t>92,612</w:t>
            </w:r>
          </w:p>
          <w:p w14:paraId="117F20E4" w14:textId="77777777" w:rsidR="00662D89" w:rsidRPr="004A4B7A" w:rsidRDefault="00662D89" w:rsidP="009448C6">
            <w:pPr>
              <w:pStyle w:val="TableCell"/>
              <w:jc w:val="right"/>
              <w:rPr>
                <w:color w:val="0D0D0D" w:themeColor="text1" w:themeTint="F2"/>
              </w:rPr>
            </w:pPr>
          </w:p>
        </w:tc>
        <w:tc>
          <w:tcPr>
            <w:tcW w:w="1728" w:type="dxa"/>
          </w:tcPr>
          <w:p w14:paraId="551D82E0"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lang w:val="ga"/>
              </w:rPr>
              <w:t>96,675</w:t>
            </w:r>
          </w:p>
          <w:p w14:paraId="6832A01E" w14:textId="77777777" w:rsidR="00662D89" w:rsidRPr="004A4B7A" w:rsidRDefault="00662D89" w:rsidP="009448C6">
            <w:pPr>
              <w:pStyle w:val="TableCell"/>
              <w:jc w:val="right"/>
              <w:rPr>
                <w:color w:val="0D0D0D" w:themeColor="text1" w:themeTint="F2"/>
              </w:rPr>
            </w:pPr>
          </w:p>
        </w:tc>
        <w:tc>
          <w:tcPr>
            <w:tcW w:w="1728" w:type="dxa"/>
          </w:tcPr>
          <w:p w14:paraId="79358971" w14:textId="77777777" w:rsidR="00662D89" w:rsidRDefault="00662D89" w:rsidP="009448C6">
            <w:pPr>
              <w:spacing w:after="0"/>
              <w:jc w:val="right"/>
              <w:rPr>
                <w:rFonts w:cs="Calibri"/>
                <w:color w:val="000000"/>
                <w:sz w:val="22"/>
                <w:szCs w:val="22"/>
              </w:rPr>
            </w:pPr>
            <w:r>
              <w:rPr>
                <w:rFonts w:cs="Calibri"/>
                <w:color w:val="000000"/>
                <w:sz w:val="22"/>
                <w:szCs w:val="22"/>
                <w:lang w:val="ga"/>
              </w:rPr>
              <w:t>101,020</w:t>
            </w:r>
          </w:p>
          <w:p w14:paraId="15E6BF7F" w14:textId="77777777" w:rsidR="00662D89" w:rsidRPr="004A4B7A" w:rsidRDefault="00662D89" w:rsidP="009448C6">
            <w:pPr>
              <w:spacing w:after="0"/>
              <w:jc w:val="right"/>
              <w:rPr>
                <w:rFonts w:cs="Calibri"/>
                <w:color w:val="0D0D0D" w:themeColor="text1" w:themeTint="F2"/>
                <w:sz w:val="22"/>
                <w:szCs w:val="22"/>
              </w:rPr>
            </w:pPr>
          </w:p>
        </w:tc>
      </w:tr>
      <w:tr w:rsidR="00662D89" w:rsidRPr="00006EAC" w14:paraId="6F0AA476" w14:textId="77777777" w:rsidTr="00E57050">
        <w:tc>
          <w:tcPr>
            <w:tcW w:w="1728" w:type="dxa"/>
          </w:tcPr>
          <w:p w14:paraId="39CFFC61" w14:textId="77777777" w:rsidR="00662D89" w:rsidRPr="004A4B7A" w:rsidRDefault="00662D89" w:rsidP="009448C6">
            <w:pPr>
              <w:spacing w:after="0"/>
              <w:rPr>
                <w:b/>
                <w:color w:val="0D0D0D" w:themeColor="text1" w:themeTint="F2"/>
                <w:sz w:val="22"/>
                <w:szCs w:val="22"/>
              </w:rPr>
            </w:pPr>
            <w:r>
              <w:rPr>
                <w:b/>
                <w:bCs/>
                <w:color w:val="0D0D0D" w:themeColor="text1" w:themeTint="F2"/>
                <w:sz w:val="22"/>
                <w:szCs w:val="22"/>
                <w:lang w:val="ga"/>
              </w:rPr>
              <w:t>An líon fostaithe, agus an % d’fhostaithe, a thuairiscigh míchumas</w:t>
            </w:r>
          </w:p>
        </w:tc>
        <w:tc>
          <w:tcPr>
            <w:tcW w:w="1728" w:type="dxa"/>
          </w:tcPr>
          <w:p w14:paraId="7B11F12C" w14:textId="77777777" w:rsidR="00662D89" w:rsidRPr="004A4B7A" w:rsidRDefault="00662D89" w:rsidP="009448C6">
            <w:pPr>
              <w:pStyle w:val="TableCell"/>
              <w:jc w:val="right"/>
              <w:rPr>
                <w:color w:val="0D0D0D" w:themeColor="text1" w:themeTint="F2"/>
              </w:rPr>
            </w:pPr>
            <w:r>
              <w:rPr>
                <w:color w:val="0D0D0D" w:themeColor="text1" w:themeTint="F2"/>
                <w:sz w:val="22"/>
                <w:szCs w:val="22"/>
                <w:lang w:val="ga"/>
              </w:rPr>
              <w:t>464 (0.5%)</w:t>
            </w:r>
          </w:p>
        </w:tc>
        <w:tc>
          <w:tcPr>
            <w:tcW w:w="1728" w:type="dxa"/>
          </w:tcPr>
          <w:p w14:paraId="7A5E2050"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lang w:val="ga"/>
              </w:rPr>
              <w:t>514 (0.6%)</w:t>
            </w:r>
          </w:p>
          <w:p w14:paraId="080A9CAB" w14:textId="77777777" w:rsidR="00662D89" w:rsidRPr="004A4B7A" w:rsidRDefault="00662D89" w:rsidP="009448C6">
            <w:pPr>
              <w:pStyle w:val="TableCell"/>
              <w:jc w:val="right"/>
              <w:rPr>
                <w:color w:val="0D0D0D" w:themeColor="text1" w:themeTint="F2"/>
              </w:rPr>
            </w:pPr>
          </w:p>
        </w:tc>
        <w:tc>
          <w:tcPr>
            <w:tcW w:w="1728" w:type="dxa"/>
          </w:tcPr>
          <w:p w14:paraId="1A290C7D"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lang w:val="ga"/>
              </w:rPr>
              <w:t>1,508 (1.6%)</w:t>
            </w:r>
          </w:p>
          <w:p w14:paraId="33D0CC03" w14:textId="77777777" w:rsidR="00662D89" w:rsidRPr="004A4B7A" w:rsidRDefault="00662D89" w:rsidP="009448C6">
            <w:pPr>
              <w:pStyle w:val="TableCell"/>
              <w:jc w:val="right"/>
              <w:rPr>
                <w:color w:val="0D0D0D" w:themeColor="text1" w:themeTint="F2"/>
              </w:rPr>
            </w:pPr>
          </w:p>
        </w:tc>
        <w:tc>
          <w:tcPr>
            <w:tcW w:w="1728" w:type="dxa"/>
          </w:tcPr>
          <w:p w14:paraId="6C2F5632"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lang w:val="ga"/>
              </w:rPr>
              <w:t>2,331 (2.3%)</w:t>
            </w:r>
          </w:p>
        </w:tc>
      </w:tr>
    </w:tbl>
    <w:p w14:paraId="06543D14" w14:textId="77777777" w:rsidR="00662D89" w:rsidRPr="00152735" w:rsidRDefault="00662D89" w:rsidP="00662D89">
      <w:pPr>
        <w:pStyle w:val="TableNote"/>
        <w:spacing w:after="0"/>
        <w:jc w:val="left"/>
        <w:rPr>
          <w:color w:val="0D0D0D" w:themeColor="text1" w:themeTint="F2"/>
        </w:rPr>
      </w:pPr>
    </w:p>
    <w:p w14:paraId="7EDB518C" w14:textId="6E2B7FD4" w:rsidR="00F37ED9" w:rsidRDefault="00662D89" w:rsidP="00D012C4">
      <w:r>
        <w:rPr>
          <w:lang w:val="ga"/>
        </w:rPr>
        <w:t>Táthar dóchasach go gcuirfidh FSS feabhas ar a fheidhmíocht faoi Chuid 5 den Acht um Míchumas 2005, agus leas á bhaint aige as tacaíocht leantach ó ÚNM.</w:t>
      </w:r>
    </w:p>
    <w:p w14:paraId="2603F45D" w14:textId="49B9FAE7" w:rsidR="00F64E08" w:rsidRPr="006766F6" w:rsidRDefault="00F64E08" w:rsidP="00F64E08">
      <w:pPr>
        <w:pStyle w:val="Heading2"/>
      </w:pPr>
      <w:bookmarkStart w:id="26" w:name="_Toc147910068"/>
      <w:r>
        <w:rPr>
          <w:bCs/>
          <w:lang w:val="ga"/>
        </w:rPr>
        <w:t>An Móiminteam a Choinneáil ar Bun</w:t>
      </w:r>
      <w:bookmarkEnd w:id="26"/>
    </w:p>
    <w:p w14:paraId="1A8C475D" w14:textId="77777777" w:rsidR="003343F5" w:rsidRDefault="003343F5" w:rsidP="003343F5">
      <w:r>
        <w:rPr>
          <w:lang w:val="ga"/>
        </w:rPr>
        <w:t xml:space="preserve">Tá áthas ar ÚNM an méadú sa líon foriomlán fostaithe, agus sa chéatadán foriomlán d’fhostaithe, a thuairiscigh míchumas sa bhliain 2022 a thabhairt dá aire. </w:t>
      </w:r>
    </w:p>
    <w:p w14:paraId="129A74A2" w14:textId="707DD53C" w:rsidR="003343F5" w:rsidRDefault="003343F5" w:rsidP="003343F5">
      <w:r>
        <w:rPr>
          <w:lang w:val="ga"/>
        </w:rPr>
        <w:t xml:space="preserve">Chuir ÚNM in iúl do chomhlachtaí poiblí, áfach, go méadódh an sprioc reachtúil fostaíochta go 4.5% faoin mbliain 2024. Sa bhliain 2022, chomhlíon 141 chomhlacht phoiblí (66.2%) an sprioc 4.5% agus níor chomhlíon 72 chomhlacht (33.8%) an sprioc sin. Dá bhrí sin, tá ÚNM ag leanúint dá chur in iúl do chomhlachtaí poiblí gur gá dóibh an móiminteam a choinneáil ar bun agus díriú ar a bhfeidhmíocht faoi Chuid 5 a fheabhsú de shíor. Is bunriachtanas é sin má táthar chun méadú suntasach a fheiceáil sa líon comhlachtaí poiblí, agus sa chéatadán de chomhlachtaí poiblí, a bheidh ag comhlíonadh na híos-sprice 4.5% tráth tháirgeadh </w:t>
      </w:r>
      <w:r>
        <w:rPr>
          <w:lang w:val="ga"/>
        </w:rPr>
        <w:lastRenderedPageBreak/>
        <w:t xml:space="preserve">na </w:t>
      </w:r>
      <w:r>
        <w:rPr>
          <w:b/>
          <w:bCs/>
          <w:lang w:val="ga"/>
        </w:rPr>
        <w:t>Tuarascála ar Chomhlíonadh Chuid 5 den Acht um Míchumas 2005 do 2024</w:t>
      </w:r>
      <w:r>
        <w:rPr>
          <w:lang w:val="ga"/>
        </w:rPr>
        <w:t xml:space="preserve"> i gceann dhá bhliain.</w:t>
      </w:r>
    </w:p>
    <w:p w14:paraId="4A792705" w14:textId="3B8B8608" w:rsidR="003343F5" w:rsidRDefault="003343F5" w:rsidP="003343F5">
      <w:r>
        <w:rPr>
          <w:lang w:val="ga"/>
        </w:rPr>
        <w:t>Tugann ÚNM dá aire freisin gur mhéadaigh an líon comhlachtaí poiblí, agus an céatadán de chomhlachtaí poiblí, a thuairiscigh gur thuairiscigh 6% ar a laghad dá bhfostaithe míchumas ó 78 gcomhlacht phoiblí (36.6%) sa bhliain 2021 go 103 chomhlacht phoiblí (48.4%) sa bhliain 2022.  Sa chomhthéacs sin, bímid á chur in iúl do chomhlachtaí poiblí ar bhonn seasta gur gá dóibh díriú ar bhogadh ón sprioc 4.5% chuig an sprioc 6% sna blianta beaga atá romhainn.</w:t>
      </w:r>
    </w:p>
    <w:p w14:paraId="65C56E4F" w14:textId="7FB86766" w:rsidR="009E3EB0" w:rsidRDefault="009E3EB0" w:rsidP="00A017F6"/>
    <w:p w14:paraId="75832832" w14:textId="1E99C950" w:rsidR="00005D40" w:rsidRDefault="00005D40">
      <w:pPr>
        <w:spacing w:after="0"/>
        <w:rPr>
          <w:rFonts w:ascii="Gill Sans" w:hAnsi="Gill Sans"/>
        </w:rPr>
      </w:pPr>
      <w:r>
        <w:rPr>
          <w:lang w:val="ga"/>
        </w:rPr>
        <w:br w:type="page"/>
      </w:r>
    </w:p>
    <w:p w14:paraId="57A4513E" w14:textId="4CC3BBAF" w:rsidR="00973B13" w:rsidRPr="00775630" w:rsidRDefault="00973B13" w:rsidP="00366C86">
      <w:pPr>
        <w:pStyle w:val="Heading1"/>
        <w:rPr>
          <w:b w:val="0"/>
        </w:rPr>
      </w:pPr>
      <w:bookmarkStart w:id="27" w:name="_Toc18680242"/>
      <w:bookmarkStart w:id="28" w:name="_Toc526435808"/>
      <w:bookmarkStart w:id="29" w:name="_Toc498585826"/>
      <w:bookmarkStart w:id="30" w:name="_Toc147910069"/>
      <w:r>
        <w:rPr>
          <w:rStyle w:val="Heading1Char"/>
          <w:b/>
          <w:bCs/>
          <w:lang w:val="ga"/>
        </w:rPr>
        <w:lastRenderedPageBreak/>
        <w:t>1 Réamhrá</w:t>
      </w:r>
      <w:bookmarkEnd w:id="27"/>
      <w:bookmarkEnd w:id="28"/>
      <w:bookmarkEnd w:id="29"/>
      <w:bookmarkEnd w:id="30"/>
    </w:p>
    <w:p w14:paraId="55CDA0CC" w14:textId="77777777" w:rsidR="00973B13" w:rsidRPr="00775630" w:rsidRDefault="00973B13" w:rsidP="00973B13">
      <w:pPr>
        <w:pStyle w:val="Heading2"/>
      </w:pPr>
      <w:bookmarkStart w:id="31" w:name="_Toc18680243"/>
      <w:bookmarkStart w:id="32" w:name="_Toc526435809"/>
      <w:bookmarkStart w:id="33" w:name="_Toc498585827"/>
      <w:bookmarkStart w:id="34" w:name="_Toc147910070"/>
      <w:r>
        <w:rPr>
          <w:bCs/>
          <w:lang w:val="ga"/>
        </w:rPr>
        <w:t>1.1 An cúlra reachtach</w:t>
      </w:r>
      <w:bookmarkEnd w:id="31"/>
      <w:bookmarkEnd w:id="32"/>
      <w:bookmarkEnd w:id="33"/>
      <w:bookmarkEnd w:id="34"/>
    </w:p>
    <w:p w14:paraId="4C9E93D1" w14:textId="3608BCC7" w:rsidR="00973B13" w:rsidRPr="00775630" w:rsidRDefault="00973B13" w:rsidP="003652F9">
      <w:r>
        <w:rPr>
          <w:lang w:val="ga"/>
        </w:rPr>
        <w:t>I gCuid 5 den Acht um Míchumas 2005, tugtar ról reachtúil don Údarás Náisiúnta Míchumais (ÚNM) i bhfaireachán a dhéanamh ar fhostú daoine a bhfuil míchumas orthu san earnáil phoiblí. Leagtar amach inti freisin na hoibleagáidí tuairiscithe agus faireacháin atá ar chomhlachtaí poiblí agus Ranna Rialtais ó thaobh fostaíochta de.</w:t>
      </w:r>
    </w:p>
    <w:p w14:paraId="7A998D5E" w14:textId="77777777" w:rsidR="00973B13" w:rsidRPr="00775630" w:rsidRDefault="00973B13" w:rsidP="003652F9">
      <w:r>
        <w:rPr>
          <w:lang w:val="ga"/>
        </w:rPr>
        <w:t>Mar achoimre, is iad seo na hoibleagáidí atá mionsonraithe san Acht:</w:t>
      </w:r>
    </w:p>
    <w:p w14:paraId="6FD1442F" w14:textId="77777777" w:rsidR="00973B13" w:rsidRPr="00775630" w:rsidRDefault="00973B13" w:rsidP="003652F9">
      <w:pPr>
        <w:pStyle w:val="ListBullet"/>
      </w:pPr>
      <w:r>
        <w:rPr>
          <w:lang w:val="ga"/>
        </w:rPr>
        <w:t>A mhéid is féidir, déanfaidh comhlachtaí poiblí gach beart réasúnach chun fostú daoine a bhfuil míchumas orthu acu a chur chun cinn agus chun tacú leis an bhfostú sin (alt 47.1a)</w:t>
      </w:r>
    </w:p>
    <w:p w14:paraId="4A31B4C9" w14:textId="77777777" w:rsidR="00973B13" w:rsidRPr="00775630" w:rsidRDefault="00973B13" w:rsidP="003652F9">
      <w:pPr>
        <w:pStyle w:val="ListBullet"/>
      </w:pPr>
      <w:r>
        <w:rPr>
          <w:lang w:val="ga"/>
        </w:rPr>
        <w:t xml:space="preserve">Cinnteoidh comhlachtaí poiblí go mbainfidh siad aon spriocanna forordaithe comhlíonta amach, ach amháin i gcás go mbeidh dea-chúis ann le gan an méid sin a dhéanamh (alt 47.2) </w:t>
      </w:r>
    </w:p>
    <w:p w14:paraId="6FF16AA5" w14:textId="77777777" w:rsidR="00973B13" w:rsidRPr="00775630" w:rsidRDefault="00973B13" w:rsidP="003652F9">
      <w:pPr>
        <w:pStyle w:val="ListBullet"/>
      </w:pPr>
      <w:r>
        <w:rPr>
          <w:lang w:val="ga"/>
        </w:rPr>
        <w:t>Bunóidh Airí Coiste Faireacháin ina Roinn féin (alt 48.1)</w:t>
      </w:r>
    </w:p>
    <w:p w14:paraId="1B951DCD" w14:textId="77777777" w:rsidR="00973B13" w:rsidRPr="00775630" w:rsidRDefault="00973B13" w:rsidP="003652F9">
      <w:pPr>
        <w:pStyle w:val="ListBullet"/>
      </w:pPr>
      <w:r>
        <w:rPr>
          <w:lang w:val="ga"/>
        </w:rPr>
        <w:t>Cuirfidh comhlachtaí poiblí tuarascáil bhliantúil ar chomhlíonadh faoi bhráid Choiste Faireacháin a Roinne faoin 31 Márta gach bliain (alt 48.2)</w:t>
      </w:r>
    </w:p>
    <w:p w14:paraId="42A4FDA4" w14:textId="77777777" w:rsidR="00973B13" w:rsidRPr="00775630" w:rsidRDefault="00973B13" w:rsidP="003652F9">
      <w:pPr>
        <w:pStyle w:val="ListBullet"/>
      </w:pPr>
      <w:r>
        <w:rPr>
          <w:lang w:val="ga"/>
        </w:rPr>
        <w:t xml:space="preserve">Cuirfidh an Coiste Faireacháin tuarascáil bhliantúil faoi bhráid ÚNM faoin 30 Meitheamh gach bliain (alt 48.5d) </w:t>
      </w:r>
    </w:p>
    <w:p w14:paraId="4EA350F2" w14:textId="77777777" w:rsidR="00973B13" w:rsidRPr="00775630" w:rsidRDefault="00973B13" w:rsidP="003652F9">
      <w:pPr>
        <w:pStyle w:val="ListBullet"/>
      </w:pPr>
      <w:r>
        <w:rPr>
          <w:lang w:val="ga"/>
        </w:rPr>
        <w:t>I gcás go n-iarrfaidh Aire nó ÚNM tuilleadh faisnéise faoi chomhlíonadh, soláthróidh comhlacht poiblí an fhaisnéis sin laistigh de thréimhse trí mhí (alt 49.1)</w:t>
      </w:r>
    </w:p>
    <w:p w14:paraId="6A6541FB" w14:textId="24DABF30" w:rsidR="00973B13" w:rsidRPr="00775630" w:rsidRDefault="00973B13" w:rsidP="003652F9">
      <w:pPr>
        <w:pStyle w:val="ListBullet"/>
      </w:pPr>
      <w:r>
        <w:rPr>
          <w:lang w:val="ga"/>
        </w:rPr>
        <w:t>I gcás go mbeidh ÚNM den tuairim nach bhfuil comhlacht poiblí comhlíontach tar éis don chomhlacht mainneachtain comhlíonadh ar feadh dhá bhliain as a chéile, féadfaidh sé a iarraidh go ndéanfadh an comhlacht poiblí ‘bearta sonracha’ chun comhlíonadh a bhaint amach.</w:t>
      </w:r>
    </w:p>
    <w:p w14:paraId="49A133DE" w14:textId="77777777" w:rsidR="00973B13" w:rsidRPr="00775630" w:rsidRDefault="00973B13" w:rsidP="00973B13">
      <w:pPr>
        <w:pStyle w:val="Heading2"/>
      </w:pPr>
      <w:bookmarkStart w:id="35" w:name="_Toc18680244"/>
      <w:bookmarkStart w:id="36" w:name="_Toc526435810"/>
      <w:bookmarkStart w:id="37" w:name="_Toc498585828"/>
      <w:bookmarkStart w:id="38" w:name="_Toc147910071"/>
      <w:r>
        <w:rPr>
          <w:bCs/>
          <w:lang w:val="ga"/>
        </w:rPr>
        <w:t>1.2 An líon fostaithe a bhfuil míchumas orthu a chomhaireamh</w:t>
      </w:r>
      <w:bookmarkEnd w:id="35"/>
      <w:bookmarkEnd w:id="36"/>
      <w:bookmarkEnd w:id="37"/>
      <w:bookmarkEnd w:id="38"/>
    </w:p>
    <w:p w14:paraId="484FA4E3" w14:textId="3C4BF10D" w:rsidR="00973B13" w:rsidRPr="00775630" w:rsidRDefault="00973B13" w:rsidP="003652F9">
      <w:r>
        <w:rPr>
          <w:lang w:val="ga"/>
        </w:rPr>
        <w:t xml:space="preserve">Luaitear in alt 48(2) den Acht um Míchumas 2005 nach mór do chomhlachtaí poiblí sonraí a bhailiú faoi fhostaithe, agus go háirithe fostaithe a bhfuil míchumas orthu, </w:t>
      </w:r>
      <w:r>
        <w:rPr>
          <w:b/>
          <w:bCs/>
          <w:lang w:val="ga"/>
        </w:rPr>
        <w:t>ar bhonn bliantúil</w:t>
      </w:r>
      <w:r>
        <w:rPr>
          <w:lang w:val="ga"/>
        </w:rPr>
        <w:t>.</w:t>
      </w:r>
    </w:p>
    <w:p w14:paraId="32757F1E" w14:textId="77777777" w:rsidR="00973B13" w:rsidRPr="00775630" w:rsidRDefault="00973B13" w:rsidP="003652F9">
      <w:pPr>
        <w:pStyle w:val="BlockQuote"/>
      </w:pPr>
      <w:r>
        <w:rPr>
          <w:lang w:val="ga"/>
        </w:rPr>
        <w:t xml:space="preserve"> “Faoi réir </w:t>
      </w:r>
      <w:r>
        <w:rPr>
          <w:i/>
          <w:iCs/>
          <w:lang w:val="ga"/>
        </w:rPr>
        <w:t>fho-alt (7)</w:t>
      </w:r>
      <w:r>
        <w:rPr>
          <w:lang w:val="ga"/>
        </w:rPr>
        <w:t xml:space="preserve">, déanfaidh comhlacht poiblí, tráth nach déanaí ná an 31 Márta gach bliain, tuarascáil i scríbhinn a tharraingt suas maidir leis an dóigh ar chomhlíon sé an Chuid seo le linn </w:t>
      </w:r>
      <w:r>
        <w:rPr>
          <w:b/>
          <w:bCs/>
          <w:lang w:val="ga"/>
        </w:rPr>
        <w:t xml:space="preserve">na bliana </w:t>
      </w:r>
      <w:r>
        <w:rPr>
          <w:b/>
          <w:bCs/>
          <w:lang w:val="ga"/>
        </w:rPr>
        <w:lastRenderedPageBreak/>
        <w:t>roimhe sin</w:t>
      </w:r>
      <w:r>
        <w:rPr>
          <w:lang w:val="ga"/>
        </w:rPr>
        <w:t xml:space="preserve"> agus cuirfidh sé an tuarascáil sin faoi bhráid an choiste faireacháin ábhartha”</w:t>
      </w:r>
    </w:p>
    <w:p w14:paraId="609A75E4" w14:textId="4CFF0F8B" w:rsidR="00973B13" w:rsidRPr="00775630" w:rsidRDefault="00973B13" w:rsidP="003652F9">
      <w:r>
        <w:rPr>
          <w:lang w:val="ga"/>
        </w:rPr>
        <w:t>Cé nach leagtar amach san Acht aon mhodhanna ar leith le haghaidh fostaithe a bhfuil míchumas orthu a chomhaireamh nó a shainaithint, chuir ÚNM comhlachtaí poiblí ar an eolas roimhe seo faoi mhodhanna éagsúla a fhéadfar a úsáid chun sonraí a bhailiú agus a thabhairt cothrom le dáta ar bhonn bliantúil. Tá gach comhlacht poiblí freagrach as roghnú a dhéanamh ar mhodh cuí le haghaidh an líon fostaithe a bhfuil míchumas orthu ina n-eagraíocht a chomhaireamh gach bliain. Mhol ÚNM do chomhlachtaí poiblí cineálacha comhsheasmhacha cur chuige a chothabháil le himeacht ama nuair is féidir, ar mhaithe le móréagsúlachtaí a sheachaint sna sonraí tuairiscithe. Mar sin féin, glacann ÚNM leis gur féidir nach mbeidh sé sin indéanta nó cuí i gcónaí nuair a bheifear ag iarraidh feabhas a chur ar chruinneas na dtuairisceán.</w:t>
      </w:r>
    </w:p>
    <w:p w14:paraId="20A99D6C" w14:textId="535B4210" w:rsidR="00973B13" w:rsidRPr="00775630" w:rsidRDefault="00973B13" w:rsidP="003652F9">
      <w:r>
        <w:rPr>
          <w:lang w:val="ga"/>
        </w:rPr>
        <w:t>Beart tábhachtach maidir le fostaithe a bhfuil míchumas orthu a shainaithint is ea áireamh a dhéanamh ar gach fostaí, áit a dtugtar cuireadh do gach fostaí a chur in iúl cé acu atá nó nach bhfuil míchumas orthu. Léirítear sna tuairisceáin ó chomhlachtaí poiblí go bhfuil éagsúlacht leathan ann sna rátaí freagartha áirimh i measc fostaithe. Tá sé dúshlánach timpeallacht a chruthú ina bhfuil fostaithe ar a gcompord a stádas míchumais a chur in iúl. Bunaithe ar ár dtaithí féin, baintear na torthaí is fearr amach:</w:t>
      </w:r>
    </w:p>
    <w:p w14:paraId="2608F9CC" w14:textId="6E045C6C" w:rsidR="00973B13" w:rsidRPr="00775630" w:rsidRDefault="00973B13" w:rsidP="003652F9">
      <w:pPr>
        <w:pStyle w:val="ListBullet"/>
      </w:pPr>
      <w:r>
        <w:rPr>
          <w:lang w:val="ga"/>
        </w:rPr>
        <w:t>Nuair a ghabhann leis an áireamh clár leathan cumarsáide maidir leis na cúiseanna leis an áireamh, maidir le slándáil na faisnéise a sholáthrófar mar chuid den áireamh agus maidir leis na tairbhí a bhainfidh fostaithe agus an eagraíocht ina hiomláine as an áireamh. Is fiú comhpháirtíocht a bhunú le ceardchumainn agus le geallsealbhóirí eile ina leith sin freisin</w:t>
      </w:r>
    </w:p>
    <w:p w14:paraId="4163DE7A" w14:textId="77777777" w:rsidR="00973B13" w:rsidRPr="00775630" w:rsidRDefault="00973B13" w:rsidP="003652F9">
      <w:pPr>
        <w:pStyle w:val="ListBullet"/>
      </w:pPr>
      <w:r>
        <w:rPr>
          <w:lang w:val="ga"/>
        </w:rPr>
        <w:t>Nuair a chruthaíonn an fostóir cultúr agus timpeallacht ina bhfuil an fostaí ar a c(h)ompord a dhearbhú nach n-imreoidh an míchumas atá air/uirthi aon tionchar diúltach ar a f(h)ostaíocht.</w:t>
      </w:r>
    </w:p>
    <w:p w14:paraId="2F5AC038" w14:textId="6E9105B8" w:rsidR="00973B13" w:rsidRPr="00775630" w:rsidRDefault="00973B13" w:rsidP="003652F9">
      <w:r>
        <w:rPr>
          <w:lang w:val="ga"/>
        </w:rPr>
        <w:t xml:space="preserve">Ní bhíonn sé riachtanach i ngach cás áireamh iomlán a dhéanamh gach bliain. Déanfaidh comhlachtaí poiblí áirithe áireamh ar bhonn tréimhsiúil agus bainfidh siad úsáid as na taifid acmhainní daonna de chuid ball foirne a chuaigh isteach sa chomhlacht nó a d’fhág an comhlacht nó as iarrataí ar shocruithe réasúnacha chun sainaithint a dhéanamh gach bliain ar athruithe san idirthréimhse, agus bearta cuí cosanta sonraí i bhfeidhm acu. I gcás nach ndearnadh áireamh le roinnt blianta, is féidir gur fiú ceann a sheoladh chun aird a tharraingt ar an tábhacht a bhaineann le fostú daoine a bhfuil míchumas orthu. Is féidir áireamh a úsáid freisin chun tacú le níos mó fostaithe bheith ar a gcompord le linn dóibh a stádas míchumais a chur in iúl. Is cuma cén modh bailithe sonraí a úsáideann comhlacht poiblí, sonraítear sa </w:t>
      </w:r>
      <w:r>
        <w:rPr>
          <w:lang w:val="ga"/>
        </w:rPr>
        <w:lastRenderedPageBreak/>
        <w:t>reachtaíocht gur cheart faisnéis a thabhairt cothrom le dáta agus a chur faoi bhráid ÚNM ar bhonn bliantúil.</w:t>
      </w:r>
    </w:p>
    <w:p w14:paraId="779F5B22" w14:textId="700417BE" w:rsidR="004E4BC4" w:rsidRPr="00775630" w:rsidRDefault="00973B13" w:rsidP="003652F9">
      <w:r>
        <w:rPr>
          <w:lang w:val="ga"/>
        </w:rPr>
        <w:t xml:space="preserve">Chuir ÚNM in iúl freisin go bhfuil sé riachtanach go gcuirfí fostaithe ar an eolas faoi cén fáth a bhfuil a sonraí á mbailiú agus faoin gcuspóir ar lena aghaidh atá a sonraí á n-úsáid. </w:t>
      </w:r>
    </w:p>
    <w:p w14:paraId="4137BCD2" w14:textId="7D646EF2" w:rsidR="002678F1" w:rsidRPr="00775630" w:rsidRDefault="002678F1" w:rsidP="003652F9">
      <w:r>
        <w:rPr>
          <w:lang w:val="ga"/>
        </w:rPr>
        <w:t xml:space="preserve">Mar a bhí amhlaidh i mblianta roimhe sin, lean ÚNM le soiléiriú a thabhairt ar conas a fhéadfaidh fostaithe an sainmhíniú ar mhíchumas a chur i bhfeidhm faoin Acht um Míchumas 2005, atá mar a leanas: </w:t>
      </w:r>
    </w:p>
    <w:p w14:paraId="12539357" w14:textId="30D83752" w:rsidR="002678F1" w:rsidRPr="00775630" w:rsidRDefault="002678F1" w:rsidP="003652F9">
      <w:pPr>
        <w:pStyle w:val="BlockQuote"/>
      </w:pPr>
      <w:r>
        <w:rPr>
          <w:lang w:val="ga"/>
        </w:rPr>
        <w:t>“srianadh substaintiúil ar chumas an duine chun gairm, gnó nó slí bheatha a sheoladh sa Stát nó chun páirt a ghlacadh sa saol sóisialta nó cultúrtha sa Stát mar gheall ar lagú fisiciúil, céadfach, meabhairshláinte nó intleachta seasmhach.”</w:t>
      </w:r>
    </w:p>
    <w:p w14:paraId="2B483C49" w14:textId="77777777" w:rsidR="002678F1" w:rsidRPr="00775630" w:rsidRDefault="002678F1" w:rsidP="003652F9">
      <w:r>
        <w:rPr>
          <w:lang w:val="ga"/>
        </w:rPr>
        <w:t xml:space="preserve">Chuir ÚNM in iúl go mbeadh sé tábhachtach an téarma </w:t>
      </w:r>
      <w:r>
        <w:rPr>
          <w:b/>
          <w:bCs/>
          <w:lang w:val="ga"/>
        </w:rPr>
        <w:t>“srianadh substaintiúil”</w:t>
      </w:r>
      <w:r>
        <w:rPr>
          <w:lang w:val="ga"/>
        </w:rPr>
        <w:t xml:space="preserve"> a athbhreithniú maidir leis na bacainní atá ann cheana, e.g., </w:t>
      </w:r>
    </w:p>
    <w:p w14:paraId="0D3D8188" w14:textId="2A966178" w:rsidR="002678F1" w:rsidRPr="00775630" w:rsidRDefault="002678F1" w:rsidP="003652F9">
      <w:pPr>
        <w:pStyle w:val="ListBullet"/>
      </w:pPr>
      <w:r>
        <w:rPr>
          <w:lang w:val="ga"/>
        </w:rPr>
        <w:t>Cumarsáidí dorochtana scríofa, labhartha agus digiteacha (suíomhanna Gréasáin, aipeanna móibíleacha) a fhágann nach féidir le daoine a bhfuil míchumas orthu fógraí poist a rochtain, iarratas a dhéanamh ar phoist, agus faisnéis taistil a rochtain, i measc nithe eile</w:t>
      </w:r>
    </w:p>
    <w:p w14:paraId="0B9EFD0D" w14:textId="77777777" w:rsidR="002678F1" w:rsidRPr="00775630" w:rsidRDefault="002678F1" w:rsidP="003652F9">
      <w:pPr>
        <w:pStyle w:val="ListBullet"/>
      </w:pPr>
      <w:r>
        <w:rPr>
          <w:lang w:val="ga"/>
        </w:rPr>
        <w:t xml:space="preserve">An easpa rochtana ar sheirbhísí iompair phoiblí, rud a dhéanann difear do dhaoine a bhfuil míchumas orthu agus iad ag iarraidh taisteal chuig a n-áit oibre agus chuig scoileanna, coláistí, ollscoileanna, imeachtaí sóisialta agus coinní leighis  </w:t>
      </w:r>
    </w:p>
    <w:p w14:paraId="6D5E8980" w14:textId="2CFD808E" w:rsidR="002678F1" w:rsidRPr="00775630" w:rsidRDefault="002678F1" w:rsidP="003652F9">
      <w:pPr>
        <w:pStyle w:val="ListBullet"/>
      </w:pPr>
      <w:r>
        <w:rPr>
          <w:lang w:val="ga"/>
        </w:rPr>
        <w:t>Spásanna poiblí dorochtana a fhágann nach bhfuil daoine a bhfuil míchumas orthu ábalta foirgnimh a rochtain.</w:t>
      </w:r>
    </w:p>
    <w:p w14:paraId="5ECDF307" w14:textId="77777777" w:rsidR="002678F1" w:rsidRPr="00775630" w:rsidRDefault="002678F1" w:rsidP="003652F9">
      <w:r>
        <w:rPr>
          <w:lang w:val="ga"/>
        </w:rPr>
        <w:t xml:space="preserve">Is féidir leis na srianta móra sin a fhágáil nach féidir le daoine a bhfuil míchumas orthu deiseanna fostaíochta a rochtain agus a choinneáil agus páirt a ghlacadh sa tsochaí príomhshrutha. </w:t>
      </w:r>
    </w:p>
    <w:p w14:paraId="1DF13361" w14:textId="77777777" w:rsidR="002678F1" w:rsidRPr="00775630" w:rsidRDefault="002678F1" w:rsidP="003652F9">
      <w:r>
        <w:rPr>
          <w:lang w:val="ga"/>
        </w:rPr>
        <w:t xml:space="preserve">Dírítear ar Shainmhínithe in Airteagal 2 de </w:t>
      </w:r>
      <w:r>
        <w:rPr>
          <w:b/>
          <w:bCs/>
          <w:lang w:val="ga"/>
        </w:rPr>
        <w:t>Choinbhinsiún na Náisiún Aontaithe ar Chearta Daoine faoi Mhíchumas</w:t>
      </w:r>
      <w:r>
        <w:rPr>
          <w:lang w:val="ga"/>
        </w:rPr>
        <w:t xml:space="preserve">. Faoin Airteagal seo, ciallaíonn idirdhealú ar bhonn míchumais aon idirdhealú, eisiamh nó </w:t>
      </w:r>
      <w:r>
        <w:rPr>
          <w:b/>
          <w:bCs/>
          <w:lang w:val="ga"/>
        </w:rPr>
        <w:t>srianadh</w:t>
      </w:r>
      <w:r>
        <w:rPr>
          <w:lang w:val="ga"/>
        </w:rPr>
        <w:t xml:space="preserve"> ar bhonn míchumais a bhfuil de chuspóir nó d’éifeacht aige aithint, feidhmiú nó cleachtadh gach cirt dhaonna agus gach saoire bunúsaí ar bhonn comhionann le daoine eile a lagú nó a chur ar neamhní sa réimse polaitiúil, sa réimse eacnamaíoch, sa réimse sóisialta, sa réimse cultúrtha, sa réimse sibhialta nó in aon réimse eile. Folaíonn sé gach cineál idirdhealaithe, lena n-áirítear diúltú do shocrú réasúnach.</w:t>
      </w:r>
    </w:p>
    <w:p w14:paraId="494CCFED" w14:textId="77777777" w:rsidR="002678F1" w:rsidRPr="00775630" w:rsidRDefault="002678F1" w:rsidP="003652F9">
      <w:r>
        <w:rPr>
          <w:lang w:val="ga"/>
        </w:rPr>
        <w:lastRenderedPageBreak/>
        <w:t xml:space="preserve">Dírítear ar Oibleagáidí Ginearálta in Airteagal 4 de </w:t>
      </w:r>
      <w:r>
        <w:rPr>
          <w:b/>
          <w:bCs/>
          <w:lang w:val="ga"/>
        </w:rPr>
        <w:t>Choinbhinsiún na Náisiún Aontaithe ar Chearta Daoine faoi Mhíchumas</w:t>
      </w:r>
      <w:r>
        <w:rPr>
          <w:lang w:val="ga"/>
        </w:rPr>
        <w:t>. Sonraítear san Airteagal sin nár cheart aon srianta a bheith ar chearta na ndaoine a bhfuil míchumas orthu agus iad ag iarraidh seirbhísí poiblí príomhshrutha a rochtain agus páirt a ghlacadh sa tsochaí.</w:t>
      </w:r>
    </w:p>
    <w:p w14:paraId="22D1A013" w14:textId="77777777" w:rsidR="002678F1" w:rsidRPr="00775630" w:rsidRDefault="002678F1" w:rsidP="003652F9">
      <w:r>
        <w:rPr>
          <w:lang w:val="ga"/>
        </w:rPr>
        <w:t>An chuid lárnach den chomhairle agus an treoir a thugann ÚNM maidir le timpeallachtaí comhionanna éagsúla cuimsitheacha oibre a chruthú ina ndéantar earcú méadaithe agus coinneáil mhéadaithe daoine a bhfuil míchumas orthu a chur chun cinn agus a chur ar aghaidh agus ina dtacaítear le daoine bheith ar a gcompord le linn dóibh a stádas míchumais a chur in iúl is ea sainaithint a dhéanamh ar dhóigheanna ar féidir deireadh a chur leis na srianta sin ar fhostaíocht agus seirbhísí poiblí príomhshrutha eile a rochtain, mar atá mionsonraithe faoi Airteagail 2 agus 4 de Choinbhinsiún na Náisiún Aontaithe.</w:t>
      </w:r>
    </w:p>
    <w:p w14:paraId="5EF6BEBC" w14:textId="58905868" w:rsidR="002678F1" w:rsidRDefault="002678F1" w:rsidP="003652F9">
      <w:r>
        <w:rPr>
          <w:lang w:val="ga"/>
        </w:rPr>
        <w:t xml:space="preserve">Toradh eile atá ar an gcomhairle agus an treoir ó ÚNM ná go dtugtar do chomhlachtaí poiblí faisnéis faoi bhearta réamhghníomhacha praiticiúla is féidir leo a úsáid chun cabhrú leo seirbhísí poiblí inrochtana a sholáthar, ar aon dul leis na hoibleagáidí atá orthu faoi Airteagal 9 de </w:t>
      </w:r>
      <w:r>
        <w:rPr>
          <w:b/>
          <w:bCs/>
          <w:lang w:val="ga"/>
        </w:rPr>
        <w:t>Choinbhinsiún na Náisiún Aontaithe</w:t>
      </w:r>
      <w:r>
        <w:rPr>
          <w:lang w:val="ga"/>
        </w:rPr>
        <w:t>.</w:t>
      </w:r>
    </w:p>
    <w:p w14:paraId="650644EC" w14:textId="77777777" w:rsidR="00005D40" w:rsidRDefault="00005D40" w:rsidP="002858EC">
      <w:pPr>
        <w:pStyle w:val="Heading2"/>
      </w:pPr>
      <w:bookmarkStart w:id="39" w:name="_Toc124367209"/>
    </w:p>
    <w:p w14:paraId="539F64AD" w14:textId="77777777" w:rsidR="00005D40" w:rsidRDefault="00005D40" w:rsidP="002858EC">
      <w:pPr>
        <w:pStyle w:val="Heading2"/>
      </w:pPr>
    </w:p>
    <w:p w14:paraId="4D10C7CD" w14:textId="3C8EF6D0" w:rsidR="002858EC" w:rsidRPr="004C3D5B" w:rsidRDefault="002858EC" w:rsidP="002858EC">
      <w:pPr>
        <w:pStyle w:val="Heading2"/>
      </w:pPr>
      <w:bookmarkStart w:id="40" w:name="_Toc147910072"/>
      <w:r>
        <w:rPr>
          <w:bCs/>
          <w:lang w:val="ga"/>
        </w:rPr>
        <w:t xml:space="preserve">1.3 </w:t>
      </w:r>
      <w:bookmarkEnd w:id="39"/>
      <w:r>
        <w:rPr>
          <w:bCs/>
          <w:lang w:val="ga"/>
        </w:rPr>
        <w:t>Athbhreithniú ar Chuid 5 – An chéad chéim eile de mholtaí a chur chun feidhme</w:t>
      </w:r>
      <w:bookmarkEnd w:id="40"/>
    </w:p>
    <w:p w14:paraId="62E61531" w14:textId="228050B7" w:rsidR="00AD1C00" w:rsidRPr="005C3812" w:rsidRDefault="002858EC" w:rsidP="00AD1C00">
      <w:pPr>
        <w:rPr>
          <w:color w:val="000000" w:themeColor="text1"/>
        </w:rPr>
      </w:pPr>
      <w:r>
        <w:rPr>
          <w:lang w:val="ga"/>
        </w:rPr>
        <w:t xml:space="preserve">Sa bhliain 2019, choimisiúnaigh ÚNM Athbhreithniú ar oibriú Chuid 5 den Acht um Míchumas 2005. Sa bhliain 2020, táirgeadh </w:t>
      </w:r>
      <w:hyperlink r:id="rId12" w:history="1">
        <w:r>
          <w:rPr>
            <w:rStyle w:val="Hyperlink"/>
            <w:lang w:val="ga"/>
          </w:rPr>
          <w:t>páipéar ina mionsonraítear na fionnachtana taighde a forbraíodh mar chuid den Athbhreithniú agus ina leagtar amach moltaí le haghaidh na gcéad chéimeanna eile</w:t>
        </w:r>
      </w:hyperlink>
      <w:r>
        <w:rPr>
          <w:color w:val="000000" w:themeColor="text1"/>
          <w:lang w:val="ga"/>
        </w:rPr>
        <w:t xml:space="preserve">. Is próiseas casta é próiseas Chuid 5 agus tógfaidh sé am chun an próiseas sin a athrú. Beidh athruithe reachtacha ag teastáil chun roinnt de na moltaí ón Athbhreithniú a chur chun feidhme. Ón mbliain 2021 i leith, dá bhrí sin, tá ÚNM ag cur na moltaí ón Athbhreithniú chun feidhme ar bhonn céimnithe.  </w:t>
      </w:r>
    </w:p>
    <w:p w14:paraId="2FC7D976" w14:textId="7E501363" w:rsidR="00AD1C00" w:rsidRDefault="00AD1C00" w:rsidP="00AD1C00">
      <w:r>
        <w:rPr>
          <w:lang w:val="ga"/>
        </w:rPr>
        <w:t>Ceann de na príomh-mholtaí a chuir ÚNM chun feidhme ba ea comhairle atá cothrom le dáta a sholáthar do Choistí Faireacháin agus do chomhlachtaí poiblí maidir lena bpróisis bailithe sonraí a fheabhsú agus maidir lena chinntiú gur cruinn a bheadh na sonraí a chuirfeadh siad isteach, ar aon dul lena n-oibleagáidí reachtúla faoi Chuid 5.</w:t>
      </w:r>
    </w:p>
    <w:p w14:paraId="73C546C7" w14:textId="77777777" w:rsidR="009C01B9" w:rsidRDefault="00E068C9" w:rsidP="00E068C9">
      <w:r>
        <w:rPr>
          <w:lang w:val="ga"/>
        </w:rPr>
        <w:t xml:space="preserve">Tá áthas ar ÚNM a thabhairt dá aire go bhfuil comhlachtaí poiblí ag gníomhú de bhun na treorach sin agus go bhfuil cáilíocht na sonraí de chuid Chuid 5 a fhaighimid uathu ag feabhsú ar bhonn comhsheasmhach. </w:t>
      </w:r>
    </w:p>
    <w:p w14:paraId="0BAF2568" w14:textId="026CAA66" w:rsidR="00E068C9" w:rsidRDefault="00E068C9" w:rsidP="00E068C9">
      <w:pPr>
        <w:rPr>
          <w:b/>
          <w:bCs/>
        </w:rPr>
      </w:pPr>
      <w:r>
        <w:rPr>
          <w:lang w:val="ga"/>
        </w:rPr>
        <w:lastRenderedPageBreak/>
        <w:t xml:space="preserve">I dtuairisceáin Chuid 5 don bhliain 2022, sholáthair formhór na gcomhlachtaí poiblí faisnéis maidir le cén fáth a raibh méaduithe suntasacha nó laghduithe suntasacha acu sa líon iomlán fostaithe agus sa líon fostaithe, agus sa chéatadán d’fhostaithe, a thuairiscigh míchumas. Luaigh siad freisin gur bailíodh na sonraí i gcomhréir leis an Rialachán Ginearálta maidir le Cosaint Sonraí. Dheimhnigh na Coistí Faireacháin gur chruinn a bhí na sonraí de chuid Chuid 5 don bhliain 2022 a chuir siad isteach chuig ÚNM.  Chomh maith leis sin, sholáthair comhlachtaí poiblí faisnéis níos mine maidir leis na samhlacha dea-chleachtais a chuir siad chun feidhme chun a bhfeidhmíocht faoi Chuid 5 a fheabhsú.  Tugtar samplaí de na samhlacha dea-chleachtais sin go mion i </w:t>
      </w:r>
      <w:r>
        <w:rPr>
          <w:b/>
          <w:bCs/>
          <w:lang w:val="ga"/>
        </w:rPr>
        <w:t>Rannán 2.4 den tuarascáil seo.</w:t>
      </w:r>
    </w:p>
    <w:p w14:paraId="37300D29" w14:textId="77777777" w:rsidR="00E068C9" w:rsidRPr="003343F5" w:rsidRDefault="00E068C9" w:rsidP="00E068C9">
      <w:r>
        <w:rPr>
          <w:lang w:val="ga"/>
        </w:rPr>
        <w:t>Tá ÚNM i mbun cur chun feidhme a dhéanamh ar an gcéad chéim eile de mholtaí ón Athbhreithniú ar Chuid 5 lena ndírítear orthu seo a leanas:</w:t>
      </w:r>
    </w:p>
    <w:p w14:paraId="6B40C3A9" w14:textId="6D61F0E9" w:rsidR="00005D40" w:rsidRPr="003343F5" w:rsidRDefault="00005D40" w:rsidP="00005D40">
      <w:pPr>
        <w:pStyle w:val="ListParagraph"/>
        <w:numPr>
          <w:ilvl w:val="0"/>
          <w:numId w:val="18"/>
        </w:numPr>
        <w:spacing w:after="120"/>
        <w:ind w:left="714" w:hanging="357"/>
        <w:contextualSpacing w:val="0"/>
        <w:rPr>
          <w:rFonts w:ascii="Gill Sans MT" w:hAnsi="Gill Sans MT"/>
        </w:rPr>
      </w:pPr>
      <w:r>
        <w:rPr>
          <w:rFonts w:ascii="Gill Sans MT" w:hAnsi="Gill Sans MT"/>
          <w:lang w:val="ga"/>
        </w:rPr>
        <w:t>Sonraí níos gráinní a fháil ó chomhlachtaí poiblí faoi na bearta atá i bhfeidhm acu chun a n-oibleagáidí faoi Chuid 5 a chomhlíonadh chun dul chun cinn a dhéanamh ar an íos-sprioc 4.5% faoin mbliain 2024 a bhaint amach agus ar an íos-sprioc 6% faoin mbliain 2025 agus faoin tionchar atá á imirt ag na bearta sin maidir le hearcú daoine a bhfuil míchumas orthu san earnáil phoiblí a mhéadú.</w:t>
      </w:r>
    </w:p>
    <w:p w14:paraId="5DD4AB66" w14:textId="7BFD991C" w:rsidR="00E068C9" w:rsidRPr="003343F5" w:rsidRDefault="00005D40" w:rsidP="00714A94">
      <w:pPr>
        <w:pStyle w:val="ListParagraph"/>
        <w:numPr>
          <w:ilvl w:val="0"/>
          <w:numId w:val="18"/>
        </w:numPr>
        <w:spacing w:after="120"/>
        <w:ind w:left="714" w:hanging="357"/>
        <w:contextualSpacing w:val="0"/>
        <w:rPr>
          <w:rFonts w:ascii="Gill Sans MT" w:hAnsi="Gill Sans MT"/>
        </w:rPr>
      </w:pPr>
      <w:r>
        <w:rPr>
          <w:rFonts w:ascii="Gill Sans MT" w:hAnsi="Gill Sans MT"/>
          <w:lang w:val="ga"/>
        </w:rPr>
        <w:t>Na scileanna a theastaíonn chun a scileanna bailithe sonraí a fheabhsú, lena n-áirítear rátaí freagartha fostaithe dá suirbhéanna a fheabhsú, a sholáthar do chomhlachtaí poiblí.</w:t>
      </w:r>
    </w:p>
    <w:p w14:paraId="6104AEB4" w14:textId="4721869E" w:rsidR="00E068C9" w:rsidRPr="003343F5" w:rsidRDefault="00E068C9" w:rsidP="007643A7">
      <w:pPr>
        <w:pStyle w:val="ListParagraph"/>
        <w:numPr>
          <w:ilvl w:val="0"/>
          <w:numId w:val="18"/>
        </w:numPr>
        <w:rPr>
          <w:rFonts w:ascii="Gill Sans MT" w:hAnsi="Gill Sans MT"/>
        </w:rPr>
      </w:pPr>
      <w:r>
        <w:rPr>
          <w:rFonts w:ascii="Gill Sans MT" w:hAnsi="Gill Sans MT"/>
          <w:lang w:val="ga"/>
        </w:rPr>
        <w:t xml:space="preserve">Próiseas a bheidh níos áisiúla don úsáideoir, níos cuíchóirithe, níos éifeachtúla agus níos sodhéanta ar an iomlán a chur chun feidhme lena bhainistiú ag ÚNM. </w:t>
      </w:r>
    </w:p>
    <w:p w14:paraId="0BCB303D" w14:textId="77777777" w:rsidR="00E75DA9" w:rsidRDefault="00E068C9" w:rsidP="00E068C9">
      <w:r>
        <w:rPr>
          <w:lang w:val="ga"/>
        </w:rPr>
        <w:t>Bhunaigh ÚNM grúpa comhairleach chun cabhrú linn na moltaí seo a leanas a chur chun feidhme:</w:t>
      </w:r>
    </w:p>
    <w:p w14:paraId="20F5FF9E" w14:textId="47BF43CF" w:rsidR="00E75DA9" w:rsidRPr="004C3D5B" w:rsidRDefault="00E75DA9" w:rsidP="00E75DA9">
      <w:pPr>
        <w:pStyle w:val="ListBullet"/>
      </w:pPr>
      <w:r>
        <w:rPr>
          <w:lang w:val="ga"/>
        </w:rPr>
        <w:t xml:space="preserve">Ceisteanna a fhorbairt agus a thriail chun sonraí níos saibhre a fháil ó chomhlachtaí poiblí faoi na bearta atá i bhfeidhm acu chun cultúr comhionann éagsúil cuimsitheach oibre a chruthú trí chur chuige Dearaidh Uilíoch a úsáid. Tá sé beartaithe go mbeidh na ceisteanna sin réidh le haghaidh phróiseas bailithe sonraí Chuid 5 don bhliain 2023. </w:t>
      </w:r>
    </w:p>
    <w:p w14:paraId="185C25D2" w14:textId="365CEFCF" w:rsidR="00E75DA9" w:rsidRPr="004C3D5B" w:rsidRDefault="00E75DA9" w:rsidP="00E75DA9">
      <w:pPr>
        <w:pStyle w:val="ListBullet"/>
      </w:pPr>
      <w:r>
        <w:rPr>
          <w:lang w:val="ga"/>
        </w:rPr>
        <w:t>Ceisteanna a fhorbairt agus a thriail chun tuairimí na bhfostaithe earnála poiblí a fháil ar a n-eagraíocht faoi seach agus ar an dul chun cinn atá á dhéanamh aici ar chultúr comhionann éagsúil cuimsitheach oibre a chruthú. Tá sé beartaithe go ndéanfar na ceisteanna sin a thriail amach anseo</w:t>
      </w:r>
    </w:p>
    <w:p w14:paraId="6C9E785B" w14:textId="3181D749" w:rsidR="00E75DA9" w:rsidRDefault="00E75DA9" w:rsidP="00E068C9">
      <w:r>
        <w:rPr>
          <w:lang w:val="ga"/>
        </w:rPr>
        <w:t xml:space="preserve">Áirítear leis an ngrúpa comhairleach sin Eagraíochtaí do Dhaoine faoi Mhíchumas, daoine aonair a bhfuil míchumas orthu, geallsealbhóirí míchumais, bainisteoirí </w:t>
      </w:r>
      <w:r>
        <w:rPr>
          <w:lang w:val="ga"/>
        </w:rPr>
        <w:lastRenderedPageBreak/>
        <w:t>sinsearacha, fostaithe a bhfuil míchumas orthu agus fostaithe nach bhfuil míchumas orthu san earnáil phoiblí agus ceardchumainn earnála poiblí.</w:t>
      </w:r>
    </w:p>
    <w:p w14:paraId="03660595" w14:textId="1D50F8A4" w:rsidR="00005D40" w:rsidRDefault="00005D40" w:rsidP="00E068C9">
      <w:r>
        <w:rPr>
          <w:lang w:val="ga"/>
        </w:rPr>
        <w:t>Chomh maith leis sin, beidh ÚNM ag soláthar seisiúin oiliúna do na Coistí Faireacháin agus do na comhlachtaí poiblí maidir le freagraí a thabhairt ar na ceisteanna nua sin; maidir le freagraí fostaithe ar a n-áirimh foirne a fheabhsú; agus maidir lena bpróisis bailithe sonraí a bhreisiú.</w:t>
      </w:r>
    </w:p>
    <w:p w14:paraId="64BDCAA8" w14:textId="27426E5A" w:rsidR="00E75DA9" w:rsidRDefault="00E75DA9" w:rsidP="00E068C9">
      <w:r>
        <w:rPr>
          <w:lang w:val="ga"/>
        </w:rPr>
        <w:t>Ina theannta sin, chuir ÚNM tús le hiniúchadh a dhéanamh ar na bunriachtanais a bhaineann le córas faireacháin ar líne a bhunú, ar córas é a d’fhéadfaí a úsáid chun an próiseas bailithe agus fíoraithe sonraí a chuíchóiriú agus anailís níos cuimsithí le haghaidh Chuid 5 a chuíchóiriú.</w:t>
      </w:r>
    </w:p>
    <w:p w14:paraId="40C09F10" w14:textId="70AF9CB1" w:rsidR="002858EC" w:rsidRPr="00775630" w:rsidRDefault="00A431D2" w:rsidP="003652F9">
      <w:r>
        <w:rPr>
          <w:lang w:val="ga"/>
        </w:rPr>
        <w:t>Tabharfaidh ÚNM an t-eolas is deireanaí don earnáil phoiblí faoi chur chun feidhme a dhéanamh ar an gcéad chéim eile de na moltaí sin ón Athbhreithniú ar Chuid 5.</w:t>
      </w:r>
    </w:p>
    <w:p w14:paraId="42254073" w14:textId="77777777" w:rsidR="00850534" w:rsidRDefault="00850534">
      <w:pPr>
        <w:spacing w:after="0"/>
        <w:rPr>
          <w:rFonts w:ascii="Rockwell" w:hAnsi="Rockwell"/>
          <w:b/>
          <w:color w:val="CC3399"/>
          <w:sz w:val="56"/>
          <w:szCs w:val="56"/>
        </w:rPr>
      </w:pPr>
      <w:r>
        <w:rPr>
          <w:lang w:val="ga"/>
        </w:rPr>
        <w:br w:type="page"/>
      </w:r>
    </w:p>
    <w:p w14:paraId="49C25DA9" w14:textId="4940485F" w:rsidR="007F4313" w:rsidRPr="00BC13A0" w:rsidRDefault="007F4313" w:rsidP="001D1C7F">
      <w:pPr>
        <w:pStyle w:val="Heading1"/>
      </w:pPr>
      <w:bookmarkStart w:id="41" w:name="_Toc147910073"/>
      <w:r>
        <w:rPr>
          <w:bCs/>
          <w:lang w:val="ga"/>
        </w:rPr>
        <w:lastRenderedPageBreak/>
        <w:t>2. Na Príomhfhionnachtana don bhliain 2022</w:t>
      </w:r>
      <w:bookmarkEnd w:id="41"/>
    </w:p>
    <w:p w14:paraId="06E74A06" w14:textId="181DF619" w:rsidR="001D1C7F" w:rsidRPr="00BC13A0" w:rsidRDefault="001D1C7F" w:rsidP="00A53ACB">
      <w:pPr>
        <w:pStyle w:val="Heading2"/>
      </w:pPr>
      <w:bookmarkStart w:id="42" w:name="_Toc147910074"/>
      <w:r>
        <w:rPr>
          <w:bCs/>
          <w:lang w:val="ga"/>
        </w:rPr>
        <w:t>2.1 Na Príomhfhionnachtana don bhliain 2022</w:t>
      </w:r>
      <w:bookmarkEnd w:id="42"/>
    </w:p>
    <w:p w14:paraId="0E34CF29" w14:textId="3A902E57" w:rsidR="001D1C7F" w:rsidRDefault="001D1C7F" w:rsidP="003652F9">
      <w:pPr>
        <w:pStyle w:val="ListBullet"/>
        <w:rPr>
          <w:rFonts w:cs="Arial"/>
          <w:szCs w:val="26"/>
        </w:rPr>
      </w:pPr>
      <w:r>
        <w:rPr>
          <w:lang w:val="ga"/>
        </w:rPr>
        <w:t>Ag deireadh na bliana 2022, b’ionann an líon iomlán fostaithe sna comhlachtaí iomchuí earnála poiblí agus 260,434 fhostaí. Is méadú 8,882 fhostaí (+3.5%) é sin i gcomparáid le figiúirí na bliana 2021</w:t>
      </w:r>
    </w:p>
    <w:p w14:paraId="65129321" w14:textId="08001782" w:rsidR="001206A2" w:rsidRDefault="001206A2" w:rsidP="001206A2">
      <w:pPr>
        <w:pStyle w:val="ListBullet"/>
      </w:pPr>
      <w:r>
        <w:rPr>
          <w:lang w:val="ga"/>
        </w:rPr>
        <w:t>Tá áthas ar ÚNM a thabhairt dá aire gurbh amhlaidh sa bhliain 2022, den chéad uair riamh, ab ionann an líon fostaithe a thuairiscigh míchumas agus 10,631 fhostaí (4.1%), ar méadú 1,620 fostaí (+18.0%) é i gcomparáid le figiúirí na bliana 2021</w:t>
      </w:r>
    </w:p>
    <w:p w14:paraId="43B1BB4B" w14:textId="77777777" w:rsidR="003343F5" w:rsidRDefault="001206A2" w:rsidP="003343F5">
      <w:pPr>
        <w:pStyle w:val="ListBullet"/>
        <w:rPr>
          <w:rFonts w:cs="Arial"/>
          <w:szCs w:val="26"/>
        </w:rPr>
      </w:pPr>
      <w:r>
        <w:rPr>
          <w:lang w:val="ga"/>
        </w:rPr>
        <w:t>Tá áthas ar ÚNM a thabhairt dá aire freisin gur sháraigh an céatadán d’fhostaithe a dhearbhaigh míchumas sa tseirbhís phoiblí an íos-sprioc 3% don dóú bliain déag as a chéile</w:t>
      </w:r>
    </w:p>
    <w:p w14:paraId="7BE54D58" w14:textId="67DB36EA" w:rsidR="001D1C7F" w:rsidRPr="003343F5" w:rsidRDefault="001D1C7F" w:rsidP="003343F5">
      <w:pPr>
        <w:pStyle w:val="ListBullet"/>
        <w:numPr>
          <w:ilvl w:val="0"/>
          <w:numId w:val="0"/>
        </w:numPr>
        <w:rPr>
          <w:rFonts w:cs="Arial"/>
          <w:szCs w:val="26"/>
        </w:rPr>
      </w:pPr>
      <w:r>
        <w:rPr>
          <w:lang w:val="ga"/>
        </w:rPr>
        <w:t>I dTábla 2, léirítear na príomhfhionnachtana sin don bhliain 2022 agus an dul chun cinn a rinne an earnáil phoiblí ar an íos-sprioc 3% a bhaint amach idir na blianta 2007 agus 2022. Sa bhliain 2007, chuir ÚNM tús le faireachán a dhéanamh ar fhostú daoine a bhfuil míchumas orthu.</w:t>
      </w:r>
      <w:r>
        <w:rPr>
          <w:szCs w:val="26"/>
          <w:lang w:val="ga"/>
        </w:rPr>
        <w:t xml:space="preserve"> </w:t>
      </w:r>
    </w:p>
    <w:p w14:paraId="54CAA5F7" w14:textId="3EA9FA82" w:rsidR="00A32E79" w:rsidRPr="00BC13A0" w:rsidRDefault="001D1C7F" w:rsidP="003652F9">
      <w:pPr>
        <w:rPr>
          <w:rFonts w:cs="Arial"/>
          <w:szCs w:val="26"/>
        </w:rPr>
      </w:pPr>
      <w:r>
        <w:rPr>
          <w:szCs w:val="26"/>
          <w:lang w:val="ga"/>
        </w:rPr>
        <w:t xml:space="preserve">Mar atá mionsonraithe i dTábla 2, </w:t>
      </w:r>
      <w:r>
        <w:rPr>
          <w:lang w:val="ga"/>
        </w:rPr>
        <w:t xml:space="preserve">tháinig laghdú bliain ar bhliain ar an líon iomlán fostaithe san earnáil phoiblí idir na blianta 2007 agus 2013. Bhí luaineacht ann sa líon iomlán fostaithe a thuairiscigh míchumas thar an tréimhse chéanna. Tháinig méadú bliain ar bhliain ar an líon iomlán fostaithe san earnáil phoiblí ón mbliain 2014 i leith. </w:t>
      </w:r>
      <w:r>
        <w:rPr>
          <w:color w:val="000000" w:themeColor="text1"/>
          <w:lang w:val="ga"/>
        </w:rPr>
        <w:t xml:space="preserve">Ag deireadh na bliana 2022, b’ionann an líon iomlán fostaithe sna comhlachtaí ábhartha earnála poiblí agus </w:t>
      </w:r>
      <w:r>
        <w:rPr>
          <w:szCs w:val="26"/>
          <w:lang w:val="ga"/>
        </w:rPr>
        <w:t>260,434 fhostaí. Is méadú 8,882 fhostaí (+3.5%) é sin i gcomparáid le figiúirí na bliana 2021.</w:t>
      </w:r>
    </w:p>
    <w:p w14:paraId="15EC67EA" w14:textId="7D2707EB" w:rsidR="00415104" w:rsidRDefault="00A32E79" w:rsidP="00E068C9">
      <w:r>
        <w:rPr>
          <w:lang w:val="ga"/>
        </w:rPr>
        <w:t xml:space="preserve">Tháinig méadú ó bhliain go bliain ón mbliain 2014 go dtí an bhliain 2017 ar an líon fostaithe a thuairiscigh míchumas. Dá ainneoin sin, tháinig laghdú ar an líon agus céatadán sin go 3.3% sa bhliain 2018 agus go 3.1% sa bhliain 2019. Tháinig méadú sa bhliain 2020 an athuair ar an líon fostaithe a thuairiscigh míchumas. Mar gheall ar an méadú foriomlán sa líon fostaithe san earnáil phoiblí, áfach, bhí an céatadán foriomlán d’fhostaithe a thuairiscigh míchumas cothrom le 3.1% go fóill. Sa bhliain 2021, mhéadaigh an céatadán foriomlán d’fhostaithe a thuairiscigh míchumas go 3.6%. Tá áthas ar ÚNM an dul chun cinn a rinne an earnáil phoiblí sa bhliain 2022 maidir le méadú go 4.1% sa líon fostaithe, agus sa chéatadán d’fhostaithe, a thuairiscigh míchumas a thabhairt dá aire. </w:t>
      </w:r>
    </w:p>
    <w:p w14:paraId="5D0B551F" w14:textId="77777777" w:rsidR="00F23185" w:rsidRPr="00E068C9" w:rsidRDefault="00F23185" w:rsidP="00E068C9">
      <w:pPr>
        <w:rPr>
          <w:rFonts w:cs="Arial"/>
          <w:szCs w:val="26"/>
        </w:rPr>
      </w:pPr>
    </w:p>
    <w:p w14:paraId="743C058A" w14:textId="1AF4887B" w:rsidR="00973B13" w:rsidRPr="00BC13A0" w:rsidRDefault="00961DC1" w:rsidP="00973B13">
      <w:pPr>
        <w:keepNext/>
        <w:keepLines/>
        <w:spacing w:after="120"/>
        <w:rPr>
          <w:rFonts w:ascii="Gill Sans" w:hAnsi="Gill Sans"/>
          <w:b/>
        </w:rPr>
      </w:pPr>
      <w:r>
        <w:rPr>
          <w:rFonts w:ascii="Gill Sans" w:hAnsi="Gill Sans"/>
          <w:b/>
          <w:bCs/>
          <w:lang w:val="ga"/>
        </w:rPr>
        <w:lastRenderedPageBreak/>
        <w:t>Tábla 2. Dul chun cinn i dtreo an íos-sprioc 3% a chomhlíonadh, 2007-2022</w:t>
      </w:r>
    </w:p>
    <w:tbl>
      <w:tblPr>
        <w:tblStyle w:val="TableGrid1"/>
        <w:tblW w:w="9308" w:type="dxa"/>
        <w:tblLayout w:type="fixed"/>
        <w:tblLook w:val="0220" w:firstRow="1" w:lastRow="0" w:firstColumn="0" w:lastColumn="0" w:noHBand="1" w:noVBand="0"/>
      </w:tblPr>
      <w:tblGrid>
        <w:gridCol w:w="2410"/>
        <w:gridCol w:w="2410"/>
        <w:gridCol w:w="2504"/>
        <w:gridCol w:w="1984"/>
      </w:tblGrid>
      <w:tr w:rsidR="00973B13" w:rsidRPr="00BC13A0" w14:paraId="2FE2AE82" w14:textId="77777777" w:rsidTr="00E57050">
        <w:tc>
          <w:tcPr>
            <w:tcW w:w="2410" w:type="dxa"/>
          </w:tcPr>
          <w:p w14:paraId="3DAD72F9" w14:textId="77777777" w:rsidR="00973B13" w:rsidRPr="00BC13A0" w:rsidRDefault="00973B13" w:rsidP="00DD1EE1">
            <w:pPr>
              <w:spacing w:after="0"/>
              <w:rPr>
                <w:b/>
                <w:color w:val="000000"/>
                <w:sz w:val="24"/>
              </w:rPr>
            </w:pPr>
            <w:r>
              <w:rPr>
                <w:b/>
                <w:bCs/>
                <w:color w:val="000000"/>
                <w:sz w:val="24"/>
                <w:lang w:val="ga"/>
              </w:rPr>
              <w:t>Bliain</w:t>
            </w:r>
          </w:p>
        </w:tc>
        <w:tc>
          <w:tcPr>
            <w:tcW w:w="2410" w:type="dxa"/>
          </w:tcPr>
          <w:p w14:paraId="42208D67" w14:textId="45EE9686" w:rsidR="00973B13" w:rsidRPr="00BC13A0" w:rsidRDefault="00973B13" w:rsidP="00DD1EE1">
            <w:pPr>
              <w:spacing w:after="0"/>
              <w:rPr>
                <w:b/>
                <w:color w:val="000000"/>
                <w:sz w:val="24"/>
              </w:rPr>
            </w:pPr>
            <w:r>
              <w:rPr>
                <w:b/>
                <w:bCs/>
                <w:color w:val="000000"/>
                <w:sz w:val="24"/>
                <w:lang w:val="ga"/>
              </w:rPr>
              <w:t>An líon iomlán fostaithe</w:t>
            </w:r>
          </w:p>
        </w:tc>
        <w:tc>
          <w:tcPr>
            <w:tcW w:w="2504" w:type="dxa"/>
          </w:tcPr>
          <w:p w14:paraId="75DD852D" w14:textId="40E426E7" w:rsidR="00973B13" w:rsidRPr="00BC13A0" w:rsidRDefault="00FE708A" w:rsidP="00DD1EE1">
            <w:pPr>
              <w:spacing w:after="0"/>
              <w:rPr>
                <w:b/>
                <w:color w:val="000000"/>
                <w:sz w:val="24"/>
              </w:rPr>
            </w:pPr>
            <w:r>
              <w:rPr>
                <w:b/>
                <w:bCs/>
                <w:color w:val="000000"/>
                <w:sz w:val="24"/>
                <w:lang w:val="ga"/>
              </w:rPr>
              <w:t>An líon fostaithe a thuairiscigh míchumas</w:t>
            </w:r>
          </w:p>
        </w:tc>
        <w:tc>
          <w:tcPr>
            <w:tcW w:w="1984" w:type="dxa"/>
          </w:tcPr>
          <w:p w14:paraId="4E4B0A9B" w14:textId="1130F4A9" w:rsidR="00973B13" w:rsidRPr="00BC13A0" w:rsidRDefault="00973B13" w:rsidP="00DD1EE1">
            <w:pPr>
              <w:spacing w:after="0"/>
              <w:rPr>
                <w:b/>
                <w:color w:val="000000"/>
                <w:sz w:val="24"/>
              </w:rPr>
            </w:pPr>
            <w:r>
              <w:rPr>
                <w:b/>
                <w:bCs/>
                <w:color w:val="000000"/>
                <w:sz w:val="24"/>
                <w:lang w:val="ga"/>
              </w:rPr>
              <w:t>An % d’iomlán na bhfostaithe a thuairiscigh míchumas</w:t>
            </w:r>
          </w:p>
        </w:tc>
      </w:tr>
      <w:tr w:rsidR="00973B13" w:rsidRPr="00BC13A0" w14:paraId="4B17D5CD" w14:textId="77777777" w:rsidTr="00E57050">
        <w:tc>
          <w:tcPr>
            <w:tcW w:w="2410" w:type="dxa"/>
          </w:tcPr>
          <w:p w14:paraId="264D6EAB" w14:textId="77777777" w:rsidR="00973B13" w:rsidRPr="00BC13A0" w:rsidRDefault="00973B13" w:rsidP="00AD2F28">
            <w:pPr>
              <w:spacing w:after="0"/>
              <w:jc w:val="right"/>
              <w:rPr>
                <w:color w:val="000000"/>
                <w:sz w:val="24"/>
              </w:rPr>
            </w:pPr>
            <w:r>
              <w:rPr>
                <w:color w:val="000000"/>
                <w:sz w:val="24"/>
                <w:lang w:val="ga"/>
              </w:rPr>
              <w:t>2007</w:t>
            </w:r>
          </w:p>
        </w:tc>
        <w:tc>
          <w:tcPr>
            <w:tcW w:w="2410" w:type="dxa"/>
          </w:tcPr>
          <w:p w14:paraId="039B6DDE" w14:textId="77777777" w:rsidR="00973B13" w:rsidRPr="00BC13A0" w:rsidRDefault="00973B13" w:rsidP="00AD2F28">
            <w:pPr>
              <w:spacing w:after="0"/>
              <w:jc w:val="right"/>
              <w:rPr>
                <w:color w:val="000000"/>
                <w:sz w:val="24"/>
              </w:rPr>
            </w:pPr>
            <w:r>
              <w:rPr>
                <w:color w:val="000000"/>
                <w:sz w:val="24"/>
                <w:lang w:val="ga"/>
              </w:rPr>
              <w:t>238,833</w:t>
            </w:r>
          </w:p>
        </w:tc>
        <w:tc>
          <w:tcPr>
            <w:tcW w:w="2504" w:type="dxa"/>
          </w:tcPr>
          <w:p w14:paraId="7CD285A8" w14:textId="77777777" w:rsidR="00973B13" w:rsidRPr="00BC13A0" w:rsidRDefault="00973B13" w:rsidP="00AD2F28">
            <w:pPr>
              <w:spacing w:after="0"/>
              <w:jc w:val="right"/>
              <w:rPr>
                <w:color w:val="000000"/>
                <w:sz w:val="24"/>
              </w:rPr>
            </w:pPr>
            <w:r>
              <w:rPr>
                <w:color w:val="000000"/>
                <w:sz w:val="24"/>
                <w:lang w:val="ga"/>
              </w:rPr>
              <w:t xml:space="preserve">5,879 </w:t>
            </w:r>
          </w:p>
        </w:tc>
        <w:tc>
          <w:tcPr>
            <w:tcW w:w="1984" w:type="dxa"/>
          </w:tcPr>
          <w:p w14:paraId="335E7E16" w14:textId="77777777" w:rsidR="00973B13" w:rsidRPr="00BC13A0" w:rsidRDefault="00973B13" w:rsidP="00AD2F28">
            <w:pPr>
              <w:spacing w:after="0"/>
              <w:jc w:val="right"/>
              <w:rPr>
                <w:color w:val="000000"/>
                <w:sz w:val="24"/>
              </w:rPr>
            </w:pPr>
            <w:r>
              <w:rPr>
                <w:color w:val="000000"/>
                <w:sz w:val="24"/>
                <w:lang w:val="ga"/>
              </w:rPr>
              <w:t>2.5%</w:t>
            </w:r>
          </w:p>
        </w:tc>
      </w:tr>
      <w:tr w:rsidR="00973B13" w:rsidRPr="00BC13A0" w14:paraId="1C502877" w14:textId="77777777" w:rsidTr="00E57050">
        <w:tc>
          <w:tcPr>
            <w:tcW w:w="2410" w:type="dxa"/>
          </w:tcPr>
          <w:p w14:paraId="6C720212" w14:textId="77777777" w:rsidR="00973B13" w:rsidRPr="00BC13A0" w:rsidRDefault="00973B13" w:rsidP="00AD2F28">
            <w:pPr>
              <w:spacing w:after="0"/>
              <w:jc w:val="right"/>
              <w:rPr>
                <w:color w:val="000000"/>
                <w:sz w:val="24"/>
              </w:rPr>
            </w:pPr>
            <w:r>
              <w:rPr>
                <w:color w:val="000000"/>
                <w:sz w:val="24"/>
                <w:lang w:val="ga"/>
              </w:rPr>
              <w:t>2008</w:t>
            </w:r>
          </w:p>
        </w:tc>
        <w:tc>
          <w:tcPr>
            <w:tcW w:w="2410" w:type="dxa"/>
          </w:tcPr>
          <w:p w14:paraId="6CC65C41" w14:textId="77777777" w:rsidR="00973B13" w:rsidRPr="00BC13A0" w:rsidRDefault="00973B13" w:rsidP="00AD2F28">
            <w:pPr>
              <w:spacing w:after="0"/>
              <w:jc w:val="right"/>
              <w:rPr>
                <w:color w:val="000000"/>
                <w:sz w:val="24"/>
              </w:rPr>
            </w:pPr>
            <w:r>
              <w:rPr>
                <w:color w:val="000000"/>
                <w:sz w:val="24"/>
                <w:lang w:val="ga"/>
              </w:rPr>
              <w:t>229,000</w:t>
            </w:r>
          </w:p>
        </w:tc>
        <w:tc>
          <w:tcPr>
            <w:tcW w:w="2504" w:type="dxa"/>
          </w:tcPr>
          <w:p w14:paraId="10CE233A" w14:textId="77777777" w:rsidR="00973B13" w:rsidRPr="00BC13A0" w:rsidRDefault="00973B13" w:rsidP="00AD2F28">
            <w:pPr>
              <w:spacing w:after="0"/>
              <w:jc w:val="right"/>
              <w:rPr>
                <w:color w:val="000000"/>
                <w:sz w:val="24"/>
              </w:rPr>
            </w:pPr>
            <w:r>
              <w:rPr>
                <w:color w:val="000000"/>
                <w:sz w:val="24"/>
                <w:lang w:val="ga"/>
              </w:rPr>
              <w:t xml:space="preserve"> 6,083 </w:t>
            </w:r>
          </w:p>
        </w:tc>
        <w:tc>
          <w:tcPr>
            <w:tcW w:w="1984" w:type="dxa"/>
          </w:tcPr>
          <w:p w14:paraId="4F2A140D" w14:textId="77777777" w:rsidR="00973B13" w:rsidRPr="00BC13A0" w:rsidRDefault="00973B13" w:rsidP="00AD2F28">
            <w:pPr>
              <w:spacing w:after="0"/>
              <w:jc w:val="right"/>
              <w:rPr>
                <w:color w:val="000000"/>
                <w:sz w:val="24"/>
              </w:rPr>
            </w:pPr>
            <w:r>
              <w:rPr>
                <w:color w:val="000000"/>
                <w:sz w:val="24"/>
                <w:lang w:val="ga"/>
              </w:rPr>
              <w:t>2.7%</w:t>
            </w:r>
          </w:p>
        </w:tc>
      </w:tr>
      <w:tr w:rsidR="00973B13" w:rsidRPr="00BC13A0" w14:paraId="68F2699F" w14:textId="77777777" w:rsidTr="00E57050">
        <w:tc>
          <w:tcPr>
            <w:tcW w:w="2410" w:type="dxa"/>
          </w:tcPr>
          <w:p w14:paraId="4A2D2CBB" w14:textId="77777777" w:rsidR="00973B13" w:rsidRPr="00BC13A0" w:rsidRDefault="00973B13" w:rsidP="00AD2F28">
            <w:pPr>
              <w:spacing w:after="0"/>
              <w:jc w:val="right"/>
              <w:rPr>
                <w:color w:val="000000"/>
                <w:sz w:val="24"/>
              </w:rPr>
            </w:pPr>
            <w:r>
              <w:rPr>
                <w:color w:val="000000"/>
                <w:sz w:val="24"/>
                <w:lang w:val="ga"/>
              </w:rPr>
              <w:t>2009</w:t>
            </w:r>
          </w:p>
        </w:tc>
        <w:tc>
          <w:tcPr>
            <w:tcW w:w="2410" w:type="dxa"/>
          </w:tcPr>
          <w:p w14:paraId="4219D10F" w14:textId="77777777" w:rsidR="00973B13" w:rsidRPr="00BC13A0" w:rsidRDefault="00973B13" w:rsidP="00AD2F28">
            <w:pPr>
              <w:spacing w:after="0"/>
              <w:jc w:val="right"/>
              <w:rPr>
                <w:color w:val="000000"/>
                <w:sz w:val="24"/>
              </w:rPr>
            </w:pPr>
            <w:r>
              <w:rPr>
                <w:color w:val="000000"/>
                <w:sz w:val="24"/>
                <w:lang w:val="ga"/>
              </w:rPr>
              <w:t>219,653</w:t>
            </w:r>
          </w:p>
        </w:tc>
        <w:tc>
          <w:tcPr>
            <w:tcW w:w="2504" w:type="dxa"/>
          </w:tcPr>
          <w:p w14:paraId="7375FF18" w14:textId="77777777" w:rsidR="00973B13" w:rsidRPr="00BC13A0" w:rsidRDefault="00973B13" w:rsidP="00AD2F28">
            <w:pPr>
              <w:spacing w:after="0"/>
              <w:jc w:val="right"/>
              <w:rPr>
                <w:color w:val="000000"/>
                <w:sz w:val="24"/>
              </w:rPr>
            </w:pPr>
            <w:r>
              <w:rPr>
                <w:color w:val="000000"/>
                <w:sz w:val="24"/>
                <w:lang w:val="ga"/>
              </w:rPr>
              <w:t xml:space="preserve">6,380 </w:t>
            </w:r>
          </w:p>
        </w:tc>
        <w:tc>
          <w:tcPr>
            <w:tcW w:w="1984" w:type="dxa"/>
          </w:tcPr>
          <w:p w14:paraId="10C822F9" w14:textId="77777777" w:rsidR="00973B13" w:rsidRPr="00BC13A0" w:rsidRDefault="00973B13" w:rsidP="00AD2F28">
            <w:pPr>
              <w:spacing w:after="0"/>
              <w:jc w:val="right"/>
              <w:rPr>
                <w:color w:val="000000"/>
                <w:sz w:val="24"/>
              </w:rPr>
            </w:pPr>
            <w:r>
              <w:rPr>
                <w:color w:val="000000"/>
                <w:sz w:val="24"/>
                <w:lang w:val="ga"/>
              </w:rPr>
              <w:t>2.9%</w:t>
            </w:r>
          </w:p>
        </w:tc>
      </w:tr>
      <w:tr w:rsidR="00973B13" w:rsidRPr="00BC13A0" w14:paraId="287B34AC" w14:textId="77777777" w:rsidTr="00E57050">
        <w:tc>
          <w:tcPr>
            <w:tcW w:w="2410" w:type="dxa"/>
          </w:tcPr>
          <w:p w14:paraId="36CAD752" w14:textId="77777777" w:rsidR="00973B13" w:rsidRPr="00BC13A0" w:rsidRDefault="00973B13" w:rsidP="00AD2F28">
            <w:pPr>
              <w:spacing w:after="0"/>
              <w:jc w:val="right"/>
              <w:rPr>
                <w:color w:val="000000"/>
                <w:sz w:val="24"/>
              </w:rPr>
            </w:pPr>
            <w:r>
              <w:rPr>
                <w:color w:val="000000"/>
                <w:sz w:val="24"/>
                <w:lang w:val="ga"/>
              </w:rPr>
              <w:t>2010</w:t>
            </w:r>
          </w:p>
        </w:tc>
        <w:tc>
          <w:tcPr>
            <w:tcW w:w="2410" w:type="dxa"/>
          </w:tcPr>
          <w:p w14:paraId="1EB34779" w14:textId="77777777" w:rsidR="00973B13" w:rsidRPr="00BC13A0" w:rsidRDefault="00973B13" w:rsidP="00AD2F28">
            <w:pPr>
              <w:spacing w:after="0"/>
              <w:jc w:val="right"/>
              <w:rPr>
                <w:color w:val="000000"/>
                <w:sz w:val="24"/>
              </w:rPr>
            </w:pPr>
            <w:r>
              <w:rPr>
                <w:color w:val="000000"/>
                <w:sz w:val="24"/>
                <w:lang w:val="ga"/>
              </w:rPr>
              <w:t>210,249</w:t>
            </w:r>
          </w:p>
        </w:tc>
        <w:tc>
          <w:tcPr>
            <w:tcW w:w="2504" w:type="dxa"/>
          </w:tcPr>
          <w:p w14:paraId="5EC9A8E6" w14:textId="77777777" w:rsidR="00973B13" w:rsidRPr="00BC13A0" w:rsidRDefault="00973B13" w:rsidP="00AD2F28">
            <w:pPr>
              <w:spacing w:after="0"/>
              <w:jc w:val="right"/>
              <w:rPr>
                <w:color w:val="000000"/>
                <w:sz w:val="24"/>
              </w:rPr>
            </w:pPr>
            <w:r>
              <w:rPr>
                <w:color w:val="000000"/>
                <w:sz w:val="24"/>
                <w:lang w:val="ga"/>
              </w:rPr>
              <w:t xml:space="preserve">5,748 </w:t>
            </w:r>
          </w:p>
        </w:tc>
        <w:tc>
          <w:tcPr>
            <w:tcW w:w="1984" w:type="dxa"/>
          </w:tcPr>
          <w:p w14:paraId="79616561" w14:textId="77777777" w:rsidR="00973B13" w:rsidRPr="00BC13A0" w:rsidRDefault="00973B13" w:rsidP="00AD2F28">
            <w:pPr>
              <w:spacing w:after="0"/>
              <w:jc w:val="right"/>
              <w:rPr>
                <w:color w:val="000000"/>
                <w:sz w:val="24"/>
              </w:rPr>
            </w:pPr>
            <w:r>
              <w:rPr>
                <w:color w:val="000000"/>
                <w:sz w:val="24"/>
                <w:lang w:val="ga"/>
              </w:rPr>
              <w:t>2.7%</w:t>
            </w:r>
          </w:p>
        </w:tc>
      </w:tr>
      <w:tr w:rsidR="00973B13" w:rsidRPr="00BC13A0" w14:paraId="06A99A90" w14:textId="77777777" w:rsidTr="00E57050">
        <w:tc>
          <w:tcPr>
            <w:tcW w:w="2410" w:type="dxa"/>
          </w:tcPr>
          <w:p w14:paraId="19A07CD5" w14:textId="77777777" w:rsidR="00973B13" w:rsidRPr="00BC13A0" w:rsidRDefault="00973B13" w:rsidP="00AD2F28">
            <w:pPr>
              <w:spacing w:after="0"/>
              <w:jc w:val="right"/>
              <w:rPr>
                <w:color w:val="000000"/>
                <w:sz w:val="24"/>
              </w:rPr>
            </w:pPr>
            <w:r>
              <w:rPr>
                <w:color w:val="000000"/>
                <w:sz w:val="24"/>
                <w:lang w:val="ga"/>
              </w:rPr>
              <w:t>2011</w:t>
            </w:r>
          </w:p>
        </w:tc>
        <w:tc>
          <w:tcPr>
            <w:tcW w:w="2410" w:type="dxa"/>
          </w:tcPr>
          <w:p w14:paraId="3CE1C2C2" w14:textId="77777777" w:rsidR="00973B13" w:rsidRPr="00BC13A0" w:rsidRDefault="00973B13" w:rsidP="00AD2F28">
            <w:pPr>
              <w:spacing w:after="0"/>
              <w:jc w:val="right"/>
              <w:rPr>
                <w:color w:val="000000"/>
                <w:sz w:val="24"/>
              </w:rPr>
            </w:pPr>
            <w:r>
              <w:rPr>
                <w:color w:val="000000"/>
                <w:sz w:val="24"/>
                <w:lang w:val="ga"/>
              </w:rPr>
              <w:t>205,068</w:t>
            </w:r>
          </w:p>
        </w:tc>
        <w:tc>
          <w:tcPr>
            <w:tcW w:w="2504" w:type="dxa"/>
          </w:tcPr>
          <w:p w14:paraId="3BF95BFA" w14:textId="77777777" w:rsidR="00973B13" w:rsidRPr="00BC13A0" w:rsidRDefault="00973B13" w:rsidP="00AD2F28">
            <w:pPr>
              <w:spacing w:after="0"/>
              <w:jc w:val="right"/>
              <w:rPr>
                <w:color w:val="000000"/>
                <w:sz w:val="24"/>
              </w:rPr>
            </w:pPr>
            <w:r>
              <w:rPr>
                <w:color w:val="000000"/>
                <w:sz w:val="24"/>
                <w:lang w:val="ga"/>
              </w:rPr>
              <w:t xml:space="preserve">6,171 </w:t>
            </w:r>
          </w:p>
        </w:tc>
        <w:tc>
          <w:tcPr>
            <w:tcW w:w="1984" w:type="dxa"/>
          </w:tcPr>
          <w:p w14:paraId="684A54F1" w14:textId="77777777" w:rsidR="00973B13" w:rsidRPr="00BC13A0" w:rsidRDefault="00973B13" w:rsidP="00AD2F28">
            <w:pPr>
              <w:spacing w:after="0"/>
              <w:jc w:val="right"/>
              <w:rPr>
                <w:color w:val="000000"/>
                <w:sz w:val="24"/>
              </w:rPr>
            </w:pPr>
            <w:r>
              <w:rPr>
                <w:color w:val="000000"/>
                <w:sz w:val="24"/>
                <w:lang w:val="ga"/>
              </w:rPr>
              <w:t>3.0%</w:t>
            </w:r>
          </w:p>
        </w:tc>
      </w:tr>
      <w:tr w:rsidR="00973B13" w:rsidRPr="00BC13A0" w14:paraId="670559A9" w14:textId="77777777" w:rsidTr="00E57050">
        <w:tc>
          <w:tcPr>
            <w:tcW w:w="2410" w:type="dxa"/>
          </w:tcPr>
          <w:p w14:paraId="339B4734" w14:textId="77777777" w:rsidR="00973B13" w:rsidRPr="00BC13A0" w:rsidRDefault="00973B13" w:rsidP="00AD2F28">
            <w:pPr>
              <w:spacing w:after="0"/>
              <w:jc w:val="right"/>
              <w:rPr>
                <w:color w:val="000000"/>
                <w:sz w:val="24"/>
              </w:rPr>
            </w:pPr>
            <w:r>
              <w:rPr>
                <w:color w:val="000000"/>
                <w:sz w:val="24"/>
                <w:lang w:val="ga"/>
              </w:rPr>
              <w:t>2012</w:t>
            </w:r>
          </w:p>
        </w:tc>
        <w:tc>
          <w:tcPr>
            <w:tcW w:w="2410" w:type="dxa"/>
          </w:tcPr>
          <w:p w14:paraId="670754E7" w14:textId="77777777" w:rsidR="00973B13" w:rsidRPr="00BC13A0" w:rsidRDefault="00973B13" w:rsidP="00AD2F28">
            <w:pPr>
              <w:spacing w:after="0"/>
              <w:jc w:val="right"/>
              <w:rPr>
                <w:color w:val="000000"/>
                <w:sz w:val="24"/>
              </w:rPr>
            </w:pPr>
            <w:r>
              <w:rPr>
                <w:color w:val="000000"/>
                <w:sz w:val="24"/>
                <w:lang w:val="ga"/>
              </w:rPr>
              <w:t>197,588</w:t>
            </w:r>
          </w:p>
        </w:tc>
        <w:tc>
          <w:tcPr>
            <w:tcW w:w="2504" w:type="dxa"/>
          </w:tcPr>
          <w:p w14:paraId="1F5118E8" w14:textId="77777777" w:rsidR="00973B13" w:rsidRPr="00BC13A0" w:rsidRDefault="00973B13" w:rsidP="00AD2F28">
            <w:pPr>
              <w:spacing w:after="0"/>
              <w:jc w:val="right"/>
              <w:rPr>
                <w:color w:val="000000"/>
                <w:sz w:val="24"/>
              </w:rPr>
            </w:pPr>
            <w:r>
              <w:rPr>
                <w:color w:val="000000"/>
                <w:sz w:val="24"/>
                <w:lang w:val="ga"/>
              </w:rPr>
              <w:t>6,611</w:t>
            </w:r>
          </w:p>
        </w:tc>
        <w:tc>
          <w:tcPr>
            <w:tcW w:w="1984" w:type="dxa"/>
          </w:tcPr>
          <w:p w14:paraId="053540D8" w14:textId="77777777" w:rsidR="00973B13" w:rsidRPr="00BC13A0" w:rsidRDefault="00973B13" w:rsidP="00AD2F28">
            <w:pPr>
              <w:spacing w:after="0"/>
              <w:jc w:val="right"/>
              <w:rPr>
                <w:color w:val="000000"/>
                <w:sz w:val="24"/>
              </w:rPr>
            </w:pPr>
            <w:r>
              <w:rPr>
                <w:color w:val="000000"/>
                <w:sz w:val="24"/>
                <w:lang w:val="ga"/>
              </w:rPr>
              <w:t>3.3%</w:t>
            </w:r>
          </w:p>
        </w:tc>
      </w:tr>
      <w:tr w:rsidR="00973B13" w:rsidRPr="00BC13A0" w14:paraId="6B177568" w14:textId="77777777" w:rsidTr="00E57050">
        <w:tc>
          <w:tcPr>
            <w:tcW w:w="2410" w:type="dxa"/>
          </w:tcPr>
          <w:p w14:paraId="534D9544" w14:textId="77777777" w:rsidR="00973B13" w:rsidRPr="00BC13A0" w:rsidRDefault="00973B13" w:rsidP="00AD2F28">
            <w:pPr>
              <w:spacing w:after="0"/>
              <w:jc w:val="right"/>
              <w:rPr>
                <w:color w:val="000000"/>
                <w:sz w:val="24"/>
              </w:rPr>
            </w:pPr>
            <w:r>
              <w:rPr>
                <w:color w:val="000000"/>
                <w:sz w:val="24"/>
                <w:lang w:val="ga"/>
              </w:rPr>
              <w:t>2013</w:t>
            </w:r>
          </w:p>
        </w:tc>
        <w:tc>
          <w:tcPr>
            <w:tcW w:w="2410" w:type="dxa"/>
          </w:tcPr>
          <w:p w14:paraId="6264289E" w14:textId="77777777" w:rsidR="00973B13" w:rsidRPr="00BC13A0" w:rsidRDefault="00973B13" w:rsidP="00AD2F28">
            <w:pPr>
              <w:spacing w:after="0"/>
              <w:jc w:val="right"/>
              <w:rPr>
                <w:color w:val="000000"/>
                <w:sz w:val="24"/>
              </w:rPr>
            </w:pPr>
            <w:r>
              <w:rPr>
                <w:color w:val="000000"/>
                <w:sz w:val="24"/>
                <w:lang w:val="ga"/>
              </w:rPr>
              <w:t>192,576</w:t>
            </w:r>
          </w:p>
        </w:tc>
        <w:tc>
          <w:tcPr>
            <w:tcW w:w="2504" w:type="dxa"/>
          </w:tcPr>
          <w:p w14:paraId="37772A36" w14:textId="77777777" w:rsidR="00973B13" w:rsidRPr="00BC13A0" w:rsidRDefault="00973B13" w:rsidP="00AD2F28">
            <w:pPr>
              <w:spacing w:after="0"/>
              <w:jc w:val="right"/>
              <w:rPr>
                <w:color w:val="000000"/>
                <w:sz w:val="24"/>
              </w:rPr>
            </w:pPr>
            <w:r>
              <w:rPr>
                <w:color w:val="000000"/>
                <w:sz w:val="24"/>
                <w:lang w:val="ga"/>
              </w:rPr>
              <w:t>6,464</w:t>
            </w:r>
          </w:p>
        </w:tc>
        <w:tc>
          <w:tcPr>
            <w:tcW w:w="1984" w:type="dxa"/>
          </w:tcPr>
          <w:p w14:paraId="719B3A46" w14:textId="77777777" w:rsidR="00973B13" w:rsidRPr="00BC13A0" w:rsidRDefault="00973B13" w:rsidP="00AD2F28">
            <w:pPr>
              <w:spacing w:after="0"/>
              <w:jc w:val="right"/>
              <w:rPr>
                <w:color w:val="000000"/>
                <w:sz w:val="24"/>
              </w:rPr>
            </w:pPr>
            <w:r>
              <w:rPr>
                <w:color w:val="000000"/>
                <w:sz w:val="24"/>
                <w:lang w:val="ga"/>
              </w:rPr>
              <w:t>3.4%</w:t>
            </w:r>
          </w:p>
        </w:tc>
      </w:tr>
      <w:tr w:rsidR="00973B13" w:rsidRPr="00BC13A0" w14:paraId="0E26FE31" w14:textId="77777777" w:rsidTr="00E57050">
        <w:tc>
          <w:tcPr>
            <w:tcW w:w="2410" w:type="dxa"/>
          </w:tcPr>
          <w:p w14:paraId="7DFFF8DC" w14:textId="77777777" w:rsidR="00973B13" w:rsidRPr="00BC13A0" w:rsidRDefault="00973B13" w:rsidP="00AD2F28">
            <w:pPr>
              <w:spacing w:after="0"/>
              <w:jc w:val="right"/>
              <w:rPr>
                <w:color w:val="000000"/>
                <w:sz w:val="24"/>
              </w:rPr>
            </w:pPr>
            <w:r>
              <w:rPr>
                <w:color w:val="000000"/>
                <w:sz w:val="24"/>
                <w:lang w:val="ga"/>
              </w:rPr>
              <w:t>2014</w:t>
            </w:r>
          </w:p>
        </w:tc>
        <w:tc>
          <w:tcPr>
            <w:tcW w:w="2410" w:type="dxa"/>
          </w:tcPr>
          <w:p w14:paraId="5FFB0748" w14:textId="77777777" w:rsidR="00973B13" w:rsidRPr="00BC13A0" w:rsidRDefault="00973B13" w:rsidP="00AD2F28">
            <w:pPr>
              <w:spacing w:after="0"/>
              <w:jc w:val="right"/>
              <w:rPr>
                <w:color w:val="000000"/>
                <w:sz w:val="24"/>
              </w:rPr>
            </w:pPr>
            <w:r>
              <w:rPr>
                <w:color w:val="000000"/>
                <w:sz w:val="24"/>
                <w:lang w:val="ga"/>
              </w:rPr>
              <w:t>195,278</w:t>
            </w:r>
          </w:p>
        </w:tc>
        <w:tc>
          <w:tcPr>
            <w:tcW w:w="2504" w:type="dxa"/>
          </w:tcPr>
          <w:p w14:paraId="3C533CA2" w14:textId="77777777" w:rsidR="00973B13" w:rsidRPr="00BC13A0" w:rsidRDefault="00973B13" w:rsidP="00AD2F28">
            <w:pPr>
              <w:spacing w:after="0"/>
              <w:jc w:val="right"/>
              <w:rPr>
                <w:color w:val="000000"/>
                <w:sz w:val="24"/>
              </w:rPr>
            </w:pPr>
            <w:r>
              <w:rPr>
                <w:color w:val="000000"/>
                <w:sz w:val="24"/>
                <w:lang w:val="ga"/>
              </w:rPr>
              <w:t>6,771</w:t>
            </w:r>
          </w:p>
        </w:tc>
        <w:tc>
          <w:tcPr>
            <w:tcW w:w="1984" w:type="dxa"/>
          </w:tcPr>
          <w:p w14:paraId="6049E6C5" w14:textId="77777777" w:rsidR="00973B13" w:rsidRPr="00BC13A0" w:rsidRDefault="00973B13" w:rsidP="00AD2F28">
            <w:pPr>
              <w:spacing w:after="0"/>
              <w:jc w:val="right"/>
              <w:rPr>
                <w:color w:val="000000"/>
                <w:sz w:val="24"/>
              </w:rPr>
            </w:pPr>
            <w:r>
              <w:rPr>
                <w:color w:val="000000"/>
                <w:sz w:val="24"/>
                <w:lang w:val="ga"/>
              </w:rPr>
              <w:t>3.5%</w:t>
            </w:r>
          </w:p>
        </w:tc>
      </w:tr>
      <w:tr w:rsidR="00973B13" w:rsidRPr="00BC13A0" w14:paraId="2BE8A968" w14:textId="77777777" w:rsidTr="00E57050">
        <w:tc>
          <w:tcPr>
            <w:tcW w:w="2410" w:type="dxa"/>
          </w:tcPr>
          <w:p w14:paraId="08F2637D" w14:textId="77777777" w:rsidR="00973B13" w:rsidRPr="00BC13A0" w:rsidRDefault="00973B13" w:rsidP="00AD2F28">
            <w:pPr>
              <w:spacing w:after="0"/>
              <w:jc w:val="right"/>
              <w:rPr>
                <w:color w:val="000000"/>
                <w:sz w:val="24"/>
              </w:rPr>
            </w:pPr>
            <w:r>
              <w:rPr>
                <w:color w:val="000000"/>
                <w:sz w:val="24"/>
                <w:lang w:val="ga"/>
              </w:rPr>
              <w:t>2015</w:t>
            </w:r>
          </w:p>
        </w:tc>
        <w:tc>
          <w:tcPr>
            <w:tcW w:w="2410" w:type="dxa"/>
          </w:tcPr>
          <w:p w14:paraId="55DF630A" w14:textId="77777777" w:rsidR="00973B13" w:rsidRPr="00BC13A0" w:rsidRDefault="00973B13" w:rsidP="00AD2F28">
            <w:pPr>
              <w:spacing w:after="0"/>
              <w:jc w:val="right"/>
              <w:rPr>
                <w:color w:val="000000"/>
                <w:sz w:val="24"/>
              </w:rPr>
            </w:pPr>
            <w:r>
              <w:rPr>
                <w:color w:val="000000"/>
                <w:sz w:val="24"/>
                <w:lang w:val="ga"/>
              </w:rPr>
              <w:t>201,341</w:t>
            </w:r>
          </w:p>
        </w:tc>
        <w:tc>
          <w:tcPr>
            <w:tcW w:w="2504" w:type="dxa"/>
          </w:tcPr>
          <w:p w14:paraId="75E74C0C" w14:textId="77777777" w:rsidR="00973B13" w:rsidRPr="00BC13A0" w:rsidRDefault="00973B13" w:rsidP="00AD2F28">
            <w:pPr>
              <w:spacing w:after="0"/>
              <w:jc w:val="right"/>
              <w:rPr>
                <w:color w:val="000000"/>
                <w:sz w:val="24"/>
              </w:rPr>
            </w:pPr>
            <w:r>
              <w:rPr>
                <w:color w:val="000000"/>
                <w:sz w:val="24"/>
                <w:lang w:val="ga"/>
              </w:rPr>
              <w:t>7,245</w:t>
            </w:r>
          </w:p>
        </w:tc>
        <w:tc>
          <w:tcPr>
            <w:tcW w:w="1984" w:type="dxa"/>
          </w:tcPr>
          <w:p w14:paraId="455D6B42" w14:textId="77777777" w:rsidR="00973B13" w:rsidRPr="00BC13A0" w:rsidRDefault="00973B13" w:rsidP="00AD2F28">
            <w:pPr>
              <w:spacing w:after="0"/>
              <w:jc w:val="right"/>
              <w:rPr>
                <w:color w:val="000000"/>
                <w:sz w:val="24"/>
              </w:rPr>
            </w:pPr>
            <w:r>
              <w:rPr>
                <w:color w:val="000000"/>
                <w:sz w:val="24"/>
                <w:lang w:val="ga"/>
              </w:rPr>
              <w:t>3.6%</w:t>
            </w:r>
          </w:p>
        </w:tc>
      </w:tr>
      <w:tr w:rsidR="00973B13" w:rsidRPr="00BC13A0" w14:paraId="010886C7" w14:textId="77777777" w:rsidTr="00E57050">
        <w:tc>
          <w:tcPr>
            <w:tcW w:w="2410" w:type="dxa"/>
          </w:tcPr>
          <w:p w14:paraId="17B7B9E0" w14:textId="77777777" w:rsidR="00973B13" w:rsidRPr="00BC13A0" w:rsidDel="006E420A" w:rsidRDefault="00973B13" w:rsidP="00AD2F28">
            <w:pPr>
              <w:spacing w:after="0"/>
              <w:jc w:val="right"/>
              <w:rPr>
                <w:color w:val="000000"/>
                <w:sz w:val="24"/>
              </w:rPr>
            </w:pPr>
            <w:r>
              <w:rPr>
                <w:color w:val="000000"/>
                <w:sz w:val="24"/>
                <w:lang w:val="ga"/>
              </w:rPr>
              <w:t>2016</w:t>
            </w:r>
          </w:p>
        </w:tc>
        <w:tc>
          <w:tcPr>
            <w:tcW w:w="2410" w:type="dxa"/>
          </w:tcPr>
          <w:p w14:paraId="7E627799" w14:textId="77777777" w:rsidR="00973B13" w:rsidRPr="00BC13A0" w:rsidRDefault="00973B13" w:rsidP="00AD2F28">
            <w:pPr>
              <w:spacing w:after="0"/>
              <w:jc w:val="right"/>
              <w:rPr>
                <w:color w:val="000000"/>
                <w:sz w:val="24"/>
              </w:rPr>
            </w:pPr>
            <w:r>
              <w:rPr>
                <w:color w:val="000000"/>
                <w:sz w:val="24"/>
                <w:lang w:val="ga"/>
              </w:rPr>
              <w:t>213,991</w:t>
            </w:r>
          </w:p>
        </w:tc>
        <w:tc>
          <w:tcPr>
            <w:tcW w:w="2504" w:type="dxa"/>
          </w:tcPr>
          <w:p w14:paraId="229335C0" w14:textId="77777777" w:rsidR="00973B13" w:rsidRPr="00BC13A0" w:rsidRDefault="00973B13" w:rsidP="00AD2F28">
            <w:pPr>
              <w:spacing w:after="0"/>
              <w:jc w:val="right"/>
              <w:rPr>
                <w:color w:val="000000"/>
                <w:sz w:val="24"/>
              </w:rPr>
            </w:pPr>
            <w:r>
              <w:rPr>
                <w:color w:val="000000"/>
                <w:sz w:val="24"/>
                <w:lang w:val="ga"/>
              </w:rPr>
              <w:t>7,457</w:t>
            </w:r>
          </w:p>
        </w:tc>
        <w:tc>
          <w:tcPr>
            <w:tcW w:w="1984" w:type="dxa"/>
          </w:tcPr>
          <w:p w14:paraId="0481C252" w14:textId="77777777" w:rsidR="00973B13" w:rsidRPr="00BC13A0" w:rsidRDefault="00973B13" w:rsidP="00AD2F28">
            <w:pPr>
              <w:spacing w:after="0"/>
              <w:jc w:val="right"/>
              <w:rPr>
                <w:color w:val="000000"/>
                <w:sz w:val="24"/>
              </w:rPr>
            </w:pPr>
            <w:r>
              <w:rPr>
                <w:color w:val="000000"/>
                <w:sz w:val="24"/>
                <w:lang w:val="ga"/>
              </w:rPr>
              <w:t>3.5%</w:t>
            </w:r>
          </w:p>
        </w:tc>
      </w:tr>
      <w:tr w:rsidR="00973B13" w:rsidRPr="00BC13A0" w14:paraId="50C5B1DD" w14:textId="77777777" w:rsidTr="00E57050">
        <w:tc>
          <w:tcPr>
            <w:tcW w:w="2410" w:type="dxa"/>
          </w:tcPr>
          <w:p w14:paraId="3F27429B" w14:textId="77777777" w:rsidR="00973B13" w:rsidRPr="00BC13A0" w:rsidRDefault="00973B13" w:rsidP="00AD2F28">
            <w:pPr>
              <w:spacing w:after="0"/>
              <w:jc w:val="right"/>
              <w:rPr>
                <w:color w:val="000000"/>
                <w:sz w:val="24"/>
              </w:rPr>
            </w:pPr>
            <w:r>
              <w:rPr>
                <w:color w:val="000000"/>
                <w:sz w:val="24"/>
                <w:lang w:val="ga"/>
              </w:rPr>
              <w:t>2017</w:t>
            </w:r>
          </w:p>
        </w:tc>
        <w:tc>
          <w:tcPr>
            <w:tcW w:w="2410" w:type="dxa"/>
          </w:tcPr>
          <w:p w14:paraId="603304A2" w14:textId="77777777" w:rsidR="00973B13" w:rsidRPr="00BC13A0" w:rsidRDefault="00973B13" w:rsidP="00AD2F28">
            <w:pPr>
              <w:spacing w:after="0"/>
              <w:jc w:val="right"/>
              <w:rPr>
                <w:color w:val="000000"/>
                <w:sz w:val="24"/>
              </w:rPr>
            </w:pPr>
            <w:r>
              <w:rPr>
                <w:rFonts w:cs="Arial"/>
                <w:sz w:val="24"/>
                <w:lang w:val="ga"/>
              </w:rPr>
              <w:t>225,809</w:t>
            </w:r>
          </w:p>
        </w:tc>
        <w:tc>
          <w:tcPr>
            <w:tcW w:w="2504" w:type="dxa"/>
          </w:tcPr>
          <w:p w14:paraId="2045955E" w14:textId="77777777" w:rsidR="00973B13" w:rsidRPr="00BC13A0" w:rsidRDefault="00973B13" w:rsidP="00AD2F28">
            <w:pPr>
              <w:spacing w:after="0"/>
              <w:jc w:val="right"/>
              <w:rPr>
                <w:color w:val="000000"/>
                <w:sz w:val="24"/>
              </w:rPr>
            </w:pPr>
            <w:r>
              <w:rPr>
                <w:rFonts w:cs="Arial"/>
                <w:sz w:val="24"/>
                <w:lang w:val="ga"/>
              </w:rPr>
              <w:t>7,796</w:t>
            </w:r>
          </w:p>
        </w:tc>
        <w:tc>
          <w:tcPr>
            <w:tcW w:w="1984" w:type="dxa"/>
          </w:tcPr>
          <w:p w14:paraId="287FFACF" w14:textId="77777777" w:rsidR="00973B13" w:rsidRPr="00BC13A0" w:rsidRDefault="00973B13" w:rsidP="00AD2F28">
            <w:pPr>
              <w:spacing w:after="0"/>
              <w:jc w:val="right"/>
              <w:rPr>
                <w:color w:val="000000"/>
                <w:sz w:val="24"/>
              </w:rPr>
            </w:pPr>
            <w:r>
              <w:rPr>
                <w:rFonts w:cs="Arial"/>
                <w:sz w:val="24"/>
                <w:lang w:val="ga"/>
              </w:rPr>
              <w:t>3.5%</w:t>
            </w:r>
          </w:p>
        </w:tc>
      </w:tr>
      <w:tr w:rsidR="00973B13" w:rsidRPr="00BC13A0" w14:paraId="4D95133C" w14:textId="77777777" w:rsidTr="00E57050">
        <w:tc>
          <w:tcPr>
            <w:tcW w:w="2410" w:type="dxa"/>
          </w:tcPr>
          <w:p w14:paraId="4B453CE2" w14:textId="77777777" w:rsidR="00973B13" w:rsidRPr="00BC13A0" w:rsidRDefault="00973B13" w:rsidP="00AD2F28">
            <w:pPr>
              <w:spacing w:after="0"/>
              <w:jc w:val="right"/>
              <w:rPr>
                <w:color w:val="000000"/>
                <w:sz w:val="24"/>
              </w:rPr>
            </w:pPr>
            <w:r>
              <w:rPr>
                <w:color w:val="000000"/>
                <w:sz w:val="24"/>
                <w:lang w:val="ga"/>
              </w:rPr>
              <w:t>2018</w:t>
            </w:r>
          </w:p>
        </w:tc>
        <w:tc>
          <w:tcPr>
            <w:tcW w:w="2410" w:type="dxa"/>
          </w:tcPr>
          <w:p w14:paraId="3A3D7C86" w14:textId="77777777" w:rsidR="00973B13" w:rsidRPr="00BC13A0" w:rsidRDefault="00973B13" w:rsidP="00AD2F28">
            <w:pPr>
              <w:spacing w:after="0"/>
              <w:jc w:val="right"/>
              <w:rPr>
                <w:rFonts w:cs="Arial"/>
                <w:sz w:val="24"/>
              </w:rPr>
            </w:pPr>
            <w:r>
              <w:rPr>
                <w:sz w:val="24"/>
                <w:lang w:val="ga"/>
              </w:rPr>
              <w:t>231,784</w:t>
            </w:r>
          </w:p>
        </w:tc>
        <w:tc>
          <w:tcPr>
            <w:tcW w:w="2504" w:type="dxa"/>
          </w:tcPr>
          <w:p w14:paraId="63DEF306" w14:textId="77777777" w:rsidR="00973B13" w:rsidRPr="00BC13A0" w:rsidRDefault="00973B13" w:rsidP="00AD2F28">
            <w:pPr>
              <w:spacing w:after="0"/>
              <w:jc w:val="right"/>
              <w:rPr>
                <w:rFonts w:cs="Arial"/>
                <w:sz w:val="24"/>
              </w:rPr>
            </w:pPr>
            <w:r>
              <w:rPr>
                <w:sz w:val="24"/>
                <w:lang w:val="ga"/>
              </w:rPr>
              <w:t>7,584</w:t>
            </w:r>
          </w:p>
        </w:tc>
        <w:tc>
          <w:tcPr>
            <w:tcW w:w="1984" w:type="dxa"/>
          </w:tcPr>
          <w:p w14:paraId="7B1E1EEB" w14:textId="77777777" w:rsidR="00973B13" w:rsidRPr="00BC13A0" w:rsidRDefault="00973B13" w:rsidP="00AD2F28">
            <w:pPr>
              <w:spacing w:after="0"/>
              <w:jc w:val="right"/>
              <w:rPr>
                <w:rFonts w:cs="Arial"/>
                <w:sz w:val="24"/>
              </w:rPr>
            </w:pPr>
            <w:r>
              <w:rPr>
                <w:rFonts w:cs="Arial"/>
                <w:sz w:val="24"/>
                <w:lang w:val="ga"/>
              </w:rPr>
              <w:t>3.3%</w:t>
            </w:r>
          </w:p>
        </w:tc>
      </w:tr>
      <w:tr w:rsidR="00973B13" w:rsidRPr="00BC13A0" w14:paraId="1E8B1061" w14:textId="77777777" w:rsidTr="00E57050">
        <w:tc>
          <w:tcPr>
            <w:tcW w:w="2410" w:type="dxa"/>
          </w:tcPr>
          <w:p w14:paraId="6B0FB3FE" w14:textId="77777777" w:rsidR="00973B13" w:rsidRPr="00BC13A0" w:rsidRDefault="00973B13" w:rsidP="00AD2F28">
            <w:pPr>
              <w:spacing w:after="0"/>
              <w:jc w:val="right"/>
              <w:rPr>
                <w:color w:val="000000"/>
                <w:sz w:val="24"/>
              </w:rPr>
            </w:pPr>
            <w:r>
              <w:rPr>
                <w:color w:val="000000"/>
                <w:sz w:val="24"/>
                <w:lang w:val="ga"/>
              </w:rPr>
              <w:t>2019</w:t>
            </w:r>
          </w:p>
        </w:tc>
        <w:tc>
          <w:tcPr>
            <w:tcW w:w="2410" w:type="dxa"/>
          </w:tcPr>
          <w:p w14:paraId="54791740" w14:textId="77777777" w:rsidR="00973B13" w:rsidRPr="00BC13A0" w:rsidRDefault="00973B13" w:rsidP="00AD2F28">
            <w:pPr>
              <w:spacing w:after="0"/>
              <w:jc w:val="right"/>
              <w:rPr>
                <w:rFonts w:cs="Arial"/>
                <w:sz w:val="24"/>
              </w:rPr>
            </w:pPr>
            <w:r>
              <w:rPr>
                <w:rFonts w:cs="Arial"/>
                <w:sz w:val="24"/>
                <w:lang w:val="ga"/>
              </w:rPr>
              <w:t>238,174</w:t>
            </w:r>
          </w:p>
        </w:tc>
        <w:tc>
          <w:tcPr>
            <w:tcW w:w="2504" w:type="dxa"/>
          </w:tcPr>
          <w:p w14:paraId="447DD561" w14:textId="77777777" w:rsidR="00973B13" w:rsidRPr="00BC13A0" w:rsidRDefault="00973B13" w:rsidP="00AD2F28">
            <w:pPr>
              <w:spacing w:after="0"/>
              <w:jc w:val="right"/>
              <w:rPr>
                <w:rFonts w:cs="Arial"/>
                <w:sz w:val="24"/>
              </w:rPr>
            </w:pPr>
            <w:r>
              <w:rPr>
                <w:rFonts w:cs="Arial"/>
                <w:sz w:val="24"/>
                <w:lang w:val="ga"/>
              </w:rPr>
              <w:t>7,319</w:t>
            </w:r>
          </w:p>
        </w:tc>
        <w:tc>
          <w:tcPr>
            <w:tcW w:w="1984" w:type="dxa"/>
          </w:tcPr>
          <w:p w14:paraId="2A6FCFFE" w14:textId="77777777" w:rsidR="00973B13" w:rsidRPr="00BC13A0" w:rsidRDefault="00973B13" w:rsidP="00AD2F28">
            <w:pPr>
              <w:spacing w:after="0"/>
              <w:jc w:val="right"/>
              <w:rPr>
                <w:rFonts w:cs="Arial"/>
                <w:sz w:val="24"/>
              </w:rPr>
            </w:pPr>
            <w:r>
              <w:rPr>
                <w:rFonts w:cs="Arial"/>
                <w:sz w:val="24"/>
                <w:lang w:val="ga"/>
              </w:rPr>
              <w:t>3.1%</w:t>
            </w:r>
          </w:p>
        </w:tc>
      </w:tr>
      <w:tr w:rsidR="00C82DBE" w:rsidRPr="00BC13A0" w14:paraId="3A16372B" w14:textId="77777777" w:rsidTr="00E57050">
        <w:tc>
          <w:tcPr>
            <w:tcW w:w="2410" w:type="dxa"/>
          </w:tcPr>
          <w:p w14:paraId="07360B60" w14:textId="041416A5" w:rsidR="00C82DBE" w:rsidRPr="00BC13A0" w:rsidRDefault="00C82DBE" w:rsidP="00AD2F28">
            <w:pPr>
              <w:spacing w:after="0"/>
              <w:jc w:val="right"/>
              <w:rPr>
                <w:color w:val="000000"/>
                <w:sz w:val="24"/>
              </w:rPr>
            </w:pPr>
            <w:r>
              <w:rPr>
                <w:color w:val="000000"/>
                <w:sz w:val="24"/>
                <w:lang w:val="ga"/>
              </w:rPr>
              <w:t>2020</w:t>
            </w:r>
          </w:p>
        </w:tc>
        <w:tc>
          <w:tcPr>
            <w:tcW w:w="2410" w:type="dxa"/>
          </w:tcPr>
          <w:p w14:paraId="3F5F15A7" w14:textId="4CE4F93D" w:rsidR="00C82DBE" w:rsidRPr="00BC13A0" w:rsidRDefault="00BA7BE8" w:rsidP="00AD2F28">
            <w:pPr>
              <w:spacing w:after="0"/>
              <w:jc w:val="right"/>
              <w:rPr>
                <w:rFonts w:cs="Arial"/>
                <w:sz w:val="24"/>
              </w:rPr>
            </w:pPr>
            <w:r>
              <w:rPr>
                <w:rFonts w:cs="Arial"/>
                <w:sz w:val="24"/>
                <w:lang w:val="ga"/>
              </w:rPr>
              <w:t>245,190</w:t>
            </w:r>
          </w:p>
        </w:tc>
        <w:tc>
          <w:tcPr>
            <w:tcW w:w="2504" w:type="dxa"/>
          </w:tcPr>
          <w:p w14:paraId="3DCE6EDA" w14:textId="1181A94D" w:rsidR="00C82DBE" w:rsidRPr="00BC13A0" w:rsidRDefault="00BA7BE8" w:rsidP="00AD2F28">
            <w:pPr>
              <w:spacing w:after="0"/>
              <w:jc w:val="right"/>
              <w:rPr>
                <w:rFonts w:cs="Arial"/>
                <w:sz w:val="24"/>
              </w:rPr>
            </w:pPr>
            <w:r>
              <w:rPr>
                <w:rFonts w:cs="Arial"/>
                <w:sz w:val="24"/>
                <w:lang w:val="ga"/>
              </w:rPr>
              <w:t>7,637</w:t>
            </w:r>
          </w:p>
        </w:tc>
        <w:tc>
          <w:tcPr>
            <w:tcW w:w="1984" w:type="dxa"/>
          </w:tcPr>
          <w:p w14:paraId="337F6A1A" w14:textId="56F272E9" w:rsidR="00C82DBE" w:rsidRPr="00BC13A0" w:rsidRDefault="00BA7BE8" w:rsidP="00AD2F28">
            <w:pPr>
              <w:spacing w:after="0"/>
              <w:jc w:val="right"/>
              <w:rPr>
                <w:rFonts w:cs="Arial"/>
                <w:sz w:val="24"/>
              </w:rPr>
            </w:pPr>
            <w:r>
              <w:rPr>
                <w:rFonts w:cs="Arial"/>
                <w:sz w:val="24"/>
                <w:lang w:val="ga"/>
              </w:rPr>
              <w:t>3.1%</w:t>
            </w:r>
          </w:p>
        </w:tc>
      </w:tr>
      <w:tr w:rsidR="00EA0892" w:rsidRPr="00BC13A0" w14:paraId="7EDE8474" w14:textId="77777777" w:rsidTr="00E57050">
        <w:tc>
          <w:tcPr>
            <w:tcW w:w="2410" w:type="dxa"/>
          </w:tcPr>
          <w:p w14:paraId="4D77EE2F" w14:textId="57849B2A" w:rsidR="00EA0892" w:rsidRPr="00BC13A0" w:rsidRDefault="00EA0892" w:rsidP="00AD2F28">
            <w:pPr>
              <w:spacing w:after="0"/>
              <w:jc w:val="right"/>
              <w:rPr>
                <w:bCs/>
                <w:color w:val="000000"/>
                <w:sz w:val="24"/>
              </w:rPr>
            </w:pPr>
            <w:r>
              <w:rPr>
                <w:color w:val="000000"/>
                <w:sz w:val="24"/>
                <w:lang w:val="ga"/>
              </w:rPr>
              <w:t>2021</w:t>
            </w:r>
          </w:p>
        </w:tc>
        <w:tc>
          <w:tcPr>
            <w:tcW w:w="2410" w:type="dxa"/>
          </w:tcPr>
          <w:p w14:paraId="0CF96D80" w14:textId="54AB25B1" w:rsidR="00EA0892" w:rsidRPr="00BC13A0" w:rsidRDefault="00EA0892" w:rsidP="00AD2F28">
            <w:pPr>
              <w:spacing w:after="0"/>
              <w:jc w:val="right"/>
              <w:rPr>
                <w:rFonts w:cs="Arial"/>
                <w:bCs/>
                <w:sz w:val="24"/>
              </w:rPr>
            </w:pPr>
            <w:r>
              <w:rPr>
                <w:rFonts w:cs="Arial"/>
                <w:sz w:val="24"/>
                <w:lang w:val="ga"/>
              </w:rPr>
              <w:t>251,552</w:t>
            </w:r>
          </w:p>
        </w:tc>
        <w:tc>
          <w:tcPr>
            <w:tcW w:w="2504" w:type="dxa"/>
          </w:tcPr>
          <w:p w14:paraId="57EA749B" w14:textId="5F02E1DA" w:rsidR="00EA0892" w:rsidRPr="00BC13A0" w:rsidRDefault="009F0604" w:rsidP="00AD2F28">
            <w:pPr>
              <w:spacing w:after="0"/>
              <w:jc w:val="right"/>
              <w:rPr>
                <w:rFonts w:cs="Arial"/>
                <w:bCs/>
                <w:sz w:val="24"/>
              </w:rPr>
            </w:pPr>
            <w:r>
              <w:rPr>
                <w:rFonts w:cs="Arial"/>
                <w:sz w:val="24"/>
                <w:lang w:val="ga"/>
              </w:rPr>
              <w:t>9,011</w:t>
            </w:r>
          </w:p>
        </w:tc>
        <w:tc>
          <w:tcPr>
            <w:tcW w:w="1984" w:type="dxa"/>
          </w:tcPr>
          <w:p w14:paraId="5888457C" w14:textId="4C1C1E7C" w:rsidR="00EA0892" w:rsidRPr="00BC13A0" w:rsidRDefault="00EA0892" w:rsidP="00AD2F28">
            <w:pPr>
              <w:spacing w:after="0"/>
              <w:jc w:val="right"/>
              <w:rPr>
                <w:rFonts w:cs="Arial"/>
                <w:bCs/>
                <w:sz w:val="24"/>
              </w:rPr>
            </w:pPr>
            <w:r>
              <w:rPr>
                <w:rFonts w:cs="Arial"/>
                <w:sz w:val="24"/>
                <w:lang w:val="ga"/>
              </w:rPr>
              <w:t>3.6%</w:t>
            </w:r>
          </w:p>
        </w:tc>
      </w:tr>
      <w:tr w:rsidR="00B8659B" w:rsidRPr="00BC13A0" w14:paraId="0034A324" w14:textId="77777777" w:rsidTr="00E57050">
        <w:tc>
          <w:tcPr>
            <w:tcW w:w="2410" w:type="dxa"/>
          </w:tcPr>
          <w:p w14:paraId="5E7534C3" w14:textId="70413D2F" w:rsidR="00B8659B" w:rsidRPr="00BC13A0" w:rsidRDefault="00B8659B" w:rsidP="00AD2F28">
            <w:pPr>
              <w:spacing w:after="0"/>
              <w:jc w:val="right"/>
              <w:rPr>
                <w:b/>
                <w:color w:val="000000"/>
                <w:sz w:val="24"/>
              </w:rPr>
            </w:pPr>
            <w:r>
              <w:rPr>
                <w:b/>
                <w:bCs/>
                <w:color w:val="000000"/>
                <w:sz w:val="24"/>
                <w:lang w:val="ga"/>
              </w:rPr>
              <w:t>2022</w:t>
            </w:r>
          </w:p>
        </w:tc>
        <w:tc>
          <w:tcPr>
            <w:tcW w:w="2410" w:type="dxa"/>
          </w:tcPr>
          <w:p w14:paraId="51760AAF" w14:textId="459F84A7" w:rsidR="00B8659B" w:rsidRPr="00BC13A0" w:rsidRDefault="00B8659B" w:rsidP="00AD2F28">
            <w:pPr>
              <w:spacing w:after="0"/>
              <w:jc w:val="right"/>
              <w:rPr>
                <w:rFonts w:cs="Arial"/>
                <w:b/>
                <w:sz w:val="24"/>
              </w:rPr>
            </w:pPr>
            <w:r>
              <w:rPr>
                <w:rFonts w:cs="Arial"/>
                <w:b/>
                <w:bCs/>
                <w:sz w:val="24"/>
                <w:lang w:val="ga"/>
              </w:rPr>
              <w:t>260,434</w:t>
            </w:r>
          </w:p>
        </w:tc>
        <w:tc>
          <w:tcPr>
            <w:tcW w:w="2504" w:type="dxa"/>
          </w:tcPr>
          <w:p w14:paraId="3884C05B" w14:textId="06A53D02" w:rsidR="00B8659B" w:rsidRPr="00BC13A0" w:rsidRDefault="00B8659B" w:rsidP="00AD2F28">
            <w:pPr>
              <w:spacing w:after="0"/>
              <w:jc w:val="right"/>
              <w:rPr>
                <w:rFonts w:cs="Arial"/>
                <w:b/>
                <w:sz w:val="24"/>
              </w:rPr>
            </w:pPr>
            <w:r>
              <w:rPr>
                <w:rFonts w:cs="Arial"/>
                <w:b/>
                <w:bCs/>
                <w:sz w:val="24"/>
                <w:lang w:val="ga"/>
              </w:rPr>
              <w:t>10,631</w:t>
            </w:r>
          </w:p>
        </w:tc>
        <w:tc>
          <w:tcPr>
            <w:tcW w:w="1984" w:type="dxa"/>
          </w:tcPr>
          <w:p w14:paraId="57D4224C" w14:textId="619634F8" w:rsidR="00B8659B" w:rsidRPr="00BC13A0" w:rsidRDefault="00B8659B" w:rsidP="00AD2F28">
            <w:pPr>
              <w:spacing w:after="0"/>
              <w:jc w:val="right"/>
              <w:rPr>
                <w:rFonts w:cs="Arial"/>
                <w:b/>
                <w:sz w:val="24"/>
              </w:rPr>
            </w:pPr>
            <w:r>
              <w:rPr>
                <w:rFonts w:cs="Arial"/>
                <w:b/>
                <w:bCs/>
                <w:sz w:val="24"/>
                <w:lang w:val="ga"/>
              </w:rPr>
              <w:t>4.1%</w:t>
            </w:r>
          </w:p>
        </w:tc>
      </w:tr>
    </w:tbl>
    <w:p w14:paraId="2AA4978D" w14:textId="606905B3" w:rsidR="001B1427" w:rsidRPr="00BC13A0" w:rsidRDefault="001B1427" w:rsidP="001B1427">
      <w:bookmarkStart w:id="43" w:name="_Toc18680249"/>
    </w:p>
    <w:p w14:paraId="110EA4DF" w14:textId="0F70358A" w:rsidR="00973B13" w:rsidRPr="00BC13A0" w:rsidRDefault="001B1427" w:rsidP="001B1427">
      <w:pPr>
        <w:pStyle w:val="Heading2"/>
        <w:spacing w:before="240"/>
      </w:pPr>
      <w:bookmarkStart w:id="44" w:name="_Toc147910075"/>
      <w:bookmarkEnd w:id="43"/>
      <w:r>
        <w:rPr>
          <w:bCs/>
          <w:lang w:val="ga"/>
        </w:rPr>
        <w:t>2.2 Anailís de réir an chineáil comhlachta earnála poiblí</w:t>
      </w:r>
      <w:bookmarkEnd w:id="44"/>
    </w:p>
    <w:p w14:paraId="79D7AF56" w14:textId="35DAF0FD" w:rsidR="00973B13" w:rsidRPr="00BC13A0" w:rsidRDefault="0012246F" w:rsidP="003652F9">
      <w:r>
        <w:rPr>
          <w:lang w:val="ga"/>
        </w:rPr>
        <w:t>Rinneadh sonraí na bliana 2021 a chatagóiriú faoi na cúig chineál chéanna comhlachtaí poiblí a úsáideadh i mblianta roimhe sin:</w:t>
      </w:r>
    </w:p>
    <w:p w14:paraId="626E7C83" w14:textId="03715096" w:rsidR="00973B13" w:rsidRPr="00BC13A0" w:rsidRDefault="00973B13" w:rsidP="003652F9">
      <w:pPr>
        <w:pStyle w:val="ListBullet"/>
      </w:pPr>
      <w:r>
        <w:rPr>
          <w:lang w:val="ga"/>
        </w:rPr>
        <w:t>Comhlachtaí Tráchtála</w:t>
      </w:r>
    </w:p>
    <w:p w14:paraId="43AB9A9C" w14:textId="7CD414D7" w:rsidR="00973B13" w:rsidRPr="00BC13A0" w:rsidRDefault="00973B13" w:rsidP="003652F9">
      <w:pPr>
        <w:pStyle w:val="ListBullet"/>
      </w:pPr>
      <w:r>
        <w:rPr>
          <w:lang w:val="ga"/>
        </w:rPr>
        <w:t>Ranna Rialtais</w:t>
      </w:r>
    </w:p>
    <w:p w14:paraId="29573787" w14:textId="087F28A7" w:rsidR="00973B13" w:rsidRPr="00BC13A0" w:rsidRDefault="00973B13" w:rsidP="003652F9">
      <w:pPr>
        <w:pStyle w:val="ListBullet"/>
      </w:pPr>
      <w:r>
        <w:rPr>
          <w:lang w:val="ga"/>
        </w:rPr>
        <w:t>Comhlachtaí Rialtais Áitiúil</w:t>
      </w:r>
    </w:p>
    <w:p w14:paraId="11F9FC41" w14:textId="1E5BF304" w:rsidR="00973B13" w:rsidRPr="00BC13A0" w:rsidRDefault="00973B13" w:rsidP="003652F9">
      <w:pPr>
        <w:pStyle w:val="ListBullet"/>
      </w:pPr>
      <w:r>
        <w:rPr>
          <w:lang w:val="ga"/>
        </w:rPr>
        <w:t xml:space="preserve">Comhlachtaí Neamhthráchtála </w:t>
      </w:r>
    </w:p>
    <w:p w14:paraId="3E4F04A8" w14:textId="5FD695A8" w:rsidR="00973B13" w:rsidRPr="00BC13A0" w:rsidRDefault="00973B13" w:rsidP="003652F9">
      <w:pPr>
        <w:pStyle w:val="ListBullet"/>
      </w:pPr>
      <w:r>
        <w:rPr>
          <w:lang w:val="ga"/>
        </w:rPr>
        <w:t>Comhlachtaí Poiblí a bhfuil Státseirbhísigh mar Fhoireann dóibh</w:t>
      </w:r>
    </w:p>
    <w:p w14:paraId="78727FF6" w14:textId="77777777" w:rsidR="00973B13" w:rsidRPr="00BC13A0" w:rsidRDefault="00973B13" w:rsidP="00973B13">
      <w:pPr>
        <w:pStyle w:val="Heading3"/>
      </w:pPr>
      <w:r>
        <w:rPr>
          <w:bCs/>
          <w:lang w:val="ga"/>
        </w:rPr>
        <w:t>Comhlachtaí Tráchtála</w:t>
      </w:r>
    </w:p>
    <w:p w14:paraId="507FDA20" w14:textId="473A31B1" w:rsidR="0004646A" w:rsidRPr="00BC13A0" w:rsidRDefault="00973B13" w:rsidP="003652F9">
      <w:r>
        <w:rPr>
          <w:lang w:val="ga"/>
        </w:rPr>
        <w:t xml:space="preserve">Áirítear cuideachtaí iompair agus fuinnimh an Stáit leis an earnáil Comhlachtaí Tráchtála. Sa bhliain 2022, bhí an earnáil seo freagrach as 15.4% d’fhórsa saothair na hearnála poiblí. Tháinig méadú 869 bhfostaí (+2.2%) ar an líon foriomlán fostaithe idir na blianta 2021 agus 2022, agus é ag ardú go 40,119 bhfostaí. Tháinig méadú 118 bhfostaí (+6.2%) ar an líon fostaithe a thuairiscigh míchumas, agus é ag ardú go 2,009 bhfostaí. Mhéadaigh an céatadán d’fhostaithe faoi mhíchumas i </w:t>
      </w:r>
      <w:r>
        <w:rPr>
          <w:lang w:val="ga"/>
        </w:rPr>
        <w:lastRenderedPageBreak/>
        <w:t>gComhlachtaí Tráchtála ó 4.8% sa bhliain 2021 go 5.0% sa bhliain 2022. San iomlán, bhain 96.0% de na comhlachtaí sa chatagóir seo an sprioc amach, an figiúr céanna a bhí ann sa bhliain 2021.</w:t>
      </w:r>
    </w:p>
    <w:p w14:paraId="400A1AAC" w14:textId="77777777" w:rsidR="001C67C6" w:rsidRPr="004700D9" w:rsidRDefault="001C67C6" w:rsidP="003652F9">
      <w:r>
        <w:rPr>
          <w:lang w:val="ga"/>
        </w:rPr>
        <w:t xml:space="preserve">Sa bhliain 2022, tháinig na hathruithe seo a leanas ar chatagóir na gComhlachtaí Tráchtála: </w:t>
      </w:r>
    </w:p>
    <w:p w14:paraId="00F11EEE" w14:textId="2D527A06" w:rsidR="00D23F4E" w:rsidRPr="004700D9" w:rsidRDefault="00D23F4E" w:rsidP="001C67C6">
      <w:pPr>
        <w:pStyle w:val="ListParagraph"/>
        <w:numPr>
          <w:ilvl w:val="0"/>
          <w:numId w:val="10"/>
        </w:numPr>
        <w:rPr>
          <w:rFonts w:ascii="Gill Sans MT" w:hAnsi="Gill Sans MT"/>
        </w:rPr>
      </w:pPr>
      <w:r>
        <w:rPr>
          <w:rFonts w:ascii="Gill Sans MT" w:hAnsi="Gill Sans MT"/>
          <w:lang w:val="ga"/>
        </w:rPr>
        <w:t>D’athraigh Irish Water a ainm go ‘Uisce Éireann’</w:t>
      </w:r>
    </w:p>
    <w:p w14:paraId="3E82C9AE" w14:textId="77777777" w:rsidR="00973B13" w:rsidRPr="00BC13A0" w:rsidRDefault="00973B13" w:rsidP="00973B13">
      <w:pPr>
        <w:pStyle w:val="Heading3"/>
      </w:pPr>
      <w:r>
        <w:rPr>
          <w:bCs/>
          <w:lang w:val="ga"/>
        </w:rPr>
        <w:t>Ranna Rialtais</w:t>
      </w:r>
    </w:p>
    <w:p w14:paraId="3DAC91C7" w14:textId="18429BDE" w:rsidR="00310871" w:rsidRPr="00BC13A0" w:rsidRDefault="00AC1DDB" w:rsidP="003652F9">
      <w:r>
        <w:rPr>
          <w:lang w:val="ga"/>
        </w:rPr>
        <w:t>Sa bhliain 2022, bhí fostaithe de chuid Ranna Rialtais freagrach as 9.5% d’fhórsa saothair na hearnála poiblí. Mhéadaigh an líon iomlán fostaithe i Ranna Rialtais ó 23,590 fostaí sa bhliain 2021 go 24,639 bhfostaí sa bhliain 2022 (+4.4%). Tháinig méadú 62 fhostaí (+4.3%) ar an líon fostaithe a bhfuil míchumas orthu idir na blianta 2021 agus 2022, agus é ag ardú go 1,489 bhfostaí. Sa bhliain 2022, d’fhan an céatadán d’fhostaithe a thuairiscigh míchumas ag 6.0%, an céatadán céanna a bhí ann sa bhliain 2021. Sháraigh na Ranna Rialtais uile an íos-sprioc 3% don bhliain 2022 - ba í sin an t-aonú bliain déag as a chéile inar sháraigh na Ranna uile an sprioc.</w:t>
      </w:r>
    </w:p>
    <w:p w14:paraId="57E060A1" w14:textId="42331B56" w:rsidR="00973B13" w:rsidRPr="00BC13A0" w:rsidRDefault="00973B13" w:rsidP="00973B13">
      <w:pPr>
        <w:pStyle w:val="Heading3"/>
      </w:pPr>
      <w:r>
        <w:rPr>
          <w:bCs/>
          <w:lang w:val="ga"/>
        </w:rPr>
        <w:t xml:space="preserve">Rialtas Áitiúil </w:t>
      </w:r>
    </w:p>
    <w:p w14:paraId="55E7DF7F" w14:textId="77DA1D39" w:rsidR="00973B13" w:rsidRPr="00BC13A0" w:rsidRDefault="00973B13" w:rsidP="003652F9">
      <w:r>
        <w:rPr>
          <w:lang w:val="ga"/>
        </w:rPr>
        <w:t>Áirítear comhairlí cathrach agus contae agus comhlachtaí eile údaráis áitiúil leis an earnáil Rialtais Áitiúil. Sa bhliain 2022, bhí an earnáil seo freagrach as 12.9% d’fhórsa saothair na hearnála poiblí. Tháinig méadú 373 fhostaí (+1.1%) ar an líon foriomlán fostaithe idir na blianta 2021 agus 2022, agus é ag ardú go 33,489 bhfostaí. Tháinig méadú 93 dhuine (+6.3%) ar an líon fostaithe a thuairiscigh míchumas, agus é ag méadú ó 1,480 fostaí go 1,573 fhostaí sa bhliain 2022. Mhéadaigh an céatadán d’fhostaithe a bhfuil míchumas orthu ar fud na catagóire Rialtais Áitiúil ina hiomláine ó 4.5% sa bhliain 2021 go 4.7% sa bhliain 2022. San iomlán, bhain 94.3% de na comhlachtaí sa chatagóir seo an sprioc amach, an figiúr céanna a bhí ann sa bhliain 2021. Ba iad an dá chomhlacht phoiblí sa chatagóir seo nár bhain an sprioc amach ná dhá thionól réigiúnacha a bhfuil níos lú ná 25 bhall foirne acu.</w:t>
      </w:r>
    </w:p>
    <w:p w14:paraId="3B75F144" w14:textId="77777777" w:rsidR="00973B13" w:rsidRPr="00BC13A0" w:rsidRDefault="00973B13" w:rsidP="00973B13">
      <w:pPr>
        <w:pStyle w:val="Heading3"/>
      </w:pPr>
      <w:r>
        <w:rPr>
          <w:bCs/>
          <w:lang w:val="ga"/>
        </w:rPr>
        <w:t>Comhlachtaí Poiblí a bhfuil Státseirbhísigh mar Fhoireann dóibh</w:t>
      </w:r>
    </w:p>
    <w:p w14:paraId="0C33B7F2" w14:textId="5CDCB97E" w:rsidR="006941DE" w:rsidRPr="00BC13A0" w:rsidRDefault="00973B13" w:rsidP="00973B13">
      <w:pPr>
        <w:rPr>
          <w:color w:val="000000" w:themeColor="text1"/>
        </w:rPr>
      </w:pPr>
      <w:r>
        <w:rPr>
          <w:lang w:val="ga"/>
        </w:rPr>
        <w:t xml:space="preserve">Áirítear leis an earnáil seo comhlachtaí a bhfuil a bhfostaithe aicmithe mar státseirbhísigh, amhail na Coimisinéirí Ioncaim, an Phríomh-Oifig Staidrimh, Coimisiún na hÉireann um Chearta an Duine agus Comhionannas agus an Chomhairle Náisiúnta um Oideachas Speisialta. Sa bhliain 2022, bhí gníomhaireachtaí den sórt sin freagrach as 6.7% d’fhórsa saothair na hearnála poiblí. Tháinig méadú 660 fostaí (+3.9%) ar an líon fostaithe san earnáil seo idir na blianta 2021 agus 2022, agus é ag ardú go 17,385 fhostaí. Tháinig méadú 163 </w:t>
      </w:r>
      <w:r>
        <w:rPr>
          <w:lang w:val="ga"/>
        </w:rPr>
        <w:lastRenderedPageBreak/>
        <w:t>fhostaí (+21.1%) ar an líon fostaithe faoi mhíchumas, agus é ag ardú go 936 fhostaí. Bhí méadú ann sa chéatadán d’fhostaithe a bhfuil míchumas orthu, agus é ag ardú ó 4.6% sa bhliain 2021 go 5.4% sa bhliain 2022. San iomlán, bhain 85.0% de na comhlachtaí san earnáil seo an sprioc amach, ar méadú é i gcomparáid le 80.0% sa bhliain 2021.</w:t>
      </w:r>
      <w:r>
        <w:rPr>
          <w:color w:val="000000" w:themeColor="text1"/>
          <w:lang w:val="ga"/>
        </w:rPr>
        <w:t xml:space="preserve"> </w:t>
      </w:r>
    </w:p>
    <w:p w14:paraId="55568856" w14:textId="77777777" w:rsidR="00024AFF" w:rsidRPr="004700D9" w:rsidRDefault="00024AFF" w:rsidP="00973B13">
      <w:pPr>
        <w:rPr>
          <w:color w:val="000000" w:themeColor="text1"/>
          <w:szCs w:val="26"/>
        </w:rPr>
      </w:pPr>
      <w:r>
        <w:rPr>
          <w:color w:val="000000" w:themeColor="text1"/>
          <w:szCs w:val="26"/>
          <w:lang w:val="ga"/>
        </w:rPr>
        <w:t>Sa bhliain 2022, bhí na Comhlachtaí Poiblí a bhfuil Státseirbhísigh mar Fhoireann dóibh ag déileáil leis na hathruithe seo a leanas:</w:t>
      </w:r>
    </w:p>
    <w:p w14:paraId="1AC4F077" w14:textId="2447266A" w:rsidR="006B79A7" w:rsidRPr="004700D9" w:rsidRDefault="006B79A7" w:rsidP="004700D9">
      <w:pPr>
        <w:pStyle w:val="ListParagraph"/>
        <w:numPr>
          <w:ilvl w:val="0"/>
          <w:numId w:val="9"/>
        </w:numPr>
        <w:spacing w:after="120"/>
        <w:ind w:left="788" w:hanging="357"/>
        <w:contextualSpacing w:val="0"/>
        <w:rPr>
          <w:rFonts w:ascii="Gill Sans MT" w:hAnsi="Gill Sans MT"/>
          <w:color w:val="000000" w:themeColor="text1"/>
          <w:szCs w:val="26"/>
        </w:rPr>
      </w:pPr>
      <w:r>
        <w:rPr>
          <w:rFonts w:ascii="Gill Sans MT" w:hAnsi="Gill Sans MT"/>
          <w:color w:val="000000" w:themeColor="text1"/>
          <w:szCs w:val="26"/>
          <w:lang w:val="ga"/>
        </w:rPr>
        <w:t>Bhog an tÚdarás Rialála Carthanas ón gcatagóir seo chuig catagóir na gComhlachtaí Neamhthráchtála</w:t>
      </w:r>
    </w:p>
    <w:p w14:paraId="7D2A1D1C" w14:textId="58FF1DF9" w:rsidR="00651D9E" w:rsidRPr="004700D9" w:rsidRDefault="00651D9E" w:rsidP="00973B13">
      <w:pPr>
        <w:pStyle w:val="ListParagraph"/>
        <w:numPr>
          <w:ilvl w:val="0"/>
          <w:numId w:val="9"/>
        </w:numPr>
        <w:rPr>
          <w:rFonts w:ascii="Gill Sans MT" w:hAnsi="Gill Sans MT"/>
          <w:color w:val="000000" w:themeColor="text1"/>
          <w:szCs w:val="26"/>
        </w:rPr>
      </w:pPr>
      <w:r>
        <w:rPr>
          <w:rFonts w:ascii="Gill Sans MT" w:hAnsi="Gill Sans MT"/>
          <w:color w:val="000000" w:themeColor="text1"/>
          <w:szCs w:val="26"/>
          <w:lang w:val="ga"/>
        </w:rPr>
        <w:t>An Ghníomhaireacht um Fhorfheidhmiú Corparáideach – chuaigh comhlacht poiblí nua isteach sa chatagóir seo</w:t>
      </w:r>
    </w:p>
    <w:p w14:paraId="6D13BD3B" w14:textId="36D0A3D6" w:rsidR="00973B13" w:rsidRPr="00BC13A0" w:rsidRDefault="00973B13" w:rsidP="00973B13">
      <w:pPr>
        <w:pStyle w:val="Heading3"/>
      </w:pPr>
      <w:r>
        <w:rPr>
          <w:bCs/>
          <w:lang w:val="ga"/>
        </w:rPr>
        <w:t>Comhlachtaí Neamhthráchtála</w:t>
      </w:r>
    </w:p>
    <w:p w14:paraId="294F65BD" w14:textId="27B1B830" w:rsidR="00973B13" w:rsidRPr="00BC13A0" w:rsidRDefault="00973B13" w:rsidP="003652F9">
      <w:r>
        <w:rPr>
          <w:lang w:val="ga"/>
        </w:rPr>
        <w:t>Is gnách gurb é seo an earnáil is mó sa tseirbhís phoiblí toisc go gcuimsíonn sí FSS, atá ar an bhfostóir is mó san earnáil phoiblí. Sa bhliain 2022, bhí an earnáil seo freagrach as beagán níos mó ná leath fhórsa saothair na hearnála poiblí (55.6%). Tháinig méadú 5,931 fhostaí (+4.3%) ar an líon fostaithe san earnáil seo idir na blianta 2021 agus 2022, agus é ag ardú go 144,802 fhostaí. Tháinig méadú 1184 fhostaí (+34.4%) ar an líon fostaithe a bhfuil míchumas orthu, agus é ag ardú go 4,624 fhostaí. Bhí méadú beag ann sa chéatadán d’fhostaithe a bhfuil míchumas orthu, agus é ag ardú ó 2.5% sa bhliain 2021 go 3.2% sa bhliain 2022. San iomlán, bhain 88.3% de Chomhlachtaí Neamhthráchtála an sprioc amach, ar méadú é i gcomparáid le 83.0% sa bhliain 2021.</w:t>
      </w:r>
    </w:p>
    <w:p w14:paraId="6B4DAC2F" w14:textId="77777777" w:rsidR="006B79A7" w:rsidRPr="004700D9" w:rsidRDefault="006B79A7" w:rsidP="006B79A7">
      <w:r>
        <w:rPr>
          <w:lang w:val="ga"/>
        </w:rPr>
        <w:t>Sa bhliain 2022, tháinig na hathruithe seo a leanas ar chatagóir na gComhlachtaí Neamhthráchtála:</w:t>
      </w:r>
    </w:p>
    <w:p w14:paraId="1DD36842" w14:textId="77777777" w:rsidR="006B79A7" w:rsidRPr="004700D9" w:rsidRDefault="006B79A7" w:rsidP="004700D9">
      <w:pPr>
        <w:pStyle w:val="ListParagraph"/>
        <w:numPr>
          <w:ilvl w:val="0"/>
          <w:numId w:val="7"/>
        </w:numPr>
        <w:spacing w:after="120"/>
        <w:ind w:left="714" w:hanging="357"/>
        <w:contextualSpacing w:val="0"/>
        <w:rPr>
          <w:rFonts w:ascii="Gill Sans MT" w:hAnsi="Gill Sans MT"/>
        </w:rPr>
      </w:pPr>
      <w:r>
        <w:rPr>
          <w:rFonts w:ascii="Gill Sans MT" w:hAnsi="Gill Sans MT"/>
          <w:lang w:val="ga"/>
        </w:rPr>
        <w:t>D’athraigh Institiúid Teicneolaíochta Leitir Ceanainn a hainm go ‘Ollscoil Teicneolaíochta an Atlantaigh, Dún na nGall (ATU)’</w:t>
      </w:r>
    </w:p>
    <w:p w14:paraId="52537614" w14:textId="77777777" w:rsidR="006B79A7" w:rsidRPr="004700D9" w:rsidRDefault="006B79A7" w:rsidP="004700D9">
      <w:pPr>
        <w:pStyle w:val="ListParagraph"/>
        <w:numPr>
          <w:ilvl w:val="0"/>
          <w:numId w:val="7"/>
        </w:numPr>
        <w:spacing w:after="120"/>
        <w:ind w:left="714" w:hanging="357"/>
        <w:contextualSpacing w:val="0"/>
        <w:rPr>
          <w:rFonts w:ascii="Gill Sans MT" w:hAnsi="Gill Sans MT" w:cs="Calibri"/>
          <w:szCs w:val="26"/>
        </w:rPr>
      </w:pPr>
      <w:r>
        <w:rPr>
          <w:rFonts w:ascii="Gill Sans MT" w:hAnsi="Gill Sans MT" w:cs="Calibri"/>
          <w:szCs w:val="26"/>
          <w:lang w:val="ga"/>
        </w:rPr>
        <w:t xml:space="preserve">D’athraigh Institiúid Teicneolaíochta na Gaillimhe-Maigh Eo a hainm go ‘Ollscoil Teicneolaíochta an Atlantaigh, Gaillimh-Maigh Eo (ATU)’ </w:t>
      </w:r>
    </w:p>
    <w:p w14:paraId="7B55C49D" w14:textId="4EAA7319" w:rsidR="006B79A7" w:rsidRPr="004700D9" w:rsidRDefault="006B79A7" w:rsidP="004700D9">
      <w:pPr>
        <w:pStyle w:val="ListParagraph"/>
        <w:numPr>
          <w:ilvl w:val="0"/>
          <w:numId w:val="8"/>
        </w:numPr>
        <w:spacing w:after="120"/>
        <w:ind w:left="714" w:hanging="357"/>
        <w:contextualSpacing w:val="0"/>
        <w:rPr>
          <w:rFonts w:ascii="Gill Sans MT" w:hAnsi="Gill Sans MT"/>
        </w:rPr>
      </w:pPr>
      <w:r>
        <w:rPr>
          <w:rFonts w:ascii="Gill Sans MT" w:hAnsi="Gill Sans MT"/>
          <w:lang w:val="ga"/>
        </w:rPr>
        <w:t>Chumaisc Institiúid Teicneolaíochta Cheatharlach agus Institiúid Teicneolaíochta Phort Láirge chun Ollscoil Teicneolaíochta an Oirdheiscirt (SETU) a chruthú</w:t>
      </w:r>
    </w:p>
    <w:p w14:paraId="4D235BC6" w14:textId="4F5768D6" w:rsidR="00F51FA6" w:rsidRPr="004700D9" w:rsidRDefault="006B79A7" w:rsidP="004700D9">
      <w:pPr>
        <w:pStyle w:val="ListParagraph"/>
        <w:numPr>
          <w:ilvl w:val="0"/>
          <w:numId w:val="8"/>
        </w:numPr>
        <w:spacing w:after="120"/>
        <w:ind w:left="714" w:hanging="357"/>
        <w:contextualSpacing w:val="0"/>
        <w:rPr>
          <w:rFonts w:ascii="Gill Sans MT" w:hAnsi="Gill Sans MT"/>
        </w:rPr>
      </w:pPr>
      <w:r>
        <w:rPr>
          <w:rFonts w:ascii="Gill Sans MT" w:hAnsi="Gill Sans MT"/>
          <w:lang w:val="ga"/>
        </w:rPr>
        <w:t>Chuaigh an tÚdarás Rialála Carthanas isteach sa chatagóir sin ó Chatagóir na gComhlachtaí Poiblí a bhfuil Státseirbhísigh mar Fhoireann dóibh</w:t>
      </w:r>
    </w:p>
    <w:p w14:paraId="138B7832" w14:textId="57839B4C" w:rsidR="00AC1C74" w:rsidRDefault="00AC1C74" w:rsidP="00AC1C74">
      <w:pPr>
        <w:pStyle w:val="Heading3"/>
      </w:pPr>
      <w:r>
        <w:rPr>
          <w:bCs/>
          <w:lang w:val="ga"/>
        </w:rPr>
        <w:t>Achoimre ar an anailís de réir chineál an chomhlachta phoiblí</w:t>
      </w:r>
    </w:p>
    <w:p w14:paraId="42413277" w14:textId="0A7A53CD" w:rsidR="00AC1C74" w:rsidRPr="00BC13A0" w:rsidRDefault="00AC1C74" w:rsidP="00AC1C74">
      <w:r>
        <w:rPr>
          <w:lang w:val="ga"/>
        </w:rPr>
        <w:t>Cuirtear achoimre ar an anailís de réir chineál an chomhlachta phoiblí i láthair i dTábla 3</w:t>
      </w:r>
    </w:p>
    <w:p w14:paraId="65FECD50" w14:textId="064BA19B" w:rsidR="00973B13" w:rsidRPr="00BC13A0" w:rsidRDefault="00961DC1" w:rsidP="00150F8A">
      <w:pPr>
        <w:pStyle w:val="TableTitle"/>
      </w:pPr>
      <w:r>
        <w:rPr>
          <w:bCs/>
          <w:lang w:val="ga"/>
        </w:rPr>
        <w:lastRenderedPageBreak/>
        <w:t>Tábla 3. Sonraí de réir chineál an chomhlachta phoiblí, 2021 agus 2022</w:t>
      </w:r>
    </w:p>
    <w:tbl>
      <w:tblPr>
        <w:tblStyle w:val="TableGrid1"/>
        <w:tblpPr w:leftFromText="180" w:rightFromText="180" w:vertAnchor="text" w:horzAnchor="margin" w:tblpXSpec="center" w:tblpY="92"/>
        <w:tblW w:w="10716" w:type="dxa"/>
        <w:tblLayout w:type="fixed"/>
        <w:tblLook w:val="0220" w:firstRow="1" w:lastRow="0" w:firstColumn="0" w:lastColumn="0" w:noHBand="1" w:noVBand="0"/>
      </w:tblPr>
      <w:tblGrid>
        <w:gridCol w:w="1828"/>
        <w:gridCol w:w="1559"/>
        <w:gridCol w:w="1418"/>
        <w:gridCol w:w="1653"/>
        <w:gridCol w:w="1418"/>
        <w:gridCol w:w="1276"/>
        <w:gridCol w:w="1564"/>
      </w:tblGrid>
      <w:tr w:rsidR="00FE708A" w:rsidRPr="00BC13A0" w14:paraId="59BC7093" w14:textId="40875BC9" w:rsidTr="00E57050">
        <w:tc>
          <w:tcPr>
            <w:tcW w:w="1828" w:type="dxa"/>
          </w:tcPr>
          <w:p w14:paraId="7B17651A" w14:textId="77777777" w:rsidR="00FE708A" w:rsidRPr="00BC13A0" w:rsidRDefault="00FE708A" w:rsidP="00AD2F28">
            <w:pPr>
              <w:keepNext/>
              <w:spacing w:after="0"/>
              <w:rPr>
                <w:b/>
                <w:color w:val="000000"/>
                <w:sz w:val="22"/>
                <w:szCs w:val="22"/>
              </w:rPr>
            </w:pPr>
            <w:r>
              <w:rPr>
                <w:b/>
                <w:bCs/>
                <w:color w:val="000000"/>
                <w:sz w:val="22"/>
                <w:szCs w:val="22"/>
                <w:lang w:val="ga"/>
              </w:rPr>
              <w:t>An cineál comhlachta earnála poiblí</w:t>
            </w:r>
          </w:p>
        </w:tc>
        <w:tc>
          <w:tcPr>
            <w:tcW w:w="1559" w:type="dxa"/>
          </w:tcPr>
          <w:p w14:paraId="4B8E9DFD" w14:textId="77777777" w:rsidR="00FE708A" w:rsidRPr="00BC13A0" w:rsidRDefault="00FE708A" w:rsidP="00AD2F28">
            <w:pPr>
              <w:keepNext/>
              <w:spacing w:after="0"/>
              <w:rPr>
                <w:b/>
                <w:color w:val="000000"/>
                <w:sz w:val="22"/>
                <w:szCs w:val="22"/>
              </w:rPr>
            </w:pPr>
            <w:r>
              <w:rPr>
                <w:b/>
                <w:bCs/>
                <w:color w:val="000000"/>
                <w:sz w:val="22"/>
                <w:szCs w:val="22"/>
                <w:lang w:val="ga"/>
              </w:rPr>
              <w:t>Iomlán na bhfostaithe</w:t>
            </w:r>
          </w:p>
        </w:tc>
        <w:tc>
          <w:tcPr>
            <w:tcW w:w="1418" w:type="dxa"/>
          </w:tcPr>
          <w:p w14:paraId="394FE361" w14:textId="797B592F" w:rsidR="00FE708A" w:rsidRPr="00BC13A0" w:rsidRDefault="003C02A5" w:rsidP="00AD2F28">
            <w:pPr>
              <w:keepNext/>
              <w:spacing w:after="0"/>
              <w:rPr>
                <w:b/>
                <w:color w:val="000000"/>
                <w:sz w:val="22"/>
                <w:szCs w:val="22"/>
              </w:rPr>
            </w:pPr>
            <w:r>
              <w:rPr>
                <w:b/>
                <w:bCs/>
                <w:color w:val="000000"/>
                <w:sz w:val="22"/>
                <w:szCs w:val="22"/>
                <w:lang w:val="ga"/>
              </w:rPr>
              <w:t>An líon fostaithe a thuairiscigh míchumas</w:t>
            </w:r>
          </w:p>
        </w:tc>
        <w:tc>
          <w:tcPr>
            <w:tcW w:w="1653" w:type="dxa"/>
          </w:tcPr>
          <w:p w14:paraId="48D2CC5D" w14:textId="11C3F173" w:rsidR="00FE708A" w:rsidRPr="00BC13A0" w:rsidRDefault="003C02A5" w:rsidP="00AD2F28">
            <w:pPr>
              <w:keepNext/>
              <w:spacing w:after="0"/>
              <w:rPr>
                <w:b/>
                <w:color w:val="000000"/>
                <w:sz w:val="22"/>
                <w:szCs w:val="22"/>
              </w:rPr>
            </w:pPr>
            <w:r>
              <w:rPr>
                <w:b/>
                <w:bCs/>
                <w:color w:val="000000"/>
                <w:sz w:val="22"/>
                <w:szCs w:val="22"/>
                <w:lang w:val="ga"/>
              </w:rPr>
              <w:t>An % d’fhostaithe a thuairiscigh míchumas</w:t>
            </w:r>
          </w:p>
        </w:tc>
        <w:tc>
          <w:tcPr>
            <w:tcW w:w="1418" w:type="dxa"/>
          </w:tcPr>
          <w:p w14:paraId="59F6FA9A" w14:textId="77777777" w:rsidR="00FE708A" w:rsidRPr="00BC13A0" w:rsidRDefault="00FE708A" w:rsidP="00AD2F28">
            <w:pPr>
              <w:keepNext/>
              <w:spacing w:after="0"/>
              <w:rPr>
                <w:b/>
                <w:color w:val="000000"/>
                <w:sz w:val="22"/>
                <w:szCs w:val="22"/>
              </w:rPr>
            </w:pPr>
            <w:r>
              <w:rPr>
                <w:b/>
                <w:bCs/>
                <w:color w:val="000000"/>
                <w:sz w:val="22"/>
                <w:szCs w:val="22"/>
                <w:lang w:val="ga"/>
              </w:rPr>
              <w:t>An % d’iomlán an fhórsa saothair ar tuairiscíodh air faoi Chuid 5</w:t>
            </w:r>
          </w:p>
        </w:tc>
        <w:tc>
          <w:tcPr>
            <w:tcW w:w="1276" w:type="dxa"/>
          </w:tcPr>
          <w:p w14:paraId="72F8D895" w14:textId="77777777" w:rsidR="00FE708A" w:rsidRPr="00BC13A0" w:rsidRDefault="00FE708A" w:rsidP="00AD2F28">
            <w:pPr>
              <w:keepNext/>
              <w:spacing w:after="0"/>
              <w:rPr>
                <w:b/>
                <w:color w:val="000000"/>
                <w:sz w:val="22"/>
                <w:szCs w:val="22"/>
              </w:rPr>
            </w:pPr>
            <w:r>
              <w:rPr>
                <w:b/>
                <w:bCs/>
                <w:color w:val="000000"/>
                <w:sz w:val="22"/>
                <w:szCs w:val="22"/>
                <w:lang w:val="ga"/>
              </w:rPr>
              <w:t>An % de chomhlachtaí a bhain an sprioc amach</w:t>
            </w:r>
          </w:p>
        </w:tc>
        <w:tc>
          <w:tcPr>
            <w:tcW w:w="1564" w:type="dxa"/>
          </w:tcPr>
          <w:p w14:paraId="4F99C8E2" w14:textId="77777777" w:rsidR="00FE708A" w:rsidRPr="00BC13A0" w:rsidRDefault="00FE708A" w:rsidP="00AD2F28">
            <w:pPr>
              <w:keepNext/>
              <w:spacing w:after="0"/>
              <w:rPr>
                <w:b/>
                <w:color w:val="000000"/>
                <w:sz w:val="22"/>
                <w:szCs w:val="22"/>
              </w:rPr>
            </w:pPr>
            <w:r>
              <w:rPr>
                <w:b/>
                <w:bCs/>
                <w:color w:val="000000"/>
                <w:sz w:val="22"/>
                <w:szCs w:val="22"/>
                <w:lang w:val="ga"/>
              </w:rPr>
              <w:t>An líon comhlachtaí poiblí</w:t>
            </w:r>
          </w:p>
        </w:tc>
      </w:tr>
      <w:tr w:rsidR="00FE708A" w:rsidRPr="00BC13A0" w14:paraId="25FA285B" w14:textId="56D322D2" w:rsidTr="00E57050">
        <w:trPr>
          <w:trHeight w:val="233"/>
        </w:trPr>
        <w:tc>
          <w:tcPr>
            <w:tcW w:w="1828" w:type="dxa"/>
          </w:tcPr>
          <w:p w14:paraId="2D379584" w14:textId="4F811337" w:rsidR="00FE708A" w:rsidRPr="00BC13A0" w:rsidRDefault="00522ECC" w:rsidP="00AD2F28">
            <w:pPr>
              <w:keepNext/>
              <w:spacing w:after="0"/>
              <w:rPr>
                <w:b/>
                <w:color w:val="000000"/>
                <w:sz w:val="22"/>
                <w:szCs w:val="22"/>
              </w:rPr>
            </w:pPr>
            <w:r>
              <w:rPr>
                <w:b/>
                <w:bCs/>
                <w:color w:val="000000"/>
                <w:sz w:val="22"/>
                <w:szCs w:val="22"/>
                <w:lang w:val="ga"/>
              </w:rPr>
              <w:t>Comhlacht Tráchtála 2022</w:t>
            </w:r>
          </w:p>
        </w:tc>
        <w:tc>
          <w:tcPr>
            <w:tcW w:w="1559" w:type="dxa"/>
          </w:tcPr>
          <w:p w14:paraId="7D9FF051" w14:textId="3EA71F3A" w:rsidR="00FE708A" w:rsidRPr="00BC13A0" w:rsidRDefault="00162304" w:rsidP="004B6A85">
            <w:pPr>
              <w:spacing w:after="0"/>
              <w:jc w:val="right"/>
              <w:rPr>
                <w:rFonts w:cs="Arial"/>
                <w:bCs/>
                <w:color w:val="000000"/>
                <w:sz w:val="22"/>
                <w:szCs w:val="22"/>
              </w:rPr>
            </w:pPr>
            <w:r>
              <w:rPr>
                <w:rFonts w:cs="Arial"/>
                <w:color w:val="000000"/>
                <w:sz w:val="22"/>
                <w:szCs w:val="22"/>
                <w:lang w:val="ga"/>
              </w:rPr>
              <w:t>40,119</w:t>
            </w:r>
          </w:p>
        </w:tc>
        <w:tc>
          <w:tcPr>
            <w:tcW w:w="1418" w:type="dxa"/>
          </w:tcPr>
          <w:p w14:paraId="7BD35D5E" w14:textId="16E990F4" w:rsidR="00FE708A" w:rsidRPr="00BC13A0" w:rsidRDefault="00060A37" w:rsidP="00AD2F28">
            <w:pPr>
              <w:spacing w:after="0"/>
              <w:jc w:val="right"/>
              <w:rPr>
                <w:rFonts w:cs="Arial"/>
                <w:bCs/>
                <w:color w:val="000000"/>
                <w:sz w:val="22"/>
                <w:szCs w:val="22"/>
              </w:rPr>
            </w:pPr>
            <w:r>
              <w:rPr>
                <w:rFonts w:cs="Arial"/>
                <w:color w:val="000000"/>
                <w:sz w:val="22"/>
                <w:szCs w:val="22"/>
                <w:lang w:val="ga"/>
              </w:rPr>
              <w:t>2,009</w:t>
            </w:r>
          </w:p>
        </w:tc>
        <w:tc>
          <w:tcPr>
            <w:tcW w:w="1653" w:type="dxa"/>
          </w:tcPr>
          <w:p w14:paraId="76B1C86B" w14:textId="2C4AA0EA" w:rsidR="00FE708A" w:rsidRPr="00BC13A0" w:rsidRDefault="00162304" w:rsidP="00AD2F28">
            <w:pPr>
              <w:keepNext/>
              <w:spacing w:after="0"/>
              <w:jc w:val="right"/>
              <w:rPr>
                <w:color w:val="000000"/>
                <w:sz w:val="22"/>
                <w:szCs w:val="22"/>
              </w:rPr>
            </w:pPr>
            <w:r>
              <w:rPr>
                <w:color w:val="000000"/>
                <w:sz w:val="22"/>
                <w:szCs w:val="22"/>
                <w:lang w:val="ga"/>
              </w:rPr>
              <w:t>5.0%</w:t>
            </w:r>
          </w:p>
        </w:tc>
        <w:tc>
          <w:tcPr>
            <w:tcW w:w="1418" w:type="dxa"/>
          </w:tcPr>
          <w:p w14:paraId="1D62B905" w14:textId="496F7349" w:rsidR="00FE708A" w:rsidRPr="00BC13A0" w:rsidRDefault="00522ECC" w:rsidP="00AD2F28">
            <w:pPr>
              <w:spacing w:after="0"/>
              <w:jc w:val="right"/>
              <w:rPr>
                <w:rFonts w:cs="Arial"/>
                <w:bCs/>
                <w:color w:val="000000"/>
                <w:sz w:val="22"/>
                <w:szCs w:val="22"/>
              </w:rPr>
            </w:pPr>
            <w:r>
              <w:rPr>
                <w:rFonts w:cs="Arial"/>
                <w:color w:val="000000"/>
                <w:sz w:val="22"/>
                <w:szCs w:val="22"/>
                <w:lang w:val="ga"/>
              </w:rPr>
              <w:t>15.4%</w:t>
            </w:r>
          </w:p>
        </w:tc>
        <w:tc>
          <w:tcPr>
            <w:tcW w:w="1276" w:type="dxa"/>
          </w:tcPr>
          <w:p w14:paraId="6F60A9F0" w14:textId="07C2FB35" w:rsidR="00FE708A" w:rsidRPr="00BC13A0" w:rsidRDefault="00522ECC" w:rsidP="00AD2F28">
            <w:pPr>
              <w:spacing w:after="0"/>
              <w:jc w:val="right"/>
              <w:rPr>
                <w:rFonts w:cs="Arial"/>
                <w:bCs/>
                <w:color w:val="000000"/>
                <w:sz w:val="22"/>
                <w:szCs w:val="22"/>
              </w:rPr>
            </w:pPr>
            <w:r>
              <w:rPr>
                <w:rFonts w:cs="Arial"/>
                <w:color w:val="000000"/>
                <w:sz w:val="22"/>
                <w:szCs w:val="22"/>
                <w:lang w:val="ga"/>
              </w:rPr>
              <w:t>96.0%</w:t>
            </w:r>
          </w:p>
        </w:tc>
        <w:tc>
          <w:tcPr>
            <w:tcW w:w="1564" w:type="dxa"/>
          </w:tcPr>
          <w:p w14:paraId="6A645412" w14:textId="63F1A9C3" w:rsidR="00FE708A" w:rsidRPr="00BC13A0" w:rsidRDefault="00522ECC" w:rsidP="00AD2F28">
            <w:pPr>
              <w:keepNext/>
              <w:spacing w:after="0"/>
              <w:jc w:val="right"/>
              <w:rPr>
                <w:color w:val="000000"/>
                <w:sz w:val="22"/>
                <w:szCs w:val="22"/>
              </w:rPr>
            </w:pPr>
            <w:r>
              <w:rPr>
                <w:color w:val="000000"/>
                <w:sz w:val="22"/>
                <w:szCs w:val="22"/>
                <w:lang w:val="ga"/>
              </w:rPr>
              <w:t>25</w:t>
            </w:r>
          </w:p>
        </w:tc>
      </w:tr>
      <w:tr w:rsidR="00FE708A" w:rsidRPr="00BC13A0" w14:paraId="09E2EE11" w14:textId="7717CC97" w:rsidTr="00E57050">
        <w:tc>
          <w:tcPr>
            <w:tcW w:w="1828" w:type="dxa"/>
          </w:tcPr>
          <w:p w14:paraId="08EB0188" w14:textId="56E35E4E" w:rsidR="00FE708A" w:rsidRPr="00BC13A0" w:rsidRDefault="00522ECC" w:rsidP="00AD2F28">
            <w:pPr>
              <w:keepNext/>
              <w:spacing w:after="0"/>
              <w:rPr>
                <w:b/>
                <w:color w:val="000000"/>
                <w:sz w:val="22"/>
                <w:szCs w:val="22"/>
              </w:rPr>
            </w:pPr>
            <w:r>
              <w:rPr>
                <w:b/>
                <w:bCs/>
                <w:color w:val="000000"/>
                <w:sz w:val="22"/>
                <w:szCs w:val="22"/>
                <w:lang w:val="ga"/>
              </w:rPr>
              <w:t>Comhlacht Tráchtála 2021</w:t>
            </w:r>
          </w:p>
        </w:tc>
        <w:tc>
          <w:tcPr>
            <w:tcW w:w="1559" w:type="dxa"/>
          </w:tcPr>
          <w:p w14:paraId="1C329662" w14:textId="53A6897D" w:rsidR="00FE708A" w:rsidRPr="00BC13A0" w:rsidRDefault="00162304" w:rsidP="00AD2F28">
            <w:pPr>
              <w:spacing w:after="0"/>
              <w:jc w:val="right"/>
              <w:rPr>
                <w:color w:val="000000"/>
                <w:sz w:val="22"/>
                <w:szCs w:val="22"/>
              </w:rPr>
            </w:pPr>
            <w:r>
              <w:rPr>
                <w:color w:val="000000"/>
                <w:sz w:val="22"/>
                <w:szCs w:val="22"/>
                <w:lang w:val="ga"/>
              </w:rPr>
              <w:t>39,250</w:t>
            </w:r>
          </w:p>
        </w:tc>
        <w:tc>
          <w:tcPr>
            <w:tcW w:w="1418" w:type="dxa"/>
          </w:tcPr>
          <w:p w14:paraId="5BBFEAF7" w14:textId="3154A911" w:rsidR="00FE708A" w:rsidRPr="00BC13A0" w:rsidRDefault="00522ECC" w:rsidP="00AD2F28">
            <w:pPr>
              <w:spacing w:after="0"/>
              <w:jc w:val="right"/>
              <w:rPr>
                <w:color w:val="000000"/>
                <w:sz w:val="22"/>
                <w:szCs w:val="22"/>
              </w:rPr>
            </w:pPr>
            <w:r>
              <w:rPr>
                <w:color w:val="000000"/>
                <w:sz w:val="22"/>
                <w:szCs w:val="22"/>
                <w:lang w:val="ga"/>
              </w:rPr>
              <w:t>1,891</w:t>
            </w:r>
          </w:p>
        </w:tc>
        <w:tc>
          <w:tcPr>
            <w:tcW w:w="1653" w:type="dxa"/>
          </w:tcPr>
          <w:p w14:paraId="6CA5FCDD" w14:textId="32A6E34B" w:rsidR="00FE708A" w:rsidRPr="00BC13A0" w:rsidRDefault="00522ECC" w:rsidP="00AD2F28">
            <w:pPr>
              <w:keepNext/>
              <w:spacing w:after="0"/>
              <w:jc w:val="right"/>
              <w:rPr>
                <w:color w:val="000000"/>
                <w:sz w:val="22"/>
                <w:szCs w:val="22"/>
              </w:rPr>
            </w:pPr>
            <w:r>
              <w:rPr>
                <w:color w:val="000000"/>
                <w:sz w:val="22"/>
                <w:szCs w:val="22"/>
                <w:lang w:val="ga"/>
              </w:rPr>
              <w:t>4.8%</w:t>
            </w:r>
          </w:p>
        </w:tc>
        <w:tc>
          <w:tcPr>
            <w:tcW w:w="1418" w:type="dxa"/>
          </w:tcPr>
          <w:p w14:paraId="36E2A325" w14:textId="37D7BCC3" w:rsidR="00FE708A" w:rsidRPr="00BC13A0" w:rsidRDefault="00522ECC" w:rsidP="00AD2F28">
            <w:pPr>
              <w:spacing w:after="0"/>
              <w:jc w:val="right"/>
              <w:rPr>
                <w:rFonts w:cs="Arial"/>
                <w:bCs/>
                <w:color w:val="000000"/>
                <w:sz w:val="22"/>
                <w:szCs w:val="22"/>
              </w:rPr>
            </w:pPr>
            <w:r>
              <w:rPr>
                <w:rFonts w:cs="Arial"/>
                <w:color w:val="000000"/>
                <w:sz w:val="22"/>
                <w:szCs w:val="22"/>
                <w:lang w:val="ga"/>
              </w:rPr>
              <w:t>15.6%</w:t>
            </w:r>
          </w:p>
        </w:tc>
        <w:tc>
          <w:tcPr>
            <w:tcW w:w="1276" w:type="dxa"/>
          </w:tcPr>
          <w:p w14:paraId="2F999BD5" w14:textId="5E35BD85" w:rsidR="00FE708A" w:rsidRPr="00BC13A0" w:rsidRDefault="00162304" w:rsidP="00AD2F28">
            <w:pPr>
              <w:spacing w:after="0"/>
              <w:jc w:val="right"/>
              <w:rPr>
                <w:rFonts w:cs="Arial"/>
                <w:bCs/>
                <w:color w:val="000000"/>
                <w:sz w:val="22"/>
                <w:szCs w:val="22"/>
              </w:rPr>
            </w:pPr>
            <w:r>
              <w:rPr>
                <w:rFonts w:cs="Arial"/>
                <w:color w:val="000000"/>
                <w:sz w:val="22"/>
                <w:szCs w:val="22"/>
                <w:lang w:val="ga"/>
              </w:rPr>
              <w:t>96.0%</w:t>
            </w:r>
          </w:p>
        </w:tc>
        <w:tc>
          <w:tcPr>
            <w:tcW w:w="1564" w:type="dxa"/>
          </w:tcPr>
          <w:p w14:paraId="32FC089B" w14:textId="001D26E4" w:rsidR="00FE708A" w:rsidRPr="00BC13A0" w:rsidRDefault="00FE708A" w:rsidP="00AD2F28">
            <w:pPr>
              <w:keepNext/>
              <w:spacing w:after="0"/>
              <w:jc w:val="right"/>
              <w:rPr>
                <w:color w:val="000000"/>
                <w:sz w:val="22"/>
                <w:szCs w:val="22"/>
              </w:rPr>
            </w:pPr>
            <w:r>
              <w:rPr>
                <w:color w:val="000000"/>
                <w:sz w:val="22"/>
                <w:szCs w:val="22"/>
                <w:lang w:val="ga"/>
              </w:rPr>
              <w:t>25</w:t>
            </w:r>
          </w:p>
        </w:tc>
      </w:tr>
      <w:tr w:rsidR="00FE708A" w:rsidRPr="00BC13A0" w14:paraId="0988A656" w14:textId="06AACBCA" w:rsidTr="00E57050">
        <w:tc>
          <w:tcPr>
            <w:tcW w:w="1828" w:type="dxa"/>
          </w:tcPr>
          <w:p w14:paraId="61D3A7CA" w14:textId="539CD07A" w:rsidR="00FE708A" w:rsidRPr="00BC13A0" w:rsidRDefault="00FE708A" w:rsidP="00214048">
            <w:pPr>
              <w:keepNext/>
              <w:spacing w:after="0"/>
              <w:rPr>
                <w:b/>
                <w:color w:val="000000"/>
                <w:sz w:val="22"/>
                <w:szCs w:val="22"/>
              </w:rPr>
            </w:pPr>
            <w:r>
              <w:rPr>
                <w:b/>
                <w:bCs/>
                <w:color w:val="000000"/>
                <w:sz w:val="22"/>
                <w:szCs w:val="22"/>
                <w:lang w:val="ga"/>
              </w:rPr>
              <w:t>Athrú 2021/2022</w:t>
            </w:r>
          </w:p>
        </w:tc>
        <w:tc>
          <w:tcPr>
            <w:tcW w:w="1559" w:type="dxa"/>
          </w:tcPr>
          <w:p w14:paraId="0FD8D145" w14:textId="2F8B71E8" w:rsidR="00FE708A" w:rsidRPr="00BC13A0" w:rsidRDefault="00522ECC" w:rsidP="00AD2F28">
            <w:pPr>
              <w:keepNext/>
              <w:spacing w:after="0"/>
              <w:jc w:val="right"/>
              <w:rPr>
                <w:b/>
                <w:color w:val="000000"/>
                <w:sz w:val="22"/>
                <w:szCs w:val="22"/>
              </w:rPr>
            </w:pPr>
            <w:r>
              <w:rPr>
                <w:b/>
                <w:bCs/>
                <w:color w:val="000000"/>
                <w:sz w:val="22"/>
                <w:szCs w:val="22"/>
                <w:lang w:val="ga"/>
              </w:rPr>
              <w:t>+869</w:t>
            </w:r>
          </w:p>
        </w:tc>
        <w:tc>
          <w:tcPr>
            <w:tcW w:w="1418" w:type="dxa"/>
          </w:tcPr>
          <w:p w14:paraId="0BE0F23A" w14:textId="419E3A35" w:rsidR="00FE708A" w:rsidRPr="00BC13A0" w:rsidRDefault="00522ECC" w:rsidP="00AD2F28">
            <w:pPr>
              <w:keepNext/>
              <w:spacing w:after="0"/>
              <w:jc w:val="right"/>
              <w:rPr>
                <w:b/>
                <w:color w:val="000000"/>
                <w:sz w:val="22"/>
                <w:szCs w:val="22"/>
              </w:rPr>
            </w:pPr>
            <w:r>
              <w:rPr>
                <w:b/>
                <w:bCs/>
                <w:color w:val="000000"/>
                <w:sz w:val="22"/>
                <w:szCs w:val="22"/>
                <w:lang w:val="ga"/>
              </w:rPr>
              <w:t>+118</w:t>
            </w:r>
          </w:p>
        </w:tc>
        <w:tc>
          <w:tcPr>
            <w:tcW w:w="1653" w:type="dxa"/>
          </w:tcPr>
          <w:p w14:paraId="4FB94A59" w14:textId="11D1F298" w:rsidR="00FE708A" w:rsidRPr="00BC13A0" w:rsidRDefault="00BC4AE1" w:rsidP="00AD2F28">
            <w:pPr>
              <w:keepNext/>
              <w:spacing w:after="0"/>
              <w:jc w:val="right"/>
              <w:rPr>
                <w:b/>
                <w:color w:val="000000"/>
                <w:sz w:val="22"/>
                <w:szCs w:val="22"/>
              </w:rPr>
            </w:pPr>
            <w:r>
              <w:rPr>
                <w:b/>
                <w:bCs/>
                <w:color w:val="000000"/>
                <w:sz w:val="22"/>
                <w:szCs w:val="22"/>
                <w:lang w:val="ga"/>
              </w:rPr>
              <w:t>+0.2%</w:t>
            </w:r>
          </w:p>
        </w:tc>
        <w:tc>
          <w:tcPr>
            <w:tcW w:w="1418" w:type="dxa"/>
          </w:tcPr>
          <w:p w14:paraId="126629C7" w14:textId="2B676D5B" w:rsidR="00FE708A" w:rsidRPr="00BC13A0" w:rsidRDefault="00162304" w:rsidP="00AD2F28">
            <w:pPr>
              <w:keepNext/>
              <w:spacing w:after="0"/>
              <w:jc w:val="right"/>
              <w:rPr>
                <w:b/>
                <w:color w:val="000000"/>
                <w:sz w:val="22"/>
                <w:szCs w:val="22"/>
              </w:rPr>
            </w:pPr>
            <w:r>
              <w:rPr>
                <w:b/>
                <w:bCs/>
                <w:color w:val="000000"/>
                <w:sz w:val="22"/>
                <w:szCs w:val="22"/>
                <w:lang w:val="ga"/>
              </w:rPr>
              <w:t>-0.2%</w:t>
            </w:r>
          </w:p>
        </w:tc>
        <w:tc>
          <w:tcPr>
            <w:tcW w:w="1276" w:type="dxa"/>
          </w:tcPr>
          <w:p w14:paraId="745D6AEA" w14:textId="23123F2E" w:rsidR="00FE708A" w:rsidRPr="00BC13A0" w:rsidRDefault="00162304" w:rsidP="00AD2F28">
            <w:pPr>
              <w:keepNext/>
              <w:spacing w:after="0"/>
              <w:jc w:val="right"/>
              <w:rPr>
                <w:b/>
                <w:color w:val="000000"/>
                <w:sz w:val="22"/>
                <w:szCs w:val="22"/>
              </w:rPr>
            </w:pPr>
            <w:r>
              <w:rPr>
                <w:b/>
                <w:bCs/>
                <w:color w:val="000000"/>
                <w:sz w:val="22"/>
                <w:szCs w:val="22"/>
                <w:lang w:val="ga"/>
              </w:rPr>
              <w:t>0</w:t>
            </w:r>
          </w:p>
        </w:tc>
        <w:tc>
          <w:tcPr>
            <w:tcW w:w="1564" w:type="dxa"/>
          </w:tcPr>
          <w:p w14:paraId="3EDB98FB" w14:textId="540D2DB8" w:rsidR="00FE708A" w:rsidRPr="00BC13A0" w:rsidRDefault="00162304" w:rsidP="00AD2F28">
            <w:pPr>
              <w:keepNext/>
              <w:spacing w:after="0"/>
              <w:jc w:val="right"/>
              <w:rPr>
                <w:b/>
                <w:color w:val="000000"/>
                <w:sz w:val="22"/>
                <w:szCs w:val="22"/>
              </w:rPr>
            </w:pPr>
            <w:r>
              <w:rPr>
                <w:b/>
                <w:bCs/>
                <w:color w:val="000000"/>
                <w:sz w:val="22"/>
                <w:szCs w:val="22"/>
                <w:lang w:val="ga"/>
              </w:rPr>
              <w:t>0</w:t>
            </w:r>
          </w:p>
        </w:tc>
      </w:tr>
      <w:tr w:rsidR="00E57050" w:rsidRPr="00BC13A0" w14:paraId="26FA8E75" w14:textId="77777777" w:rsidTr="00E57050">
        <w:tc>
          <w:tcPr>
            <w:tcW w:w="1828" w:type="dxa"/>
          </w:tcPr>
          <w:p w14:paraId="5FBB8F26" w14:textId="77777777" w:rsidR="00E57050" w:rsidRDefault="00E57050" w:rsidP="00214048">
            <w:pPr>
              <w:keepNext/>
              <w:spacing w:after="0"/>
              <w:rPr>
                <w:b/>
                <w:bCs/>
                <w:color w:val="000000"/>
                <w:sz w:val="22"/>
                <w:szCs w:val="22"/>
                <w:lang w:val="ga"/>
              </w:rPr>
            </w:pPr>
          </w:p>
        </w:tc>
        <w:tc>
          <w:tcPr>
            <w:tcW w:w="1559" w:type="dxa"/>
          </w:tcPr>
          <w:p w14:paraId="396F8A55" w14:textId="77777777" w:rsidR="00E57050" w:rsidRDefault="00E57050" w:rsidP="00AD2F28">
            <w:pPr>
              <w:keepNext/>
              <w:spacing w:after="0"/>
              <w:jc w:val="right"/>
              <w:rPr>
                <w:b/>
                <w:bCs/>
                <w:color w:val="000000"/>
                <w:sz w:val="22"/>
                <w:szCs w:val="22"/>
                <w:lang w:val="ga"/>
              </w:rPr>
            </w:pPr>
          </w:p>
        </w:tc>
        <w:tc>
          <w:tcPr>
            <w:tcW w:w="1418" w:type="dxa"/>
          </w:tcPr>
          <w:p w14:paraId="071ABD71" w14:textId="77777777" w:rsidR="00E57050" w:rsidRDefault="00E57050" w:rsidP="00AD2F28">
            <w:pPr>
              <w:keepNext/>
              <w:spacing w:after="0"/>
              <w:jc w:val="right"/>
              <w:rPr>
                <w:b/>
                <w:bCs/>
                <w:color w:val="000000"/>
                <w:sz w:val="22"/>
                <w:szCs w:val="22"/>
                <w:lang w:val="ga"/>
              </w:rPr>
            </w:pPr>
          </w:p>
        </w:tc>
        <w:tc>
          <w:tcPr>
            <w:tcW w:w="1653" w:type="dxa"/>
          </w:tcPr>
          <w:p w14:paraId="27E2545F" w14:textId="77777777" w:rsidR="00E57050" w:rsidRDefault="00E57050" w:rsidP="00AD2F28">
            <w:pPr>
              <w:keepNext/>
              <w:spacing w:after="0"/>
              <w:jc w:val="right"/>
              <w:rPr>
                <w:b/>
                <w:bCs/>
                <w:color w:val="000000"/>
                <w:sz w:val="22"/>
                <w:szCs w:val="22"/>
                <w:lang w:val="ga"/>
              </w:rPr>
            </w:pPr>
          </w:p>
        </w:tc>
        <w:tc>
          <w:tcPr>
            <w:tcW w:w="1418" w:type="dxa"/>
          </w:tcPr>
          <w:p w14:paraId="30CB7C75" w14:textId="77777777" w:rsidR="00E57050" w:rsidRDefault="00E57050" w:rsidP="00AD2F28">
            <w:pPr>
              <w:keepNext/>
              <w:spacing w:after="0"/>
              <w:jc w:val="right"/>
              <w:rPr>
                <w:b/>
                <w:bCs/>
                <w:color w:val="000000"/>
                <w:sz w:val="22"/>
                <w:szCs w:val="22"/>
                <w:lang w:val="ga"/>
              </w:rPr>
            </w:pPr>
          </w:p>
        </w:tc>
        <w:tc>
          <w:tcPr>
            <w:tcW w:w="1276" w:type="dxa"/>
          </w:tcPr>
          <w:p w14:paraId="097253F9" w14:textId="77777777" w:rsidR="00E57050" w:rsidRDefault="00E57050" w:rsidP="00AD2F28">
            <w:pPr>
              <w:keepNext/>
              <w:spacing w:after="0"/>
              <w:jc w:val="right"/>
              <w:rPr>
                <w:b/>
                <w:bCs/>
                <w:color w:val="000000"/>
                <w:sz w:val="22"/>
                <w:szCs w:val="22"/>
                <w:lang w:val="ga"/>
              </w:rPr>
            </w:pPr>
          </w:p>
        </w:tc>
        <w:tc>
          <w:tcPr>
            <w:tcW w:w="1564" w:type="dxa"/>
          </w:tcPr>
          <w:p w14:paraId="020C252B" w14:textId="77777777" w:rsidR="00E57050" w:rsidRDefault="00E57050" w:rsidP="00AD2F28">
            <w:pPr>
              <w:keepNext/>
              <w:spacing w:after="0"/>
              <w:jc w:val="right"/>
              <w:rPr>
                <w:b/>
                <w:bCs/>
                <w:color w:val="000000"/>
                <w:sz w:val="22"/>
                <w:szCs w:val="22"/>
                <w:lang w:val="ga"/>
              </w:rPr>
            </w:pPr>
          </w:p>
        </w:tc>
      </w:tr>
      <w:tr w:rsidR="00FE708A" w:rsidRPr="00BC13A0" w14:paraId="73BFBAF0" w14:textId="72314BFB" w:rsidTr="00E57050">
        <w:tc>
          <w:tcPr>
            <w:tcW w:w="1828" w:type="dxa"/>
          </w:tcPr>
          <w:p w14:paraId="59F2FF32" w14:textId="047667FB" w:rsidR="00FE708A" w:rsidRPr="00BC13A0" w:rsidRDefault="008F04CC" w:rsidP="00AD2F28">
            <w:pPr>
              <w:keepNext/>
              <w:spacing w:after="0"/>
              <w:rPr>
                <w:b/>
                <w:color w:val="000000"/>
                <w:sz w:val="22"/>
                <w:szCs w:val="22"/>
              </w:rPr>
            </w:pPr>
            <w:r>
              <w:rPr>
                <w:b/>
                <w:bCs/>
                <w:color w:val="000000"/>
                <w:sz w:val="22"/>
                <w:szCs w:val="22"/>
                <w:lang w:val="ga"/>
              </w:rPr>
              <w:t>Roinn Rialtais 2022</w:t>
            </w:r>
          </w:p>
        </w:tc>
        <w:tc>
          <w:tcPr>
            <w:tcW w:w="1559" w:type="dxa"/>
          </w:tcPr>
          <w:p w14:paraId="5A3505CB" w14:textId="1B40035F" w:rsidR="00FE708A" w:rsidRPr="00BC13A0" w:rsidRDefault="00690E3A" w:rsidP="00AD2F28">
            <w:pPr>
              <w:keepNext/>
              <w:spacing w:after="0"/>
              <w:jc w:val="right"/>
              <w:rPr>
                <w:color w:val="000000"/>
                <w:sz w:val="22"/>
                <w:szCs w:val="22"/>
              </w:rPr>
            </w:pPr>
            <w:r>
              <w:rPr>
                <w:color w:val="000000"/>
                <w:sz w:val="22"/>
                <w:szCs w:val="22"/>
                <w:lang w:val="ga"/>
              </w:rPr>
              <w:t>24,639</w:t>
            </w:r>
          </w:p>
        </w:tc>
        <w:tc>
          <w:tcPr>
            <w:tcW w:w="1418" w:type="dxa"/>
          </w:tcPr>
          <w:p w14:paraId="1917EDEB" w14:textId="2F9FFE40" w:rsidR="00FE708A" w:rsidRPr="00BC13A0" w:rsidRDefault="00690E3A" w:rsidP="00AD2F28">
            <w:pPr>
              <w:keepNext/>
              <w:spacing w:after="0"/>
              <w:jc w:val="right"/>
              <w:rPr>
                <w:color w:val="000000"/>
                <w:sz w:val="22"/>
                <w:szCs w:val="22"/>
              </w:rPr>
            </w:pPr>
            <w:r>
              <w:rPr>
                <w:color w:val="000000"/>
                <w:sz w:val="22"/>
                <w:szCs w:val="22"/>
                <w:lang w:val="ga"/>
              </w:rPr>
              <w:t>1,489</w:t>
            </w:r>
          </w:p>
        </w:tc>
        <w:tc>
          <w:tcPr>
            <w:tcW w:w="1653" w:type="dxa"/>
          </w:tcPr>
          <w:p w14:paraId="49ABC6A6" w14:textId="587BC225" w:rsidR="00FE708A" w:rsidRPr="00BC13A0" w:rsidRDefault="00690E3A" w:rsidP="00AD2F28">
            <w:pPr>
              <w:keepNext/>
              <w:spacing w:after="0"/>
              <w:jc w:val="right"/>
              <w:rPr>
                <w:color w:val="000000"/>
                <w:sz w:val="22"/>
                <w:szCs w:val="22"/>
              </w:rPr>
            </w:pPr>
            <w:r>
              <w:rPr>
                <w:color w:val="000000"/>
                <w:sz w:val="22"/>
                <w:szCs w:val="22"/>
                <w:lang w:val="ga"/>
              </w:rPr>
              <w:t>6.0%</w:t>
            </w:r>
          </w:p>
        </w:tc>
        <w:tc>
          <w:tcPr>
            <w:tcW w:w="1418" w:type="dxa"/>
          </w:tcPr>
          <w:p w14:paraId="5DF0B375" w14:textId="1CF75B4A" w:rsidR="00FE708A" w:rsidRPr="00BC13A0" w:rsidRDefault="00690E3A" w:rsidP="00CB6D76">
            <w:pPr>
              <w:keepNext/>
              <w:spacing w:after="0"/>
              <w:jc w:val="right"/>
              <w:rPr>
                <w:color w:val="000000"/>
                <w:sz w:val="22"/>
                <w:szCs w:val="22"/>
              </w:rPr>
            </w:pPr>
            <w:r>
              <w:rPr>
                <w:color w:val="000000"/>
                <w:sz w:val="22"/>
                <w:szCs w:val="22"/>
                <w:lang w:val="ga"/>
              </w:rPr>
              <w:t>9.5%</w:t>
            </w:r>
          </w:p>
        </w:tc>
        <w:tc>
          <w:tcPr>
            <w:tcW w:w="1276" w:type="dxa"/>
          </w:tcPr>
          <w:p w14:paraId="76217195" w14:textId="7DA215A0" w:rsidR="00FE708A" w:rsidRPr="00BC13A0" w:rsidRDefault="00690E3A" w:rsidP="00690E3A">
            <w:pPr>
              <w:keepNext/>
              <w:spacing w:after="0"/>
              <w:jc w:val="right"/>
              <w:rPr>
                <w:color w:val="000000"/>
                <w:sz w:val="22"/>
                <w:szCs w:val="22"/>
              </w:rPr>
            </w:pPr>
            <w:r>
              <w:rPr>
                <w:color w:val="000000"/>
                <w:sz w:val="22"/>
                <w:szCs w:val="22"/>
                <w:lang w:val="ga"/>
              </w:rPr>
              <w:t>100.0%</w:t>
            </w:r>
          </w:p>
        </w:tc>
        <w:tc>
          <w:tcPr>
            <w:tcW w:w="1564" w:type="dxa"/>
          </w:tcPr>
          <w:p w14:paraId="7C0F5869" w14:textId="110E63E9" w:rsidR="00FE708A" w:rsidRPr="00BC13A0" w:rsidRDefault="00690E3A" w:rsidP="00690E3A">
            <w:pPr>
              <w:keepNext/>
              <w:spacing w:after="0"/>
              <w:jc w:val="right"/>
              <w:rPr>
                <w:color w:val="000000"/>
                <w:sz w:val="22"/>
                <w:szCs w:val="22"/>
              </w:rPr>
            </w:pPr>
            <w:r>
              <w:rPr>
                <w:color w:val="000000"/>
                <w:sz w:val="22"/>
                <w:szCs w:val="22"/>
                <w:lang w:val="ga"/>
              </w:rPr>
              <w:t>19</w:t>
            </w:r>
          </w:p>
        </w:tc>
      </w:tr>
      <w:tr w:rsidR="00FE708A" w:rsidRPr="00BC13A0" w14:paraId="270C626C" w14:textId="01E83367" w:rsidTr="00E57050">
        <w:tc>
          <w:tcPr>
            <w:tcW w:w="1828" w:type="dxa"/>
          </w:tcPr>
          <w:p w14:paraId="1D7380B3" w14:textId="36DC44C0" w:rsidR="00FE708A" w:rsidRPr="00BC13A0" w:rsidRDefault="008F04CC" w:rsidP="00AD2F28">
            <w:pPr>
              <w:keepNext/>
              <w:spacing w:after="0"/>
              <w:rPr>
                <w:b/>
                <w:color w:val="000000"/>
                <w:sz w:val="22"/>
                <w:szCs w:val="22"/>
              </w:rPr>
            </w:pPr>
            <w:r>
              <w:rPr>
                <w:b/>
                <w:bCs/>
                <w:color w:val="000000"/>
                <w:sz w:val="22"/>
                <w:szCs w:val="22"/>
                <w:lang w:val="ga"/>
              </w:rPr>
              <w:t>Roinn Rialtais 2021</w:t>
            </w:r>
          </w:p>
        </w:tc>
        <w:tc>
          <w:tcPr>
            <w:tcW w:w="1559" w:type="dxa"/>
          </w:tcPr>
          <w:p w14:paraId="731D2213" w14:textId="65633109" w:rsidR="00FE708A" w:rsidRPr="00BC13A0" w:rsidRDefault="008660B8" w:rsidP="00AD2F28">
            <w:pPr>
              <w:keepNext/>
              <w:spacing w:after="0"/>
              <w:jc w:val="right"/>
              <w:rPr>
                <w:color w:val="000000"/>
                <w:sz w:val="22"/>
                <w:szCs w:val="22"/>
              </w:rPr>
            </w:pPr>
            <w:r>
              <w:rPr>
                <w:color w:val="000000"/>
                <w:sz w:val="22"/>
                <w:szCs w:val="22"/>
                <w:lang w:val="ga"/>
              </w:rPr>
              <w:t>23,590</w:t>
            </w:r>
          </w:p>
        </w:tc>
        <w:tc>
          <w:tcPr>
            <w:tcW w:w="1418" w:type="dxa"/>
          </w:tcPr>
          <w:p w14:paraId="3FB124F2" w14:textId="0E1E9044" w:rsidR="00FE708A" w:rsidRPr="00BC13A0" w:rsidRDefault="008660B8" w:rsidP="00AD2F28">
            <w:pPr>
              <w:keepNext/>
              <w:spacing w:after="0"/>
              <w:jc w:val="right"/>
              <w:rPr>
                <w:color w:val="000000"/>
                <w:sz w:val="22"/>
                <w:szCs w:val="22"/>
              </w:rPr>
            </w:pPr>
            <w:r>
              <w:rPr>
                <w:color w:val="000000"/>
                <w:sz w:val="22"/>
                <w:szCs w:val="22"/>
                <w:lang w:val="ga"/>
              </w:rPr>
              <w:t>1,427</w:t>
            </w:r>
          </w:p>
        </w:tc>
        <w:tc>
          <w:tcPr>
            <w:tcW w:w="1653" w:type="dxa"/>
          </w:tcPr>
          <w:p w14:paraId="09E31D14" w14:textId="6D102B74" w:rsidR="00FE708A" w:rsidRPr="00BC13A0" w:rsidRDefault="00F848E1" w:rsidP="00AD2F28">
            <w:pPr>
              <w:keepNext/>
              <w:spacing w:after="0"/>
              <w:jc w:val="right"/>
              <w:rPr>
                <w:color w:val="000000"/>
                <w:sz w:val="22"/>
                <w:szCs w:val="22"/>
              </w:rPr>
            </w:pPr>
            <w:r>
              <w:rPr>
                <w:color w:val="000000"/>
                <w:sz w:val="22"/>
                <w:szCs w:val="22"/>
                <w:lang w:val="ga"/>
              </w:rPr>
              <w:t>6.0%</w:t>
            </w:r>
          </w:p>
        </w:tc>
        <w:tc>
          <w:tcPr>
            <w:tcW w:w="1418" w:type="dxa"/>
          </w:tcPr>
          <w:p w14:paraId="68DF2E7A" w14:textId="1957D5D0" w:rsidR="00FE708A" w:rsidRPr="00BC13A0" w:rsidRDefault="00CB6D76" w:rsidP="00AD2F28">
            <w:pPr>
              <w:keepNext/>
              <w:spacing w:after="0"/>
              <w:jc w:val="right"/>
              <w:rPr>
                <w:color w:val="000000"/>
                <w:sz w:val="22"/>
                <w:szCs w:val="22"/>
              </w:rPr>
            </w:pPr>
            <w:r>
              <w:rPr>
                <w:color w:val="000000"/>
                <w:sz w:val="22"/>
                <w:szCs w:val="22"/>
                <w:lang w:val="ga"/>
              </w:rPr>
              <w:t>9.4%</w:t>
            </w:r>
          </w:p>
        </w:tc>
        <w:tc>
          <w:tcPr>
            <w:tcW w:w="1276" w:type="dxa"/>
          </w:tcPr>
          <w:p w14:paraId="5506F096" w14:textId="7CC63C2E" w:rsidR="00FE708A" w:rsidRPr="00BC13A0" w:rsidRDefault="00FE708A" w:rsidP="00AD2F28">
            <w:pPr>
              <w:keepNext/>
              <w:spacing w:after="0"/>
              <w:jc w:val="right"/>
              <w:rPr>
                <w:color w:val="000000"/>
                <w:sz w:val="22"/>
                <w:szCs w:val="22"/>
              </w:rPr>
            </w:pPr>
            <w:r>
              <w:rPr>
                <w:color w:val="000000"/>
                <w:sz w:val="22"/>
                <w:szCs w:val="22"/>
                <w:lang w:val="ga"/>
              </w:rPr>
              <w:t>100.0%</w:t>
            </w:r>
          </w:p>
        </w:tc>
        <w:tc>
          <w:tcPr>
            <w:tcW w:w="1564" w:type="dxa"/>
          </w:tcPr>
          <w:p w14:paraId="06488469" w14:textId="7E7C2D03" w:rsidR="00FE708A" w:rsidRPr="00BC13A0" w:rsidRDefault="00CB6D76" w:rsidP="00AD2F28">
            <w:pPr>
              <w:keepNext/>
              <w:spacing w:after="0"/>
              <w:jc w:val="right"/>
              <w:rPr>
                <w:color w:val="000000"/>
                <w:sz w:val="22"/>
                <w:szCs w:val="22"/>
              </w:rPr>
            </w:pPr>
            <w:r>
              <w:rPr>
                <w:color w:val="000000"/>
                <w:sz w:val="22"/>
                <w:szCs w:val="22"/>
                <w:lang w:val="ga"/>
              </w:rPr>
              <w:t>19</w:t>
            </w:r>
          </w:p>
        </w:tc>
      </w:tr>
      <w:tr w:rsidR="00FE708A" w:rsidRPr="00BC13A0" w14:paraId="4E5C36A8" w14:textId="1B95A5EE" w:rsidTr="00E57050">
        <w:tc>
          <w:tcPr>
            <w:tcW w:w="1828" w:type="dxa"/>
          </w:tcPr>
          <w:p w14:paraId="21289E81" w14:textId="2E848456" w:rsidR="00FE708A" w:rsidRPr="00BC13A0" w:rsidRDefault="002C4D6E" w:rsidP="00AD2F28">
            <w:pPr>
              <w:keepNext/>
              <w:spacing w:after="0"/>
              <w:rPr>
                <w:b/>
                <w:color w:val="000000"/>
                <w:sz w:val="22"/>
                <w:szCs w:val="22"/>
              </w:rPr>
            </w:pPr>
            <w:r>
              <w:rPr>
                <w:b/>
                <w:bCs/>
                <w:color w:val="000000"/>
                <w:sz w:val="22"/>
                <w:szCs w:val="22"/>
                <w:lang w:val="ga"/>
              </w:rPr>
              <w:t>Athrú 2021/2022</w:t>
            </w:r>
          </w:p>
        </w:tc>
        <w:tc>
          <w:tcPr>
            <w:tcW w:w="1559" w:type="dxa"/>
          </w:tcPr>
          <w:p w14:paraId="2E558977" w14:textId="6F48DBD7" w:rsidR="00FE708A" w:rsidRPr="00BC13A0" w:rsidRDefault="00690E3A" w:rsidP="00AD2F28">
            <w:pPr>
              <w:keepNext/>
              <w:spacing w:after="0"/>
              <w:jc w:val="right"/>
              <w:rPr>
                <w:b/>
                <w:color w:val="000000"/>
                <w:sz w:val="22"/>
                <w:szCs w:val="22"/>
              </w:rPr>
            </w:pPr>
            <w:r>
              <w:rPr>
                <w:b/>
                <w:bCs/>
                <w:color w:val="000000"/>
                <w:sz w:val="22"/>
                <w:szCs w:val="22"/>
                <w:lang w:val="ga"/>
              </w:rPr>
              <w:t>+1,049</w:t>
            </w:r>
          </w:p>
        </w:tc>
        <w:tc>
          <w:tcPr>
            <w:tcW w:w="1418" w:type="dxa"/>
          </w:tcPr>
          <w:p w14:paraId="22876277" w14:textId="70686072" w:rsidR="00FE708A" w:rsidRPr="00BC13A0" w:rsidRDefault="00690E3A" w:rsidP="00AD2F28">
            <w:pPr>
              <w:keepNext/>
              <w:spacing w:after="0"/>
              <w:jc w:val="right"/>
              <w:rPr>
                <w:b/>
                <w:color w:val="000000"/>
                <w:sz w:val="22"/>
                <w:szCs w:val="22"/>
              </w:rPr>
            </w:pPr>
            <w:r>
              <w:rPr>
                <w:b/>
                <w:bCs/>
                <w:color w:val="000000"/>
                <w:sz w:val="22"/>
                <w:szCs w:val="22"/>
                <w:lang w:val="ga"/>
              </w:rPr>
              <w:t>+62</w:t>
            </w:r>
          </w:p>
        </w:tc>
        <w:tc>
          <w:tcPr>
            <w:tcW w:w="1653" w:type="dxa"/>
          </w:tcPr>
          <w:p w14:paraId="3ED9269A" w14:textId="5926ACA2" w:rsidR="00FE708A" w:rsidRPr="00BC13A0" w:rsidRDefault="00690E3A" w:rsidP="00AD2F28">
            <w:pPr>
              <w:keepNext/>
              <w:spacing w:after="0"/>
              <w:jc w:val="right"/>
              <w:rPr>
                <w:b/>
                <w:color w:val="000000"/>
                <w:sz w:val="22"/>
                <w:szCs w:val="22"/>
              </w:rPr>
            </w:pPr>
            <w:r>
              <w:rPr>
                <w:b/>
                <w:bCs/>
                <w:color w:val="000000"/>
                <w:sz w:val="22"/>
                <w:szCs w:val="22"/>
                <w:lang w:val="ga"/>
              </w:rPr>
              <w:t>0</w:t>
            </w:r>
          </w:p>
        </w:tc>
        <w:tc>
          <w:tcPr>
            <w:tcW w:w="1418" w:type="dxa"/>
          </w:tcPr>
          <w:p w14:paraId="2BAAC4B4" w14:textId="3FBE49D1" w:rsidR="00FE708A" w:rsidRPr="00BC13A0" w:rsidRDefault="00690E3A" w:rsidP="00AD2F28">
            <w:pPr>
              <w:keepNext/>
              <w:spacing w:after="0"/>
              <w:jc w:val="right"/>
              <w:rPr>
                <w:b/>
                <w:color w:val="000000"/>
                <w:sz w:val="22"/>
                <w:szCs w:val="22"/>
              </w:rPr>
            </w:pPr>
            <w:r>
              <w:rPr>
                <w:b/>
                <w:bCs/>
                <w:color w:val="000000"/>
                <w:sz w:val="22"/>
                <w:szCs w:val="22"/>
                <w:lang w:val="ga"/>
              </w:rPr>
              <w:t>+0.1%</w:t>
            </w:r>
          </w:p>
        </w:tc>
        <w:tc>
          <w:tcPr>
            <w:tcW w:w="1276" w:type="dxa"/>
          </w:tcPr>
          <w:p w14:paraId="5148F04D" w14:textId="0222BAE2" w:rsidR="00FE708A" w:rsidRPr="00BC13A0" w:rsidRDefault="00690E3A" w:rsidP="00AD2F28">
            <w:pPr>
              <w:keepNext/>
              <w:spacing w:after="0"/>
              <w:jc w:val="right"/>
              <w:rPr>
                <w:b/>
                <w:color w:val="000000"/>
                <w:sz w:val="22"/>
                <w:szCs w:val="22"/>
              </w:rPr>
            </w:pPr>
            <w:r>
              <w:rPr>
                <w:b/>
                <w:bCs/>
                <w:color w:val="000000"/>
                <w:sz w:val="22"/>
                <w:szCs w:val="22"/>
                <w:lang w:val="ga"/>
              </w:rPr>
              <w:t>0</w:t>
            </w:r>
          </w:p>
        </w:tc>
        <w:tc>
          <w:tcPr>
            <w:tcW w:w="1564" w:type="dxa"/>
          </w:tcPr>
          <w:p w14:paraId="76379BAD" w14:textId="09682F6B" w:rsidR="00FE708A" w:rsidRPr="00BC13A0" w:rsidRDefault="00690E3A" w:rsidP="00AD2F28">
            <w:pPr>
              <w:keepNext/>
              <w:spacing w:after="0"/>
              <w:jc w:val="right"/>
              <w:rPr>
                <w:b/>
                <w:color w:val="000000"/>
                <w:sz w:val="22"/>
                <w:szCs w:val="22"/>
              </w:rPr>
            </w:pPr>
            <w:r>
              <w:rPr>
                <w:b/>
                <w:bCs/>
                <w:color w:val="000000"/>
                <w:sz w:val="22"/>
                <w:szCs w:val="22"/>
                <w:lang w:val="ga"/>
              </w:rPr>
              <w:t>0</w:t>
            </w:r>
          </w:p>
        </w:tc>
      </w:tr>
      <w:tr w:rsidR="00E57050" w:rsidRPr="00BC13A0" w14:paraId="002328D9" w14:textId="77777777" w:rsidTr="00E57050">
        <w:tc>
          <w:tcPr>
            <w:tcW w:w="1828" w:type="dxa"/>
          </w:tcPr>
          <w:p w14:paraId="1591CF93" w14:textId="77777777" w:rsidR="00E57050" w:rsidRDefault="00E57050" w:rsidP="00AD2F28">
            <w:pPr>
              <w:keepNext/>
              <w:spacing w:after="0"/>
              <w:rPr>
                <w:b/>
                <w:bCs/>
                <w:color w:val="000000"/>
                <w:sz w:val="22"/>
                <w:szCs w:val="22"/>
                <w:lang w:val="ga"/>
              </w:rPr>
            </w:pPr>
          </w:p>
        </w:tc>
        <w:tc>
          <w:tcPr>
            <w:tcW w:w="1559" w:type="dxa"/>
          </w:tcPr>
          <w:p w14:paraId="15D4F85F" w14:textId="77777777" w:rsidR="00E57050" w:rsidRDefault="00E57050" w:rsidP="00AD2F28">
            <w:pPr>
              <w:keepNext/>
              <w:spacing w:after="0"/>
              <w:jc w:val="right"/>
              <w:rPr>
                <w:b/>
                <w:bCs/>
                <w:color w:val="000000"/>
                <w:sz w:val="22"/>
                <w:szCs w:val="22"/>
                <w:lang w:val="ga"/>
              </w:rPr>
            </w:pPr>
          </w:p>
        </w:tc>
        <w:tc>
          <w:tcPr>
            <w:tcW w:w="1418" w:type="dxa"/>
          </w:tcPr>
          <w:p w14:paraId="2649104E" w14:textId="77777777" w:rsidR="00E57050" w:rsidRDefault="00E57050" w:rsidP="00AD2F28">
            <w:pPr>
              <w:keepNext/>
              <w:spacing w:after="0"/>
              <w:jc w:val="right"/>
              <w:rPr>
                <w:b/>
                <w:bCs/>
                <w:color w:val="000000"/>
                <w:sz w:val="22"/>
                <w:szCs w:val="22"/>
                <w:lang w:val="ga"/>
              </w:rPr>
            </w:pPr>
          </w:p>
        </w:tc>
        <w:tc>
          <w:tcPr>
            <w:tcW w:w="1653" w:type="dxa"/>
          </w:tcPr>
          <w:p w14:paraId="5C03583A" w14:textId="77777777" w:rsidR="00E57050" w:rsidRDefault="00E57050" w:rsidP="00AD2F28">
            <w:pPr>
              <w:keepNext/>
              <w:spacing w:after="0"/>
              <w:jc w:val="right"/>
              <w:rPr>
                <w:b/>
                <w:bCs/>
                <w:color w:val="000000"/>
                <w:sz w:val="22"/>
                <w:szCs w:val="22"/>
                <w:lang w:val="ga"/>
              </w:rPr>
            </w:pPr>
          </w:p>
        </w:tc>
        <w:tc>
          <w:tcPr>
            <w:tcW w:w="1418" w:type="dxa"/>
          </w:tcPr>
          <w:p w14:paraId="075C8563" w14:textId="77777777" w:rsidR="00E57050" w:rsidRDefault="00E57050" w:rsidP="00AD2F28">
            <w:pPr>
              <w:keepNext/>
              <w:spacing w:after="0"/>
              <w:jc w:val="right"/>
              <w:rPr>
                <w:b/>
                <w:bCs/>
                <w:color w:val="000000"/>
                <w:sz w:val="22"/>
                <w:szCs w:val="22"/>
                <w:lang w:val="ga"/>
              </w:rPr>
            </w:pPr>
          </w:p>
        </w:tc>
        <w:tc>
          <w:tcPr>
            <w:tcW w:w="1276" w:type="dxa"/>
          </w:tcPr>
          <w:p w14:paraId="0375D20D" w14:textId="77777777" w:rsidR="00E57050" w:rsidRDefault="00E57050" w:rsidP="00AD2F28">
            <w:pPr>
              <w:keepNext/>
              <w:spacing w:after="0"/>
              <w:jc w:val="right"/>
              <w:rPr>
                <w:b/>
                <w:bCs/>
                <w:color w:val="000000"/>
                <w:sz w:val="22"/>
                <w:szCs w:val="22"/>
                <w:lang w:val="ga"/>
              </w:rPr>
            </w:pPr>
          </w:p>
        </w:tc>
        <w:tc>
          <w:tcPr>
            <w:tcW w:w="1564" w:type="dxa"/>
          </w:tcPr>
          <w:p w14:paraId="5A080135" w14:textId="77777777" w:rsidR="00E57050" w:rsidRDefault="00E57050" w:rsidP="00AD2F28">
            <w:pPr>
              <w:keepNext/>
              <w:spacing w:after="0"/>
              <w:jc w:val="right"/>
              <w:rPr>
                <w:b/>
                <w:bCs/>
                <w:color w:val="000000"/>
                <w:sz w:val="22"/>
                <w:szCs w:val="22"/>
                <w:lang w:val="ga"/>
              </w:rPr>
            </w:pPr>
          </w:p>
        </w:tc>
      </w:tr>
      <w:tr w:rsidR="00FE708A" w:rsidRPr="004700D9" w14:paraId="3472B6B4" w14:textId="074D83DC" w:rsidTr="00E57050">
        <w:tc>
          <w:tcPr>
            <w:tcW w:w="1828" w:type="dxa"/>
          </w:tcPr>
          <w:p w14:paraId="086B6B26" w14:textId="695FFEE9" w:rsidR="00FE708A" w:rsidRPr="004700D9" w:rsidRDefault="008F04CC" w:rsidP="00AD2F28">
            <w:pPr>
              <w:keepNext/>
              <w:spacing w:after="0"/>
              <w:rPr>
                <w:b/>
                <w:color w:val="000000"/>
                <w:sz w:val="22"/>
                <w:szCs w:val="22"/>
              </w:rPr>
            </w:pPr>
            <w:r>
              <w:rPr>
                <w:b/>
                <w:bCs/>
                <w:color w:val="000000"/>
                <w:sz w:val="22"/>
                <w:szCs w:val="22"/>
                <w:lang w:val="ga"/>
              </w:rPr>
              <w:t>Rialtas Áitiúil 2022</w:t>
            </w:r>
          </w:p>
        </w:tc>
        <w:tc>
          <w:tcPr>
            <w:tcW w:w="1559" w:type="dxa"/>
          </w:tcPr>
          <w:p w14:paraId="6C8FFF03" w14:textId="4B5F3E14" w:rsidR="00FE708A" w:rsidRPr="004700D9" w:rsidRDefault="00051E45" w:rsidP="00AD2F28">
            <w:pPr>
              <w:keepNext/>
              <w:spacing w:after="0"/>
              <w:jc w:val="right"/>
              <w:rPr>
                <w:color w:val="000000"/>
                <w:sz w:val="22"/>
                <w:szCs w:val="22"/>
              </w:rPr>
            </w:pPr>
            <w:r>
              <w:rPr>
                <w:color w:val="000000"/>
                <w:sz w:val="22"/>
                <w:szCs w:val="22"/>
                <w:lang w:val="ga"/>
              </w:rPr>
              <w:t>33,489</w:t>
            </w:r>
          </w:p>
        </w:tc>
        <w:tc>
          <w:tcPr>
            <w:tcW w:w="1418" w:type="dxa"/>
          </w:tcPr>
          <w:p w14:paraId="6B371730" w14:textId="7D4C1DEA" w:rsidR="00FE708A" w:rsidRPr="004700D9" w:rsidRDefault="00051E45" w:rsidP="00AD2F28">
            <w:pPr>
              <w:keepNext/>
              <w:spacing w:after="0"/>
              <w:jc w:val="right"/>
              <w:rPr>
                <w:color w:val="000000"/>
                <w:sz w:val="22"/>
                <w:szCs w:val="22"/>
              </w:rPr>
            </w:pPr>
            <w:r>
              <w:rPr>
                <w:color w:val="000000"/>
                <w:sz w:val="22"/>
                <w:szCs w:val="22"/>
                <w:lang w:val="ga"/>
              </w:rPr>
              <w:t>1,573</w:t>
            </w:r>
          </w:p>
        </w:tc>
        <w:tc>
          <w:tcPr>
            <w:tcW w:w="1653" w:type="dxa"/>
          </w:tcPr>
          <w:p w14:paraId="3B818B71" w14:textId="340B5A68" w:rsidR="00FE708A" w:rsidRPr="004700D9" w:rsidRDefault="00051E45" w:rsidP="00AD2F28">
            <w:pPr>
              <w:keepNext/>
              <w:spacing w:after="0"/>
              <w:jc w:val="right"/>
              <w:rPr>
                <w:color w:val="000000"/>
                <w:sz w:val="22"/>
                <w:szCs w:val="22"/>
              </w:rPr>
            </w:pPr>
            <w:r>
              <w:rPr>
                <w:color w:val="000000"/>
                <w:sz w:val="22"/>
                <w:szCs w:val="22"/>
                <w:lang w:val="ga"/>
              </w:rPr>
              <w:t>4.7%</w:t>
            </w:r>
          </w:p>
        </w:tc>
        <w:tc>
          <w:tcPr>
            <w:tcW w:w="1418" w:type="dxa"/>
          </w:tcPr>
          <w:p w14:paraId="73CF4364" w14:textId="2A62E363" w:rsidR="00FE708A" w:rsidRPr="004700D9" w:rsidRDefault="00051E45" w:rsidP="00AD2F28">
            <w:pPr>
              <w:keepNext/>
              <w:spacing w:after="0"/>
              <w:jc w:val="right"/>
              <w:rPr>
                <w:color w:val="000000"/>
                <w:sz w:val="22"/>
                <w:szCs w:val="22"/>
              </w:rPr>
            </w:pPr>
            <w:r>
              <w:rPr>
                <w:color w:val="000000"/>
                <w:sz w:val="22"/>
                <w:szCs w:val="22"/>
                <w:lang w:val="ga"/>
              </w:rPr>
              <w:t>12.9%</w:t>
            </w:r>
          </w:p>
        </w:tc>
        <w:tc>
          <w:tcPr>
            <w:tcW w:w="1276" w:type="dxa"/>
          </w:tcPr>
          <w:p w14:paraId="71594F42" w14:textId="75ADACC9" w:rsidR="00FE708A" w:rsidRPr="004700D9" w:rsidRDefault="00051E45" w:rsidP="00AD2F28">
            <w:pPr>
              <w:keepNext/>
              <w:spacing w:after="0"/>
              <w:jc w:val="right"/>
              <w:rPr>
                <w:color w:val="000000"/>
                <w:sz w:val="22"/>
                <w:szCs w:val="22"/>
              </w:rPr>
            </w:pPr>
            <w:r>
              <w:rPr>
                <w:color w:val="000000"/>
                <w:sz w:val="22"/>
                <w:szCs w:val="22"/>
                <w:lang w:val="ga"/>
              </w:rPr>
              <w:t>94.3%</w:t>
            </w:r>
          </w:p>
        </w:tc>
        <w:tc>
          <w:tcPr>
            <w:tcW w:w="1564" w:type="dxa"/>
          </w:tcPr>
          <w:p w14:paraId="0A42819A" w14:textId="5013BE13" w:rsidR="00FE708A" w:rsidRPr="004700D9" w:rsidRDefault="00051E45" w:rsidP="00AD2F28">
            <w:pPr>
              <w:keepNext/>
              <w:spacing w:after="0"/>
              <w:jc w:val="right"/>
              <w:rPr>
                <w:color w:val="000000"/>
                <w:sz w:val="22"/>
                <w:szCs w:val="22"/>
              </w:rPr>
            </w:pPr>
            <w:r>
              <w:rPr>
                <w:color w:val="000000"/>
                <w:sz w:val="22"/>
                <w:szCs w:val="22"/>
                <w:lang w:val="ga"/>
              </w:rPr>
              <w:t>35</w:t>
            </w:r>
          </w:p>
        </w:tc>
      </w:tr>
      <w:tr w:rsidR="00FE708A" w:rsidRPr="004700D9" w14:paraId="76DBA168" w14:textId="73212650" w:rsidTr="00E57050">
        <w:tc>
          <w:tcPr>
            <w:tcW w:w="1828" w:type="dxa"/>
          </w:tcPr>
          <w:p w14:paraId="2FD7F55A" w14:textId="3394F942" w:rsidR="00FE708A" w:rsidRPr="004700D9" w:rsidRDefault="00FE708A" w:rsidP="00AD2F28">
            <w:pPr>
              <w:keepNext/>
              <w:spacing w:after="0"/>
              <w:rPr>
                <w:b/>
                <w:color w:val="000000"/>
                <w:sz w:val="22"/>
                <w:szCs w:val="22"/>
              </w:rPr>
            </w:pPr>
            <w:r>
              <w:rPr>
                <w:b/>
                <w:bCs/>
                <w:color w:val="000000"/>
                <w:sz w:val="22"/>
                <w:szCs w:val="22"/>
                <w:lang w:val="ga"/>
              </w:rPr>
              <w:t>Rialtas Áitiúil 2021</w:t>
            </w:r>
          </w:p>
        </w:tc>
        <w:tc>
          <w:tcPr>
            <w:tcW w:w="1559" w:type="dxa"/>
          </w:tcPr>
          <w:p w14:paraId="269F4330" w14:textId="0D8183F6" w:rsidR="00FE708A" w:rsidRPr="004700D9" w:rsidRDefault="008F04CC" w:rsidP="00AD2F28">
            <w:pPr>
              <w:keepNext/>
              <w:spacing w:after="0"/>
              <w:jc w:val="right"/>
              <w:rPr>
                <w:color w:val="000000"/>
                <w:sz w:val="22"/>
                <w:szCs w:val="22"/>
              </w:rPr>
            </w:pPr>
            <w:r>
              <w:rPr>
                <w:color w:val="000000"/>
                <w:sz w:val="22"/>
                <w:szCs w:val="22"/>
                <w:lang w:val="ga"/>
              </w:rPr>
              <w:t>33116</w:t>
            </w:r>
          </w:p>
        </w:tc>
        <w:tc>
          <w:tcPr>
            <w:tcW w:w="1418" w:type="dxa"/>
          </w:tcPr>
          <w:p w14:paraId="46E144E8" w14:textId="043DD51D" w:rsidR="00FE708A" w:rsidRPr="004700D9" w:rsidRDefault="008F04CC" w:rsidP="00AD2F28">
            <w:pPr>
              <w:keepNext/>
              <w:spacing w:after="0"/>
              <w:jc w:val="right"/>
              <w:rPr>
                <w:color w:val="000000"/>
                <w:sz w:val="22"/>
                <w:szCs w:val="22"/>
              </w:rPr>
            </w:pPr>
            <w:r>
              <w:rPr>
                <w:color w:val="000000"/>
                <w:sz w:val="22"/>
                <w:szCs w:val="22"/>
                <w:lang w:val="ga"/>
              </w:rPr>
              <w:t>1,480</w:t>
            </w:r>
          </w:p>
        </w:tc>
        <w:tc>
          <w:tcPr>
            <w:tcW w:w="1653" w:type="dxa"/>
          </w:tcPr>
          <w:p w14:paraId="4B1D4229" w14:textId="5FC52763" w:rsidR="00FE708A" w:rsidRPr="004700D9" w:rsidRDefault="008F04CC" w:rsidP="00AD2F28">
            <w:pPr>
              <w:keepNext/>
              <w:spacing w:after="0"/>
              <w:jc w:val="right"/>
              <w:rPr>
                <w:color w:val="000000"/>
                <w:sz w:val="22"/>
                <w:szCs w:val="22"/>
              </w:rPr>
            </w:pPr>
            <w:r>
              <w:rPr>
                <w:color w:val="000000"/>
                <w:sz w:val="22"/>
                <w:szCs w:val="22"/>
                <w:lang w:val="ga"/>
              </w:rPr>
              <w:t>4.5%</w:t>
            </w:r>
          </w:p>
        </w:tc>
        <w:tc>
          <w:tcPr>
            <w:tcW w:w="1418" w:type="dxa"/>
          </w:tcPr>
          <w:p w14:paraId="3C7FFC7B" w14:textId="6B1DE7BC" w:rsidR="00FE708A" w:rsidRPr="004700D9" w:rsidRDefault="008F04CC" w:rsidP="00AD2F28">
            <w:pPr>
              <w:keepNext/>
              <w:spacing w:after="0"/>
              <w:jc w:val="right"/>
              <w:rPr>
                <w:color w:val="000000"/>
                <w:sz w:val="22"/>
                <w:szCs w:val="22"/>
              </w:rPr>
            </w:pPr>
            <w:r>
              <w:rPr>
                <w:color w:val="000000"/>
                <w:sz w:val="22"/>
                <w:szCs w:val="22"/>
                <w:lang w:val="ga"/>
              </w:rPr>
              <w:t>13.2%</w:t>
            </w:r>
          </w:p>
        </w:tc>
        <w:tc>
          <w:tcPr>
            <w:tcW w:w="1276" w:type="dxa"/>
          </w:tcPr>
          <w:p w14:paraId="1505CF81" w14:textId="5B54D5AA" w:rsidR="00FE708A" w:rsidRPr="004700D9" w:rsidRDefault="00FE708A" w:rsidP="00AD2F28">
            <w:pPr>
              <w:keepNext/>
              <w:spacing w:after="0"/>
              <w:jc w:val="right"/>
              <w:rPr>
                <w:color w:val="000000"/>
                <w:sz w:val="22"/>
                <w:szCs w:val="22"/>
              </w:rPr>
            </w:pPr>
            <w:r>
              <w:rPr>
                <w:color w:val="000000"/>
                <w:sz w:val="22"/>
                <w:szCs w:val="22"/>
                <w:lang w:val="ga"/>
              </w:rPr>
              <w:t>94.3%</w:t>
            </w:r>
          </w:p>
        </w:tc>
        <w:tc>
          <w:tcPr>
            <w:tcW w:w="1564" w:type="dxa"/>
          </w:tcPr>
          <w:p w14:paraId="1AF65305" w14:textId="40BC20C6" w:rsidR="00FE708A" w:rsidRPr="004700D9" w:rsidRDefault="00FE708A" w:rsidP="00AD2F28">
            <w:pPr>
              <w:keepNext/>
              <w:spacing w:after="0"/>
              <w:jc w:val="right"/>
              <w:rPr>
                <w:color w:val="000000"/>
                <w:sz w:val="22"/>
                <w:szCs w:val="22"/>
              </w:rPr>
            </w:pPr>
            <w:r>
              <w:rPr>
                <w:color w:val="000000"/>
                <w:sz w:val="22"/>
                <w:szCs w:val="22"/>
                <w:lang w:val="ga"/>
              </w:rPr>
              <w:t>35</w:t>
            </w:r>
          </w:p>
        </w:tc>
      </w:tr>
      <w:tr w:rsidR="00FE708A" w:rsidRPr="004700D9" w14:paraId="36F9FC69" w14:textId="5E7D9C17" w:rsidTr="00E57050">
        <w:tc>
          <w:tcPr>
            <w:tcW w:w="1828" w:type="dxa"/>
          </w:tcPr>
          <w:p w14:paraId="62CC14A1" w14:textId="1268789C" w:rsidR="00FE708A" w:rsidRPr="004700D9" w:rsidRDefault="002C4D6E" w:rsidP="00AD2F28">
            <w:pPr>
              <w:keepNext/>
              <w:spacing w:after="0"/>
              <w:rPr>
                <w:b/>
                <w:color w:val="000000"/>
                <w:sz w:val="22"/>
                <w:szCs w:val="22"/>
              </w:rPr>
            </w:pPr>
            <w:r>
              <w:rPr>
                <w:b/>
                <w:bCs/>
                <w:color w:val="000000"/>
                <w:sz w:val="22"/>
                <w:szCs w:val="22"/>
                <w:lang w:val="ga"/>
              </w:rPr>
              <w:t>Athrú 2021/2022</w:t>
            </w:r>
          </w:p>
        </w:tc>
        <w:tc>
          <w:tcPr>
            <w:tcW w:w="1559" w:type="dxa"/>
          </w:tcPr>
          <w:p w14:paraId="4A405C73" w14:textId="6AF4CDD5" w:rsidR="00FE708A" w:rsidRPr="004700D9" w:rsidRDefault="00971095" w:rsidP="00024C62">
            <w:pPr>
              <w:keepNext/>
              <w:spacing w:after="0"/>
              <w:jc w:val="right"/>
              <w:rPr>
                <w:b/>
                <w:color w:val="000000"/>
                <w:sz w:val="22"/>
                <w:szCs w:val="22"/>
              </w:rPr>
            </w:pPr>
            <w:r>
              <w:rPr>
                <w:b/>
                <w:bCs/>
                <w:color w:val="000000"/>
                <w:sz w:val="22"/>
                <w:szCs w:val="22"/>
                <w:lang w:val="ga"/>
              </w:rPr>
              <w:t>+373</w:t>
            </w:r>
          </w:p>
        </w:tc>
        <w:tc>
          <w:tcPr>
            <w:tcW w:w="1418" w:type="dxa"/>
          </w:tcPr>
          <w:p w14:paraId="22277A33" w14:textId="4D29A25B" w:rsidR="00FE708A" w:rsidRPr="004700D9" w:rsidRDefault="00971095" w:rsidP="00024C62">
            <w:pPr>
              <w:keepNext/>
              <w:spacing w:after="0"/>
              <w:jc w:val="right"/>
              <w:rPr>
                <w:b/>
                <w:color w:val="000000"/>
                <w:sz w:val="22"/>
                <w:szCs w:val="22"/>
              </w:rPr>
            </w:pPr>
            <w:r>
              <w:rPr>
                <w:b/>
                <w:bCs/>
                <w:color w:val="000000"/>
                <w:sz w:val="22"/>
                <w:szCs w:val="22"/>
                <w:lang w:val="ga"/>
              </w:rPr>
              <w:t>+93</w:t>
            </w:r>
          </w:p>
        </w:tc>
        <w:tc>
          <w:tcPr>
            <w:tcW w:w="1653" w:type="dxa"/>
          </w:tcPr>
          <w:p w14:paraId="5F87C8DF" w14:textId="46243B50" w:rsidR="00FE708A" w:rsidRPr="004700D9" w:rsidRDefault="0091706D" w:rsidP="00024C62">
            <w:pPr>
              <w:keepNext/>
              <w:spacing w:after="0"/>
              <w:jc w:val="right"/>
              <w:rPr>
                <w:b/>
                <w:color w:val="000000"/>
                <w:sz w:val="22"/>
                <w:szCs w:val="22"/>
              </w:rPr>
            </w:pPr>
            <w:r>
              <w:rPr>
                <w:b/>
                <w:bCs/>
                <w:color w:val="000000"/>
                <w:sz w:val="22"/>
                <w:szCs w:val="22"/>
                <w:lang w:val="ga"/>
              </w:rPr>
              <w:t>+0.2%</w:t>
            </w:r>
          </w:p>
        </w:tc>
        <w:tc>
          <w:tcPr>
            <w:tcW w:w="1418" w:type="dxa"/>
          </w:tcPr>
          <w:p w14:paraId="773204C0" w14:textId="785E16D0" w:rsidR="00FE708A" w:rsidRPr="004700D9" w:rsidRDefault="00D74124" w:rsidP="00024C62">
            <w:pPr>
              <w:keepNext/>
              <w:spacing w:after="0"/>
              <w:jc w:val="right"/>
              <w:rPr>
                <w:b/>
                <w:color w:val="000000"/>
                <w:sz w:val="22"/>
                <w:szCs w:val="22"/>
              </w:rPr>
            </w:pPr>
            <w:r>
              <w:rPr>
                <w:b/>
                <w:bCs/>
                <w:color w:val="000000"/>
                <w:sz w:val="22"/>
                <w:szCs w:val="22"/>
                <w:lang w:val="ga"/>
              </w:rPr>
              <w:t>-0.3%</w:t>
            </w:r>
          </w:p>
        </w:tc>
        <w:tc>
          <w:tcPr>
            <w:tcW w:w="1276" w:type="dxa"/>
          </w:tcPr>
          <w:p w14:paraId="54ED2F9C" w14:textId="0A58D6E7" w:rsidR="00FE708A" w:rsidRPr="004700D9" w:rsidRDefault="00051E45" w:rsidP="00024C62">
            <w:pPr>
              <w:keepNext/>
              <w:spacing w:after="0"/>
              <w:jc w:val="right"/>
              <w:rPr>
                <w:b/>
                <w:color w:val="000000"/>
                <w:sz w:val="22"/>
                <w:szCs w:val="22"/>
              </w:rPr>
            </w:pPr>
            <w:r>
              <w:rPr>
                <w:b/>
                <w:bCs/>
                <w:color w:val="000000"/>
                <w:sz w:val="22"/>
                <w:szCs w:val="22"/>
                <w:lang w:val="ga"/>
              </w:rPr>
              <w:t>0</w:t>
            </w:r>
          </w:p>
        </w:tc>
        <w:tc>
          <w:tcPr>
            <w:tcW w:w="1564" w:type="dxa"/>
          </w:tcPr>
          <w:p w14:paraId="2A48693C" w14:textId="0D391039" w:rsidR="00FE708A" w:rsidRPr="004700D9" w:rsidRDefault="00051E45" w:rsidP="00024C62">
            <w:pPr>
              <w:keepNext/>
              <w:spacing w:after="0"/>
              <w:jc w:val="right"/>
              <w:rPr>
                <w:b/>
                <w:color w:val="000000"/>
                <w:sz w:val="22"/>
                <w:szCs w:val="22"/>
              </w:rPr>
            </w:pPr>
            <w:r>
              <w:rPr>
                <w:b/>
                <w:bCs/>
                <w:color w:val="000000"/>
                <w:sz w:val="22"/>
                <w:szCs w:val="22"/>
                <w:lang w:val="ga"/>
              </w:rPr>
              <w:t>0</w:t>
            </w:r>
          </w:p>
        </w:tc>
      </w:tr>
      <w:tr w:rsidR="00E57050" w:rsidRPr="004700D9" w14:paraId="7E4C3D2B" w14:textId="77777777" w:rsidTr="00E57050">
        <w:tc>
          <w:tcPr>
            <w:tcW w:w="1828" w:type="dxa"/>
          </w:tcPr>
          <w:p w14:paraId="70AD8F38" w14:textId="77777777" w:rsidR="00E57050" w:rsidRDefault="00E57050" w:rsidP="00AD2F28">
            <w:pPr>
              <w:keepNext/>
              <w:spacing w:after="0"/>
              <w:rPr>
                <w:b/>
                <w:bCs/>
                <w:color w:val="000000"/>
                <w:sz w:val="22"/>
                <w:szCs w:val="22"/>
                <w:lang w:val="ga"/>
              </w:rPr>
            </w:pPr>
          </w:p>
        </w:tc>
        <w:tc>
          <w:tcPr>
            <w:tcW w:w="1559" w:type="dxa"/>
          </w:tcPr>
          <w:p w14:paraId="4D5C59F1" w14:textId="77777777" w:rsidR="00E57050" w:rsidRDefault="00E57050" w:rsidP="00024C62">
            <w:pPr>
              <w:keepNext/>
              <w:spacing w:after="0"/>
              <w:jc w:val="right"/>
              <w:rPr>
                <w:b/>
                <w:bCs/>
                <w:color w:val="000000"/>
                <w:sz w:val="22"/>
                <w:szCs w:val="22"/>
                <w:lang w:val="ga"/>
              </w:rPr>
            </w:pPr>
          </w:p>
        </w:tc>
        <w:tc>
          <w:tcPr>
            <w:tcW w:w="1418" w:type="dxa"/>
          </w:tcPr>
          <w:p w14:paraId="6AF36377" w14:textId="77777777" w:rsidR="00E57050" w:rsidRDefault="00E57050" w:rsidP="00024C62">
            <w:pPr>
              <w:keepNext/>
              <w:spacing w:after="0"/>
              <w:jc w:val="right"/>
              <w:rPr>
                <w:b/>
                <w:bCs/>
                <w:color w:val="000000"/>
                <w:sz w:val="22"/>
                <w:szCs w:val="22"/>
                <w:lang w:val="ga"/>
              </w:rPr>
            </w:pPr>
          </w:p>
        </w:tc>
        <w:tc>
          <w:tcPr>
            <w:tcW w:w="1653" w:type="dxa"/>
          </w:tcPr>
          <w:p w14:paraId="163BC22C" w14:textId="77777777" w:rsidR="00E57050" w:rsidRDefault="00E57050" w:rsidP="00024C62">
            <w:pPr>
              <w:keepNext/>
              <w:spacing w:after="0"/>
              <w:jc w:val="right"/>
              <w:rPr>
                <w:b/>
                <w:bCs/>
                <w:color w:val="000000"/>
                <w:sz w:val="22"/>
                <w:szCs w:val="22"/>
                <w:lang w:val="ga"/>
              </w:rPr>
            </w:pPr>
          </w:p>
        </w:tc>
        <w:tc>
          <w:tcPr>
            <w:tcW w:w="1418" w:type="dxa"/>
          </w:tcPr>
          <w:p w14:paraId="0D94C1DE" w14:textId="77777777" w:rsidR="00E57050" w:rsidRDefault="00E57050" w:rsidP="00024C62">
            <w:pPr>
              <w:keepNext/>
              <w:spacing w:after="0"/>
              <w:jc w:val="right"/>
              <w:rPr>
                <w:b/>
                <w:bCs/>
                <w:color w:val="000000"/>
                <w:sz w:val="22"/>
                <w:szCs w:val="22"/>
                <w:lang w:val="ga"/>
              </w:rPr>
            </w:pPr>
          </w:p>
        </w:tc>
        <w:tc>
          <w:tcPr>
            <w:tcW w:w="1276" w:type="dxa"/>
          </w:tcPr>
          <w:p w14:paraId="1EDE17C0" w14:textId="77777777" w:rsidR="00E57050" w:rsidRDefault="00E57050" w:rsidP="00024C62">
            <w:pPr>
              <w:keepNext/>
              <w:spacing w:after="0"/>
              <w:jc w:val="right"/>
              <w:rPr>
                <w:b/>
                <w:bCs/>
                <w:color w:val="000000"/>
                <w:sz w:val="22"/>
                <w:szCs w:val="22"/>
                <w:lang w:val="ga"/>
              </w:rPr>
            </w:pPr>
          </w:p>
        </w:tc>
        <w:tc>
          <w:tcPr>
            <w:tcW w:w="1564" w:type="dxa"/>
          </w:tcPr>
          <w:p w14:paraId="4941D9C5" w14:textId="77777777" w:rsidR="00E57050" w:rsidRDefault="00E57050" w:rsidP="00024C62">
            <w:pPr>
              <w:keepNext/>
              <w:spacing w:after="0"/>
              <w:jc w:val="right"/>
              <w:rPr>
                <w:b/>
                <w:bCs/>
                <w:color w:val="000000"/>
                <w:sz w:val="22"/>
                <w:szCs w:val="22"/>
                <w:lang w:val="ga"/>
              </w:rPr>
            </w:pPr>
          </w:p>
        </w:tc>
      </w:tr>
      <w:tr w:rsidR="00480DF0" w:rsidRPr="004700D9" w14:paraId="2F5F38F5" w14:textId="65281399" w:rsidTr="00E57050">
        <w:tc>
          <w:tcPr>
            <w:tcW w:w="1828" w:type="dxa"/>
          </w:tcPr>
          <w:p w14:paraId="0AE2922E" w14:textId="5EE155F5" w:rsidR="00480DF0" w:rsidRPr="00C23343" w:rsidRDefault="005A19F6" w:rsidP="00480DF0">
            <w:pPr>
              <w:keepNext/>
              <w:spacing w:after="0"/>
              <w:rPr>
                <w:b/>
                <w:color w:val="000000"/>
                <w:sz w:val="18"/>
                <w:szCs w:val="18"/>
              </w:rPr>
            </w:pPr>
            <w:r w:rsidRPr="00C23343">
              <w:rPr>
                <w:b/>
                <w:bCs/>
                <w:color w:val="000000"/>
                <w:sz w:val="18"/>
                <w:szCs w:val="18"/>
                <w:lang w:val="ga"/>
              </w:rPr>
              <w:t>Comhlacht Neamhthráchtála 2022</w:t>
            </w:r>
          </w:p>
        </w:tc>
        <w:tc>
          <w:tcPr>
            <w:tcW w:w="1559" w:type="dxa"/>
          </w:tcPr>
          <w:p w14:paraId="18ECA310" w14:textId="0EF63807" w:rsidR="00480DF0" w:rsidRPr="004700D9" w:rsidRDefault="00D74124" w:rsidP="00480DF0">
            <w:pPr>
              <w:spacing w:after="0"/>
              <w:jc w:val="right"/>
              <w:rPr>
                <w:rFonts w:cs="Arial"/>
                <w:bCs/>
                <w:color w:val="000000"/>
                <w:sz w:val="22"/>
                <w:szCs w:val="22"/>
              </w:rPr>
            </w:pPr>
            <w:r>
              <w:rPr>
                <w:rFonts w:cs="Arial"/>
                <w:color w:val="000000"/>
                <w:sz w:val="22"/>
                <w:szCs w:val="22"/>
                <w:lang w:val="ga"/>
              </w:rPr>
              <w:t>144,802</w:t>
            </w:r>
          </w:p>
        </w:tc>
        <w:tc>
          <w:tcPr>
            <w:tcW w:w="1418" w:type="dxa"/>
          </w:tcPr>
          <w:p w14:paraId="49384D97" w14:textId="5CB7E3D8" w:rsidR="00480DF0" w:rsidRPr="004700D9" w:rsidRDefault="00D74124" w:rsidP="00480DF0">
            <w:pPr>
              <w:spacing w:after="0"/>
              <w:jc w:val="right"/>
              <w:rPr>
                <w:rFonts w:cs="Arial"/>
                <w:bCs/>
                <w:color w:val="000000"/>
                <w:sz w:val="22"/>
                <w:szCs w:val="22"/>
              </w:rPr>
            </w:pPr>
            <w:r>
              <w:rPr>
                <w:rFonts w:cs="Arial"/>
                <w:color w:val="000000"/>
                <w:sz w:val="22"/>
                <w:szCs w:val="22"/>
                <w:lang w:val="ga"/>
              </w:rPr>
              <w:t>4,624</w:t>
            </w:r>
          </w:p>
        </w:tc>
        <w:tc>
          <w:tcPr>
            <w:tcW w:w="1653" w:type="dxa"/>
          </w:tcPr>
          <w:p w14:paraId="10057D37" w14:textId="4592857D" w:rsidR="00480DF0" w:rsidRPr="004700D9" w:rsidRDefault="00D74124" w:rsidP="00480DF0">
            <w:pPr>
              <w:keepNext/>
              <w:spacing w:after="0"/>
              <w:jc w:val="right"/>
              <w:rPr>
                <w:color w:val="000000"/>
                <w:sz w:val="22"/>
                <w:szCs w:val="22"/>
              </w:rPr>
            </w:pPr>
            <w:r>
              <w:rPr>
                <w:color w:val="000000"/>
                <w:sz w:val="22"/>
                <w:szCs w:val="22"/>
                <w:lang w:val="ga"/>
              </w:rPr>
              <w:t>3.2%</w:t>
            </w:r>
          </w:p>
        </w:tc>
        <w:tc>
          <w:tcPr>
            <w:tcW w:w="1418" w:type="dxa"/>
          </w:tcPr>
          <w:p w14:paraId="3DA154E9" w14:textId="4BBD9AFD" w:rsidR="00480DF0" w:rsidRPr="004700D9" w:rsidRDefault="00D74124" w:rsidP="00480DF0">
            <w:pPr>
              <w:keepNext/>
              <w:spacing w:after="0"/>
              <w:jc w:val="right"/>
              <w:rPr>
                <w:color w:val="000000"/>
                <w:sz w:val="22"/>
                <w:szCs w:val="22"/>
              </w:rPr>
            </w:pPr>
            <w:r>
              <w:rPr>
                <w:color w:val="000000"/>
                <w:sz w:val="22"/>
                <w:szCs w:val="22"/>
                <w:lang w:val="ga"/>
              </w:rPr>
              <w:t>55.6%</w:t>
            </w:r>
          </w:p>
        </w:tc>
        <w:tc>
          <w:tcPr>
            <w:tcW w:w="1276" w:type="dxa"/>
          </w:tcPr>
          <w:p w14:paraId="714355BE" w14:textId="02848AFF" w:rsidR="00480DF0" w:rsidRPr="004700D9" w:rsidRDefault="00D74124" w:rsidP="00480DF0">
            <w:pPr>
              <w:keepNext/>
              <w:spacing w:after="0"/>
              <w:jc w:val="right"/>
              <w:rPr>
                <w:color w:val="000000"/>
                <w:sz w:val="22"/>
                <w:szCs w:val="22"/>
              </w:rPr>
            </w:pPr>
            <w:r>
              <w:rPr>
                <w:color w:val="000000"/>
                <w:sz w:val="22"/>
                <w:szCs w:val="22"/>
                <w:lang w:val="ga"/>
              </w:rPr>
              <w:t>88.3%</w:t>
            </w:r>
          </w:p>
        </w:tc>
        <w:tc>
          <w:tcPr>
            <w:tcW w:w="1564" w:type="dxa"/>
          </w:tcPr>
          <w:p w14:paraId="3F3D57D4" w14:textId="57694D40" w:rsidR="00480DF0" w:rsidRPr="004700D9" w:rsidRDefault="00D74124" w:rsidP="00480DF0">
            <w:pPr>
              <w:keepNext/>
              <w:spacing w:after="0"/>
              <w:jc w:val="right"/>
              <w:rPr>
                <w:color w:val="000000"/>
                <w:sz w:val="22"/>
                <w:szCs w:val="22"/>
              </w:rPr>
            </w:pPr>
            <w:r>
              <w:rPr>
                <w:color w:val="000000"/>
                <w:sz w:val="22"/>
                <w:szCs w:val="22"/>
                <w:lang w:val="ga"/>
              </w:rPr>
              <w:t>94</w:t>
            </w:r>
          </w:p>
        </w:tc>
      </w:tr>
      <w:tr w:rsidR="00480DF0" w:rsidRPr="004700D9" w14:paraId="4DB9D701" w14:textId="79856FFA" w:rsidTr="00E57050">
        <w:tc>
          <w:tcPr>
            <w:tcW w:w="1828" w:type="dxa"/>
          </w:tcPr>
          <w:p w14:paraId="7318D9C8" w14:textId="71B1A8D9" w:rsidR="00480DF0" w:rsidRPr="00C23343" w:rsidRDefault="005A19F6" w:rsidP="00480DF0">
            <w:pPr>
              <w:keepNext/>
              <w:spacing w:after="0"/>
              <w:rPr>
                <w:b/>
                <w:color w:val="000000"/>
                <w:sz w:val="18"/>
                <w:szCs w:val="18"/>
              </w:rPr>
            </w:pPr>
            <w:r w:rsidRPr="00C23343">
              <w:rPr>
                <w:b/>
                <w:bCs/>
                <w:color w:val="000000"/>
                <w:sz w:val="18"/>
                <w:szCs w:val="18"/>
                <w:lang w:val="ga"/>
              </w:rPr>
              <w:t>Comhlacht Neamhthráchtála 2021</w:t>
            </w:r>
          </w:p>
        </w:tc>
        <w:tc>
          <w:tcPr>
            <w:tcW w:w="1559" w:type="dxa"/>
          </w:tcPr>
          <w:p w14:paraId="7429B284" w14:textId="5D0FB8F7" w:rsidR="00480DF0" w:rsidRPr="004700D9" w:rsidRDefault="00F848E1" w:rsidP="00480DF0">
            <w:pPr>
              <w:spacing w:after="0"/>
              <w:jc w:val="right"/>
              <w:rPr>
                <w:rFonts w:cs="Arial"/>
                <w:bCs/>
                <w:color w:val="000000"/>
                <w:sz w:val="22"/>
                <w:szCs w:val="22"/>
              </w:rPr>
            </w:pPr>
            <w:r>
              <w:rPr>
                <w:rFonts w:cs="Arial"/>
                <w:color w:val="000000"/>
                <w:sz w:val="22"/>
                <w:szCs w:val="22"/>
                <w:lang w:val="ga"/>
              </w:rPr>
              <w:t>138,871</w:t>
            </w:r>
          </w:p>
        </w:tc>
        <w:tc>
          <w:tcPr>
            <w:tcW w:w="1418" w:type="dxa"/>
          </w:tcPr>
          <w:p w14:paraId="7EB26EEE" w14:textId="2730FBDE" w:rsidR="00480DF0" w:rsidRPr="004700D9" w:rsidRDefault="00F848E1" w:rsidP="00480DF0">
            <w:pPr>
              <w:keepNext/>
              <w:spacing w:after="0"/>
              <w:jc w:val="right"/>
              <w:rPr>
                <w:color w:val="000000"/>
                <w:sz w:val="22"/>
                <w:szCs w:val="22"/>
              </w:rPr>
            </w:pPr>
            <w:r>
              <w:rPr>
                <w:color w:val="000000"/>
                <w:sz w:val="22"/>
                <w:szCs w:val="22"/>
                <w:lang w:val="ga"/>
              </w:rPr>
              <w:t>3,440</w:t>
            </w:r>
          </w:p>
        </w:tc>
        <w:tc>
          <w:tcPr>
            <w:tcW w:w="1653" w:type="dxa"/>
          </w:tcPr>
          <w:p w14:paraId="1E569FC4" w14:textId="35633835" w:rsidR="00480DF0" w:rsidRPr="004700D9" w:rsidRDefault="00F848E1" w:rsidP="00480DF0">
            <w:pPr>
              <w:keepNext/>
              <w:spacing w:after="0"/>
              <w:jc w:val="right"/>
              <w:rPr>
                <w:color w:val="000000"/>
                <w:sz w:val="22"/>
                <w:szCs w:val="22"/>
              </w:rPr>
            </w:pPr>
            <w:r>
              <w:rPr>
                <w:color w:val="000000"/>
                <w:sz w:val="22"/>
                <w:szCs w:val="22"/>
                <w:lang w:val="ga"/>
              </w:rPr>
              <w:t>2.5%</w:t>
            </w:r>
          </w:p>
        </w:tc>
        <w:tc>
          <w:tcPr>
            <w:tcW w:w="1418" w:type="dxa"/>
          </w:tcPr>
          <w:p w14:paraId="7C3BED0E" w14:textId="673653C6" w:rsidR="00480DF0" w:rsidRPr="004700D9" w:rsidRDefault="005A19F6" w:rsidP="00480DF0">
            <w:pPr>
              <w:keepNext/>
              <w:spacing w:after="0"/>
              <w:jc w:val="right"/>
              <w:rPr>
                <w:color w:val="000000"/>
                <w:sz w:val="22"/>
                <w:szCs w:val="22"/>
              </w:rPr>
            </w:pPr>
            <w:r>
              <w:rPr>
                <w:color w:val="000000"/>
                <w:sz w:val="22"/>
                <w:szCs w:val="22"/>
                <w:lang w:val="ga"/>
              </w:rPr>
              <w:t>55.2%</w:t>
            </w:r>
          </w:p>
        </w:tc>
        <w:tc>
          <w:tcPr>
            <w:tcW w:w="1276" w:type="dxa"/>
          </w:tcPr>
          <w:p w14:paraId="22021D89" w14:textId="5BA7AEF8" w:rsidR="00480DF0" w:rsidRPr="004700D9" w:rsidRDefault="005A19F6" w:rsidP="00480DF0">
            <w:pPr>
              <w:keepNext/>
              <w:spacing w:after="0"/>
              <w:jc w:val="right"/>
              <w:rPr>
                <w:color w:val="000000"/>
                <w:sz w:val="22"/>
                <w:szCs w:val="22"/>
              </w:rPr>
            </w:pPr>
            <w:r>
              <w:rPr>
                <w:color w:val="000000"/>
                <w:sz w:val="22"/>
                <w:szCs w:val="22"/>
                <w:lang w:val="ga"/>
              </w:rPr>
              <w:t>83.0%</w:t>
            </w:r>
          </w:p>
        </w:tc>
        <w:tc>
          <w:tcPr>
            <w:tcW w:w="1564" w:type="dxa"/>
          </w:tcPr>
          <w:p w14:paraId="4633D687" w14:textId="7F77DA23" w:rsidR="00480DF0" w:rsidRPr="004700D9" w:rsidRDefault="00480DF0" w:rsidP="00480DF0">
            <w:pPr>
              <w:keepNext/>
              <w:spacing w:after="0"/>
              <w:jc w:val="right"/>
              <w:rPr>
                <w:color w:val="000000"/>
                <w:sz w:val="22"/>
                <w:szCs w:val="22"/>
              </w:rPr>
            </w:pPr>
            <w:r>
              <w:rPr>
                <w:color w:val="000000"/>
                <w:sz w:val="22"/>
                <w:szCs w:val="22"/>
                <w:lang w:val="ga"/>
              </w:rPr>
              <w:t>94</w:t>
            </w:r>
          </w:p>
        </w:tc>
      </w:tr>
      <w:tr w:rsidR="00480DF0" w:rsidRPr="004700D9" w14:paraId="0AFF4ACF" w14:textId="35C750E5" w:rsidTr="00E57050">
        <w:tc>
          <w:tcPr>
            <w:tcW w:w="1828" w:type="dxa"/>
          </w:tcPr>
          <w:p w14:paraId="6D7A12A8" w14:textId="5DE9DCB5" w:rsidR="00480DF0" w:rsidRPr="004700D9" w:rsidRDefault="0072463C" w:rsidP="00480DF0">
            <w:pPr>
              <w:keepNext/>
              <w:spacing w:after="0"/>
              <w:rPr>
                <w:b/>
                <w:color w:val="000000"/>
                <w:sz w:val="22"/>
                <w:szCs w:val="22"/>
              </w:rPr>
            </w:pPr>
            <w:r>
              <w:rPr>
                <w:b/>
                <w:bCs/>
                <w:color w:val="000000"/>
                <w:sz w:val="22"/>
                <w:szCs w:val="22"/>
                <w:lang w:val="ga"/>
              </w:rPr>
              <w:t>Athrú 2021/2022</w:t>
            </w:r>
          </w:p>
        </w:tc>
        <w:tc>
          <w:tcPr>
            <w:tcW w:w="1559" w:type="dxa"/>
          </w:tcPr>
          <w:p w14:paraId="7F2ABA4D" w14:textId="1E1D37D8" w:rsidR="00480DF0" w:rsidRPr="004700D9" w:rsidRDefault="00971095" w:rsidP="005A19F6">
            <w:pPr>
              <w:keepNext/>
              <w:spacing w:after="0"/>
              <w:jc w:val="right"/>
              <w:rPr>
                <w:b/>
                <w:color w:val="000000"/>
                <w:sz w:val="22"/>
                <w:szCs w:val="22"/>
              </w:rPr>
            </w:pPr>
            <w:r>
              <w:rPr>
                <w:b/>
                <w:bCs/>
                <w:color w:val="000000"/>
                <w:sz w:val="22"/>
                <w:szCs w:val="22"/>
                <w:lang w:val="ga"/>
              </w:rPr>
              <w:t>+5,931</w:t>
            </w:r>
          </w:p>
        </w:tc>
        <w:tc>
          <w:tcPr>
            <w:tcW w:w="1418" w:type="dxa"/>
          </w:tcPr>
          <w:p w14:paraId="253A252B" w14:textId="77043C4F" w:rsidR="00480DF0" w:rsidRPr="004700D9" w:rsidRDefault="00971095" w:rsidP="00480DF0">
            <w:pPr>
              <w:keepNext/>
              <w:spacing w:after="0"/>
              <w:jc w:val="right"/>
              <w:rPr>
                <w:b/>
                <w:color w:val="000000"/>
                <w:sz w:val="22"/>
                <w:szCs w:val="22"/>
              </w:rPr>
            </w:pPr>
            <w:r>
              <w:rPr>
                <w:b/>
                <w:bCs/>
                <w:color w:val="000000"/>
                <w:sz w:val="22"/>
                <w:szCs w:val="22"/>
                <w:lang w:val="ga"/>
              </w:rPr>
              <w:t>+1,184</w:t>
            </w:r>
          </w:p>
        </w:tc>
        <w:tc>
          <w:tcPr>
            <w:tcW w:w="1653" w:type="dxa"/>
          </w:tcPr>
          <w:p w14:paraId="42B0AC93" w14:textId="146C111D" w:rsidR="00480DF0" w:rsidRPr="004700D9" w:rsidRDefault="00971095" w:rsidP="00480DF0">
            <w:pPr>
              <w:keepNext/>
              <w:spacing w:after="0"/>
              <w:jc w:val="right"/>
              <w:rPr>
                <w:b/>
                <w:color w:val="000000"/>
                <w:sz w:val="22"/>
                <w:szCs w:val="22"/>
              </w:rPr>
            </w:pPr>
            <w:r>
              <w:rPr>
                <w:b/>
                <w:bCs/>
                <w:color w:val="000000"/>
                <w:sz w:val="22"/>
                <w:szCs w:val="22"/>
                <w:lang w:val="ga"/>
              </w:rPr>
              <w:t>+0.7%</w:t>
            </w:r>
          </w:p>
        </w:tc>
        <w:tc>
          <w:tcPr>
            <w:tcW w:w="1418" w:type="dxa"/>
          </w:tcPr>
          <w:p w14:paraId="0ED967F6" w14:textId="15EE0117" w:rsidR="00480DF0" w:rsidRPr="004700D9" w:rsidRDefault="00971095" w:rsidP="00480DF0">
            <w:pPr>
              <w:keepNext/>
              <w:spacing w:after="0"/>
              <w:jc w:val="right"/>
              <w:rPr>
                <w:b/>
                <w:color w:val="000000"/>
                <w:sz w:val="22"/>
                <w:szCs w:val="22"/>
              </w:rPr>
            </w:pPr>
            <w:r>
              <w:rPr>
                <w:b/>
                <w:bCs/>
                <w:color w:val="000000"/>
                <w:sz w:val="22"/>
                <w:szCs w:val="22"/>
                <w:lang w:val="ga"/>
              </w:rPr>
              <w:t>+0.4%</w:t>
            </w:r>
          </w:p>
        </w:tc>
        <w:tc>
          <w:tcPr>
            <w:tcW w:w="1276" w:type="dxa"/>
          </w:tcPr>
          <w:p w14:paraId="4575F2B4" w14:textId="66AC7EDC" w:rsidR="00480DF0" w:rsidRPr="004700D9" w:rsidRDefault="00971095" w:rsidP="00480DF0">
            <w:pPr>
              <w:keepNext/>
              <w:spacing w:after="0"/>
              <w:jc w:val="right"/>
              <w:rPr>
                <w:b/>
                <w:color w:val="000000"/>
                <w:sz w:val="22"/>
                <w:szCs w:val="22"/>
              </w:rPr>
            </w:pPr>
            <w:r>
              <w:rPr>
                <w:b/>
                <w:bCs/>
                <w:color w:val="000000"/>
                <w:sz w:val="22"/>
                <w:szCs w:val="22"/>
                <w:lang w:val="ga"/>
              </w:rPr>
              <w:t>+5.3%</w:t>
            </w:r>
          </w:p>
        </w:tc>
        <w:tc>
          <w:tcPr>
            <w:tcW w:w="1564" w:type="dxa"/>
          </w:tcPr>
          <w:p w14:paraId="58ECAEEB" w14:textId="7DC5648A" w:rsidR="00480DF0" w:rsidRPr="004700D9" w:rsidRDefault="00D74124" w:rsidP="005A19F6">
            <w:pPr>
              <w:keepNext/>
              <w:spacing w:after="0"/>
              <w:jc w:val="right"/>
              <w:rPr>
                <w:b/>
                <w:color w:val="000000"/>
                <w:sz w:val="22"/>
                <w:szCs w:val="22"/>
              </w:rPr>
            </w:pPr>
            <w:r>
              <w:rPr>
                <w:b/>
                <w:bCs/>
                <w:color w:val="000000"/>
                <w:sz w:val="22"/>
                <w:szCs w:val="22"/>
                <w:lang w:val="ga"/>
              </w:rPr>
              <w:t>0</w:t>
            </w:r>
          </w:p>
        </w:tc>
      </w:tr>
      <w:tr w:rsidR="00E57050" w:rsidRPr="004700D9" w14:paraId="20F051B3" w14:textId="77777777" w:rsidTr="00E57050">
        <w:tc>
          <w:tcPr>
            <w:tcW w:w="1828" w:type="dxa"/>
          </w:tcPr>
          <w:p w14:paraId="15E14055" w14:textId="77777777" w:rsidR="00E57050" w:rsidRDefault="00E57050" w:rsidP="00480DF0">
            <w:pPr>
              <w:keepNext/>
              <w:spacing w:after="0"/>
              <w:rPr>
                <w:b/>
                <w:bCs/>
                <w:color w:val="000000"/>
                <w:sz w:val="22"/>
                <w:szCs w:val="22"/>
                <w:lang w:val="ga"/>
              </w:rPr>
            </w:pPr>
          </w:p>
        </w:tc>
        <w:tc>
          <w:tcPr>
            <w:tcW w:w="1559" w:type="dxa"/>
          </w:tcPr>
          <w:p w14:paraId="7D6DCC00" w14:textId="77777777" w:rsidR="00E57050" w:rsidRDefault="00E57050" w:rsidP="005A19F6">
            <w:pPr>
              <w:keepNext/>
              <w:spacing w:after="0"/>
              <w:jc w:val="right"/>
              <w:rPr>
                <w:b/>
                <w:bCs/>
                <w:color w:val="000000"/>
                <w:sz w:val="22"/>
                <w:szCs w:val="22"/>
                <w:lang w:val="ga"/>
              </w:rPr>
            </w:pPr>
          </w:p>
        </w:tc>
        <w:tc>
          <w:tcPr>
            <w:tcW w:w="1418" w:type="dxa"/>
          </w:tcPr>
          <w:p w14:paraId="78381502" w14:textId="77777777" w:rsidR="00E57050" w:rsidRDefault="00E57050" w:rsidP="00480DF0">
            <w:pPr>
              <w:keepNext/>
              <w:spacing w:after="0"/>
              <w:jc w:val="right"/>
              <w:rPr>
                <w:b/>
                <w:bCs/>
                <w:color w:val="000000"/>
                <w:sz w:val="22"/>
                <w:szCs w:val="22"/>
                <w:lang w:val="ga"/>
              </w:rPr>
            </w:pPr>
          </w:p>
        </w:tc>
        <w:tc>
          <w:tcPr>
            <w:tcW w:w="1653" w:type="dxa"/>
          </w:tcPr>
          <w:p w14:paraId="1A8AD50E" w14:textId="77777777" w:rsidR="00E57050" w:rsidRDefault="00E57050" w:rsidP="00480DF0">
            <w:pPr>
              <w:keepNext/>
              <w:spacing w:after="0"/>
              <w:jc w:val="right"/>
              <w:rPr>
                <w:b/>
                <w:bCs/>
                <w:color w:val="000000"/>
                <w:sz w:val="22"/>
                <w:szCs w:val="22"/>
                <w:lang w:val="ga"/>
              </w:rPr>
            </w:pPr>
          </w:p>
        </w:tc>
        <w:tc>
          <w:tcPr>
            <w:tcW w:w="1418" w:type="dxa"/>
          </w:tcPr>
          <w:p w14:paraId="5B1C4024" w14:textId="77777777" w:rsidR="00E57050" w:rsidRDefault="00E57050" w:rsidP="00480DF0">
            <w:pPr>
              <w:keepNext/>
              <w:spacing w:after="0"/>
              <w:jc w:val="right"/>
              <w:rPr>
                <w:b/>
                <w:bCs/>
                <w:color w:val="000000"/>
                <w:sz w:val="22"/>
                <w:szCs w:val="22"/>
                <w:lang w:val="ga"/>
              </w:rPr>
            </w:pPr>
          </w:p>
        </w:tc>
        <w:tc>
          <w:tcPr>
            <w:tcW w:w="1276" w:type="dxa"/>
          </w:tcPr>
          <w:p w14:paraId="65D59EE9" w14:textId="77777777" w:rsidR="00E57050" w:rsidRDefault="00E57050" w:rsidP="00480DF0">
            <w:pPr>
              <w:keepNext/>
              <w:spacing w:after="0"/>
              <w:jc w:val="right"/>
              <w:rPr>
                <w:b/>
                <w:bCs/>
                <w:color w:val="000000"/>
                <w:sz w:val="22"/>
                <w:szCs w:val="22"/>
                <w:lang w:val="ga"/>
              </w:rPr>
            </w:pPr>
          </w:p>
        </w:tc>
        <w:tc>
          <w:tcPr>
            <w:tcW w:w="1564" w:type="dxa"/>
          </w:tcPr>
          <w:p w14:paraId="4F3E37D2" w14:textId="77777777" w:rsidR="00E57050" w:rsidRDefault="00E57050" w:rsidP="005A19F6">
            <w:pPr>
              <w:keepNext/>
              <w:spacing w:after="0"/>
              <w:jc w:val="right"/>
              <w:rPr>
                <w:b/>
                <w:bCs/>
                <w:color w:val="000000"/>
                <w:sz w:val="22"/>
                <w:szCs w:val="22"/>
                <w:lang w:val="ga"/>
              </w:rPr>
            </w:pPr>
          </w:p>
        </w:tc>
      </w:tr>
      <w:tr w:rsidR="00480DF0" w:rsidRPr="004700D9" w14:paraId="1DA9E52F" w14:textId="7855D0DB" w:rsidTr="00E57050">
        <w:tc>
          <w:tcPr>
            <w:tcW w:w="1828" w:type="dxa"/>
          </w:tcPr>
          <w:p w14:paraId="549CD976" w14:textId="4AAD165E" w:rsidR="00480DF0" w:rsidRPr="004700D9" w:rsidRDefault="00F81913" w:rsidP="006E0F84">
            <w:pPr>
              <w:keepNext/>
              <w:spacing w:after="0"/>
              <w:rPr>
                <w:b/>
                <w:color w:val="000000"/>
                <w:sz w:val="22"/>
                <w:szCs w:val="22"/>
              </w:rPr>
            </w:pPr>
            <w:r>
              <w:rPr>
                <w:b/>
                <w:bCs/>
                <w:color w:val="000000"/>
                <w:sz w:val="22"/>
                <w:szCs w:val="22"/>
                <w:lang w:val="ga"/>
              </w:rPr>
              <w:t>Comhlachtaí Poiblí a bhfuil Státseirbhísigh mar Fhoireann dóibh 2022</w:t>
            </w:r>
          </w:p>
        </w:tc>
        <w:tc>
          <w:tcPr>
            <w:tcW w:w="1559" w:type="dxa"/>
          </w:tcPr>
          <w:p w14:paraId="22237F66" w14:textId="40966EFA" w:rsidR="00480DF0" w:rsidRPr="004700D9" w:rsidRDefault="00144BC8" w:rsidP="00480DF0">
            <w:pPr>
              <w:keepNext/>
              <w:spacing w:after="0"/>
              <w:jc w:val="right"/>
              <w:rPr>
                <w:color w:val="000000"/>
                <w:sz w:val="22"/>
                <w:szCs w:val="22"/>
              </w:rPr>
            </w:pPr>
            <w:r>
              <w:rPr>
                <w:color w:val="000000"/>
                <w:sz w:val="22"/>
                <w:szCs w:val="22"/>
                <w:lang w:val="ga"/>
              </w:rPr>
              <w:t>17,385</w:t>
            </w:r>
          </w:p>
        </w:tc>
        <w:tc>
          <w:tcPr>
            <w:tcW w:w="1418" w:type="dxa"/>
          </w:tcPr>
          <w:p w14:paraId="46DB3423" w14:textId="72E0D2C8" w:rsidR="00480DF0" w:rsidRPr="004700D9" w:rsidRDefault="00144BC8" w:rsidP="00144BC8">
            <w:pPr>
              <w:keepNext/>
              <w:spacing w:after="0"/>
              <w:jc w:val="right"/>
              <w:rPr>
                <w:color w:val="000000"/>
                <w:sz w:val="22"/>
                <w:szCs w:val="22"/>
              </w:rPr>
            </w:pPr>
            <w:r>
              <w:rPr>
                <w:color w:val="000000"/>
                <w:sz w:val="22"/>
                <w:szCs w:val="22"/>
                <w:lang w:val="ga"/>
              </w:rPr>
              <w:t>936</w:t>
            </w:r>
          </w:p>
        </w:tc>
        <w:tc>
          <w:tcPr>
            <w:tcW w:w="1653" w:type="dxa"/>
          </w:tcPr>
          <w:p w14:paraId="626BF283" w14:textId="77043187" w:rsidR="00480DF0" w:rsidRPr="004700D9" w:rsidRDefault="00144BC8" w:rsidP="00480DF0">
            <w:pPr>
              <w:keepNext/>
              <w:spacing w:after="0"/>
              <w:jc w:val="right"/>
              <w:rPr>
                <w:color w:val="000000"/>
                <w:sz w:val="22"/>
                <w:szCs w:val="22"/>
              </w:rPr>
            </w:pPr>
            <w:r>
              <w:rPr>
                <w:color w:val="000000"/>
                <w:sz w:val="22"/>
                <w:szCs w:val="22"/>
                <w:lang w:val="ga"/>
              </w:rPr>
              <w:t>5.4%</w:t>
            </w:r>
          </w:p>
        </w:tc>
        <w:tc>
          <w:tcPr>
            <w:tcW w:w="1418" w:type="dxa"/>
          </w:tcPr>
          <w:p w14:paraId="62437696" w14:textId="7C2CC33E" w:rsidR="00480DF0" w:rsidRPr="004700D9" w:rsidRDefault="00144BC8" w:rsidP="00480DF0">
            <w:pPr>
              <w:keepNext/>
              <w:spacing w:after="0"/>
              <w:jc w:val="right"/>
              <w:rPr>
                <w:color w:val="000000"/>
                <w:sz w:val="22"/>
                <w:szCs w:val="22"/>
              </w:rPr>
            </w:pPr>
            <w:r>
              <w:rPr>
                <w:color w:val="000000"/>
                <w:sz w:val="22"/>
                <w:szCs w:val="22"/>
                <w:lang w:val="ga"/>
              </w:rPr>
              <w:t>6.7%</w:t>
            </w:r>
          </w:p>
        </w:tc>
        <w:tc>
          <w:tcPr>
            <w:tcW w:w="1276" w:type="dxa"/>
          </w:tcPr>
          <w:p w14:paraId="51294104" w14:textId="07FE8F05" w:rsidR="00480DF0" w:rsidRPr="004700D9" w:rsidRDefault="00144BC8" w:rsidP="00480DF0">
            <w:pPr>
              <w:keepNext/>
              <w:spacing w:after="0"/>
              <w:jc w:val="right"/>
              <w:rPr>
                <w:color w:val="000000"/>
                <w:sz w:val="22"/>
                <w:szCs w:val="22"/>
              </w:rPr>
            </w:pPr>
            <w:r>
              <w:rPr>
                <w:color w:val="000000"/>
                <w:sz w:val="22"/>
                <w:szCs w:val="22"/>
                <w:lang w:val="ga"/>
              </w:rPr>
              <w:t>85.0%</w:t>
            </w:r>
          </w:p>
        </w:tc>
        <w:tc>
          <w:tcPr>
            <w:tcW w:w="1564" w:type="dxa"/>
          </w:tcPr>
          <w:p w14:paraId="36B01F34" w14:textId="3E7DD152" w:rsidR="00480DF0" w:rsidRPr="004700D9" w:rsidRDefault="00144BC8" w:rsidP="00480DF0">
            <w:pPr>
              <w:keepNext/>
              <w:spacing w:after="0"/>
              <w:jc w:val="right"/>
              <w:rPr>
                <w:color w:val="000000"/>
                <w:sz w:val="22"/>
                <w:szCs w:val="22"/>
              </w:rPr>
            </w:pPr>
            <w:r>
              <w:rPr>
                <w:color w:val="000000"/>
                <w:sz w:val="22"/>
                <w:szCs w:val="22"/>
                <w:lang w:val="ga"/>
              </w:rPr>
              <w:t>40</w:t>
            </w:r>
          </w:p>
        </w:tc>
      </w:tr>
      <w:tr w:rsidR="00480DF0" w:rsidRPr="004700D9" w14:paraId="20BD8BC9" w14:textId="4AB76AC3" w:rsidTr="00E57050">
        <w:tc>
          <w:tcPr>
            <w:tcW w:w="1828" w:type="dxa"/>
          </w:tcPr>
          <w:p w14:paraId="19CA0701" w14:textId="470766B0" w:rsidR="00480DF0" w:rsidRPr="004700D9" w:rsidRDefault="0072463C" w:rsidP="00480DF0">
            <w:pPr>
              <w:keepNext/>
              <w:spacing w:after="0"/>
              <w:rPr>
                <w:b/>
                <w:color w:val="000000"/>
                <w:sz w:val="22"/>
                <w:szCs w:val="22"/>
              </w:rPr>
            </w:pPr>
            <w:r>
              <w:rPr>
                <w:b/>
                <w:bCs/>
                <w:color w:val="000000"/>
                <w:sz w:val="22"/>
                <w:szCs w:val="22"/>
                <w:lang w:val="ga"/>
              </w:rPr>
              <w:t>Comhlachtaí Poiblí a bhfuil Státseirbhísigh mar Fhoireann dóibh 2021</w:t>
            </w:r>
          </w:p>
        </w:tc>
        <w:tc>
          <w:tcPr>
            <w:tcW w:w="1559" w:type="dxa"/>
          </w:tcPr>
          <w:p w14:paraId="3CE37F19" w14:textId="1E6D765D" w:rsidR="00480DF0" w:rsidRPr="004700D9" w:rsidRDefault="00480DF0" w:rsidP="00480DF0">
            <w:pPr>
              <w:keepNext/>
              <w:spacing w:after="0"/>
              <w:jc w:val="right"/>
              <w:rPr>
                <w:rFonts w:cs="Arial"/>
                <w:bCs/>
                <w:color w:val="000000"/>
                <w:sz w:val="22"/>
                <w:szCs w:val="22"/>
              </w:rPr>
            </w:pPr>
            <w:r>
              <w:rPr>
                <w:rFonts w:cs="Arial"/>
                <w:color w:val="000000"/>
                <w:sz w:val="22"/>
                <w:szCs w:val="22"/>
                <w:lang w:val="ga"/>
              </w:rPr>
              <w:t>16,725</w:t>
            </w:r>
          </w:p>
          <w:p w14:paraId="7A87335B" w14:textId="77777777" w:rsidR="00480DF0" w:rsidRPr="004700D9" w:rsidRDefault="00480DF0" w:rsidP="00480DF0">
            <w:pPr>
              <w:keepNext/>
              <w:spacing w:after="0"/>
              <w:jc w:val="right"/>
              <w:rPr>
                <w:color w:val="000000"/>
                <w:sz w:val="22"/>
                <w:szCs w:val="22"/>
              </w:rPr>
            </w:pPr>
          </w:p>
        </w:tc>
        <w:tc>
          <w:tcPr>
            <w:tcW w:w="1418" w:type="dxa"/>
          </w:tcPr>
          <w:p w14:paraId="2FCA20F9" w14:textId="29FC6B5C" w:rsidR="00480DF0" w:rsidRPr="004700D9" w:rsidRDefault="00DF2EBC" w:rsidP="00480DF0">
            <w:pPr>
              <w:keepNext/>
              <w:spacing w:after="0"/>
              <w:jc w:val="right"/>
              <w:rPr>
                <w:color w:val="000000"/>
                <w:sz w:val="22"/>
                <w:szCs w:val="22"/>
              </w:rPr>
            </w:pPr>
            <w:r>
              <w:rPr>
                <w:rFonts w:cs="Arial"/>
                <w:color w:val="000000"/>
                <w:sz w:val="22"/>
                <w:szCs w:val="22"/>
                <w:lang w:val="ga"/>
              </w:rPr>
              <w:t>773</w:t>
            </w:r>
          </w:p>
        </w:tc>
        <w:tc>
          <w:tcPr>
            <w:tcW w:w="1653" w:type="dxa"/>
          </w:tcPr>
          <w:p w14:paraId="785FAE1F" w14:textId="0F89B17D" w:rsidR="00480DF0" w:rsidRPr="004700D9" w:rsidRDefault="00DF2EBC" w:rsidP="00480DF0">
            <w:pPr>
              <w:keepNext/>
              <w:spacing w:after="0"/>
              <w:jc w:val="right"/>
              <w:rPr>
                <w:color w:val="000000"/>
                <w:sz w:val="22"/>
                <w:szCs w:val="22"/>
              </w:rPr>
            </w:pPr>
            <w:r>
              <w:rPr>
                <w:rFonts w:cs="Arial"/>
                <w:sz w:val="22"/>
                <w:szCs w:val="22"/>
                <w:lang w:val="ga"/>
              </w:rPr>
              <w:t>4.6%</w:t>
            </w:r>
          </w:p>
        </w:tc>
        <w:tc>
          <w:tcPr>
            <w:tcW w:w="1418" w:type="dxa"/>
          </w:tcPr>
          <w:p w14:paraId="09A7C7E9" w14:textId="0B071602" w:rsidR="00480DF0" w:rsidRPr="004700D9" w:rsidRDefault="00DF2EBC" w:rsidP="00480DF0">
            <w:pPr>
              <w:keepNext/>
              <w:spacing w:after="0"/>
              <w:jc w:val="right"/>
              <w:rPr>
                <w:color w:val="000000"/>
                <w:sz w:val="22"/>
                <w:szCs w:val="22"/>
              </w:rPr>
            </w:pPr>
            <w:r>
              <w:rPr>
                <w:rFonts w:cs="Arial"/>
                <w:sz w:val="22"/>
                <w:szCs w:val="22"/>
                <w:lang w:val="ga"/>
              </w:rPr>
              <w:t>6.6%</w:t>
            </w:r>
          </w:p>
        </w:tc>
        <w:tc>
          <w:tcPr>
            <w:tcW w:w="1276" w:type="dxa"/>
          </w:tcPr>
          <w:p w14:paraId="04ACF7CF" w14:textId="002D2E37" w:rsidR="00480DF0" w:rsidRPr="004700D9" w:rsidRDefault="00DF2EBC" w:rsidP="00480DF0">
            <w:pPr>
              <w:keepNext/>
              <w:spacing w:after="0"/>
              <w:jc w:val="right"/>
              <w:rPr>
                <w:color w:val="000000"/>
                <w:sz w:val="22"/>
                <w:szCs w:val="22"/>
              </w:rPr>
            </w:pPr>
            <w:r>
              <w:rPr>
                <w:rFonts w:cs="Arial"/>
                <w:sz w:val="22"/>
                <w:szCs w:val="22"/>
                <w:lang w:val="ga"/>
              </w:rPr>
              <w:t>80.0%</w:t>
            </w:r>
          </w:p>
        </w:tc>
        <w:tc>
          <w:tcPr>
            <w:tcW w:w="1564" w:type="dxa"/>
          </w:tcPr>
          <w:p w14:paraId="7AAB8295" w14:textId="14C4CD43" w:rsidR="00480DF0" w:rsidRPr="004700D9" w:rsidRDefault="00DF2EBC" w:rsidP="00480DF0">
            <w:pPr>
              <w:keepNext/>
              <w:spacing w:after="0"/>
              <w:jc w:val="right"/>
              <w:rPr>
                <w:color w:val="000000"/>
                <w:sz w:val="22"/>
                <w:szCs w:val="22"/>
              </w:rPr>
            </w:pPr>
            <w:r>
              <w:rPr>
                <w:rFonts w:cs="Arial"/>
                <w:color w:val="000000"/>
                <w:sz w:val="22"/>
                <w:szCs w:val="22"/>
                <w:lang w:val="ga"/>
              </w:rPr>
              <w:t>40</w:t>
            </w:r>
          </w:p>
        </w:tc>
      </w:tr>
      <w:tr w:rsidR="00480DF0" w:rsidRPr="004700D9" w14:paraId="4A9F27C1" w14:textId="639BAF25" w:rsidTr="00E57050">
        <w:tc>
          <w:tcPr>
            <w:tcW w:w="1828" w:type="dxa"/>
          </w:tcPr>
          <w:p w14:paraId="22A86906" w14:textId="61F334BB" w:rsidR="00480DF0" w:rsidRPr="004700D9" w:rsidRDefault="0072463C" w:rsidP="00480DF0">
            <w:pPr>
              <w:keepNext/>
              <w:spacing w:after="0"/>
              <w:rPr>
                <w:b/>
                <w:color w:val="000000"/>
                <w:sz w:val="22"/>
                <w:szCs w:val="22"/>
              </w:rPr>
            </w:pPr>
            <w:r>
              <w:rPr>
                <w:b/>
                <w:bCs/>
                <w:color w:val="000000"/>
                <w:sz w:val="22"/>
                <w:szCs w:val="22"/>
                <w:lang w:val="ga"/>
              </w:rPr>
              <w:t>Athrú 2021/2022</w:t>
            </w:r>
          </w:p>
        </w:tc>
        <w:tc>
          <w:tcPr>
            <w:tcW w:w="1559" w:type="dxa"/>
          </w:tcPr>
          <w:p w14:paraId="31D1DE34" w14:textId="028B9DE9" w:rsidR="00480DF0" w:rsidRPr="004700D9" w:rsidRDefault="00971095" w:rsidP="00866172">
            <w:pPr>
              <w:keepNext/>
              <w:spacing w:after="0"/>
              <w:jc w:val="right"/>
              <w:rPr>
                <w:b/>
                <w:color w:val="000000"/>
                <w:sz w:val="22"/>
                <w:szCs w:val="22"/>
              </w:rPr>
            </w:pPr>
            <w:r>
              <w:rPr>
                <w:b/>
                <w:bCs/>
                <w:color w:val="000000"/>
                <w:sz w:val="22"/>
                <w:szCs w:val="22"/>
                <w:lang w:val="ga"/>
              </w:rPr>
              <w:t>+660</w:t>
            </w:r>
          </w:p>
        </w:tc>
        <w:tc>
          <w:tcPr>
            <w:tcW w:w="1418" w:type="dxa"/>
          </w:tcPr>
          <w:p w14:paraId="5B462E41" w14:textId="41359AE8" w:rsidR="00480DF0" w:rsidRPr="004700D9" w:rsidRDefault="00971095" w:rsidP="00866172">
            <w:pPr>
              <w:keepNext/>
              <w:spacing w:after="0"/>
              <w:jc w:val="right"/>
              <w:rPr>
                <w:b/>
                <w:color w:val="000000"/>
                <w:sz w:val="22"/>
                <w:szCs w:val="22"/>
              </w:rPr>
            </w:pPr>
            <w:r>
              <w:rPr>
                <w:b/>
                <w:bCs/>
                <w:color w:val="000000"/>
                <w:sz w:val="22"/>
                <w:szCs w:val="22"/>
                <w:lang w:val="ga"/>
              </w:rPr>
              <w:t>+163</w:t>
            </w:r>
          </w:p>
        </w:tc>
        <w:tc>
          <w:tcPr>
            <w:tcW w:w="1653" w:type="dxa"/>
          </w:tcPr>
          <w:p w14:paraId="2E696AC0" w14:textId="40849704" w:rsidR="00480DF0" w:rsidRPr="004700D9" w:rsidRDefault="00971095" w:rsidP="00866172">
            <w:pPr>
              <w:keepNext/>
              <w:spacing w:after="0"/>
              <w:jc w:val="right"/>
              <w:rPr>
                <w:b/>
                <w:color w:val="000000"/>
                <w:sz w:val="22"/>
                <w:szCs w:val="22"/>
              </w:rPr>
            </w:pPr>
            <w:r>
              <w:rPr>
                <w:b/>
                <w:bCs/>
                <w:color w:val="000000"/>
                <w:sz w:val="22"/>
                <w:szCs w:val="22"/>
                <w:lang w:val="ga"/>
              </w:rPr>
              <w:t>+0.8%</w:t>
            </w:r>
          </w:p>
        </w:tc>
        <w:tc>
          <w:tcPr>
            <w:tcW w:w="1418" w:type="dxa"/>
          </w:tcPr>
          <w:p w14:paraId="1D311A40" w14:textId="39A2520A" w:rsidR="00480DF0" w:rsidRPr="004700D9" w:rsidRDefault="00971095" w:rsidP="00866172">
            <w:pPr>
              <w:keepNext/>
              <w:spacing w:after="0"/>
              <w:jc w:val="right"/>
              <w:rPr>
                <w:b/>
                <w:color w:val="000000"/>
                <w:sz w:val="22"/>
                <w:szCs w:val="22"/>
              </w:rPr>
            </w:pPr>
            <w:r>
              <w:rPr>
                <w:b/>
                <w:bCs/>
                <w:color w:val="000000"/>
                <w:sz w:val="22"/>
                <w:szCs w:val="22"/>
                <w:lang w:val="ga"/>
              </w:rPr>
              <w:t>+0.1%</w:t>
            </w:r>
          </w:p>
        </w:tc>
        <w:tc>
          <w:tcPr>
            <w:tcW w:w="1276" w:type="dxa"/>
          </w:tcPr>
          <w:p w14:paraId="7FC8BC33" w14:textId="23321E74" w:rsidR="00480DF0" w:rsidRPr="004700D9" w:rsidRDefault="00971095" w:rsidP="00866172">
            <w:pPr>
              <w:keepNext/>
              <w:spacing w:after="0"/>
              <w:jc w:val="right"/>
              <w:rPr>
                <w:b/>
                <w:color w:val="000000"/>
                <w:sz w:val="22"/>
                <w:szCs w:val="22"/>
              </w:rPr>
            </w:pPr>
            <w:r>
              <w:rPr>
                <w:b/>
                <w:bCs/>
                <w:color w:val="000000"/>
                <w:sz w:val="22"/>
                <w:szCs w:val="22"/>
                <w:lang w:val="ga"/>
              </w:rPr>
              <w:t>+5.0%</w:t>
            </w:r>
          </w:p>
        </w:tc>
        <w:tc>
          <w:tcPr>
            <w:tcW w:w="1564" w:type="dxa"/>
          </w:tcPr>
          <w:p w14:paraId="52E8DE26" w14:textId="55C2D085" w:rsidR="00480DF0" w:rsidRPr="004700D9" w:rsidRDefault="00144BC8" w:rsidP="00866172">
            <w:pPr>
              <w:keepNext/>
              <w:spacing w:after="0"/>
              <w:jc w:val="right"/>
              <w:rPr>
                <w:b/>
                <w:color w:val="000000"/>
                <w:sz w:val="22"/>
                <w:szCs w:val="22"/>
              </w:rPr>
            </w:pPr>
            <w:r>
              <w:rPr>
                <w:b/>
                <w:bCs/>
                <w:color w:val="000000"/>
                <w:sz w:val="22"/>
                <w:szCs w:val="22"/>
                <w:lang w:val="ga"/>
              </w:rPr>
              <w:t>0</w:t>
            </w:r>
          </w:p>
        </w:tc>
      </w:tr>
      <w:tr w:rsidR="00E57050" w:rsidRPr="004700D9" w14:paraId="0CAFADA4" w14:textId="77777777" w:rsidTr="00E57050">
        <w:tc>
          <w:tcPr>
            <w:tcW w:w="1828" w:type="dxa"/>
          </w:tcPr>
          <w:p w14:paraId="03DADFDA" w14:textId="77777777" w:rsidR="00E57050" w:rsidRDefault="00E57050" w:rsidP="00480DF0">
            <w:pPr>
              <w:keepNext/>
              <w:spacing w:after="0"/>
              <w:rPr>
                <w:b/>
                <w:bCs/>
                <w:color w:val="000000"/>
                <w:sz w:val="22"/>
                <w:szCs w:val="22"/>
                <w:lang w:val="ga"/>
              </w:rPr>
            </w:pPr>
          </w:p>
        </w:tc>
        <w:tc>
          <w:tcPr>
            <w:tcW w:w="1559" w:type="dxa"/>
          </w:tcPr>
          <w:p w14:paraId="7ECA4EC9" w14:textId="77777777" w:rsidR="00E57050" w:rsidRDefault="00E57050" w:rsidP="00866172">
            <w:pPr>
              <w:keepNext/>
              <w:spacing w:after="0"/>
              <w:jc w:val="right"/>
              <w:rPr>
                <w:b/>
                <w:bCs/>
                <w:color w:val="000000"/>
                <w:sz w:val="22"/>
                <w:szCs w:val="22"/>
                <w:lang w:val="ga"/>
              </w:rPr>
            </w:pPr>
          </w:p>
        </w:tc>
        <w:tc>
          <w:tcPr>
            <w:tcW w:w="1418" w:type="dxa"/>
          </w:tcPr>
          <w:p w14:paraId="323D75BF" w14:textId="77777777" w:rsidR="00E57050" w:rsidRDefault="00E57050" w:rsidP="00866172">
            <w:pPr>
              <w:keepNext/>
              <w:spacing w:after="0"/>
              <w:jc w:val="right"/>
              <w:rPr>
                <w:b/>
                <w:bCs/>
                <w:color w:val="000000"/>
                <w:sz w:val="22"/>
                <w:szCs w:val="22"/>
                <w:lang w:val="ga"/>
              </w:rPr>
            </w:pPr>
          </w:p>
        </w:tc>
        <w:tc>
          <w:tcPr>
            <w:tcW w:w="1653" w:type="dxa"/>
          </w:tcPr>
          <w:p w14:paraId="7ADAFC9F" w14:textId="77777777" w:rsidR="00E57050" w:rsidRDefault="00E57050" w:rsidP="00866172">
            <w:pPr>
              <w:keepNext/>
              <w:spacing w:after="0"/>
              <w:jc w:val="right"/>
              <w:rPr>
                <w:b/>
                <w:bCs/>
                <w:color w:val="000000"/>
                <w:sz w:val="22"/>
                <w:szCs w:val="22"/>
                <w:lang w:val="ga"/>
              </w:rPr>
            </w:pPr>
          </w:p>
        </w:tc>
        <w:tc>
          <w:tcPr>
            <w:tcW w:w="1418" w:type="dxa"/>
          </w:tcPr>
          <w:p w14:paraId="3E1A509B" w14:textId="77777777" w:rsidR="00E57050" w:rsidRDefault="00E57050" w:rsidP="00866172">
            <w:pPr>
              <w:keepNext/>
              <w:spacing w:after="0"/>
              <w:jc w:val="right"/>
              <w:rPr>
                <w:b/>
                <w:bCs/>
                <w:color w:val="000000"/>
                <w:sz w:val="22"/>
                <w:szCs w:val="22"/>
                <w:lang w:val="ga"/>
              </w:rPr>
            </w:pPr>
          </w:p>
        </w:tc>
        <w:tc>
          <w:tcPr>
            <w:tcW w:w="1276" w:type="dxa"/>
          </w:tcPr>
          <w:p w14:paraId="12931311" w14:textId="77777777" w:rsidR="00E57050" w:rsidRDefault="00E57050" w:rsidP="00866172">
            <w:pPr>
              <w:keepNext/>
              <w:spacing w:after="0"/>
              <w:jc w:val="right"/>
              <w:rPr>
                <w:b/>
                <w:bCs/>
                <w:color w:val="000000"/>
                <w:sz w:val="22"/>
                <w:szCs w:val="22"/>
                <w:lang w:val="ga"/>
              </w:rPr>
            </w:pPr>
          </w:p>
        </w:tc>
        <w:tc>
          <w:tcPr>
            <w:tcW w:w="1564" w:type="dxa"/>
          </w:tcPr>
          <w:p w14:paraId="2F4F34F7" w14:textId="77777777" w:rsidR="00E57050" w:rsidRDefault="00E57050" w:rsidP="00866172">
            <w:pPr>
              <w:keepNext/>
              <w:spacing w:after="0"/>
              <w:jc w:val="right"/>
              <w:rPr>
                <w:b/>
                <w:bCs/>
                <w:color w:val="000000"/>
                <w:sz w:val="22"/>
                <w:szCs w:val="22"/>
                <w:lang w:val="ga"/>
              </w:rPr>
            </w:pPr>
          </w:p>
        </w:tc>
      </w:tr>
      <w:tr w:rsidR="00480DF0" w:rsidRPr="004700D9" w14:paraId="068D0153" w14:textId="781EB4AC" w:rsidTr="00E57050">
        <w:tc>
          <w:tcPr>
            <w:tcW w:w="1828" w:type="dxa"/>
          </w:tcPr>
          <w:p w14:paraId="1DB7C10F" w14:textId="0518B30D" w:rsidR="00480DF0" w:rsidRPr="004700D9" w:rsidRDefault="00F81913" w:rsidP="00480DF0">
            <w:pPr>
              <w:keepNext/>
              <w:spacing w:after="0"/>
              <w:rPr>
                <w:b/>
                <w:color w:val="000000"/>
                <w:sz w:val="22"/>
                <w:szCs w:val="22"/>
              </w:rPr>
            </w:pPr>
            <w:r>
              <w:rPr>
                <w:b/>
                <w:bCs/>
                <w:color w:val="000000"/>
                <w:sz w:val="22"/>
                <w:szCs w:val="22"/>
                <w:lang w:val="ga"/>
              </w:rPr>
              <w:t>Iomláin 2022</w:t>
            </w:r>
          </w:p>
        </w:tc>
        <w:tc>
          <w:tcPr>
            <w:tcW w:w="1559" w:type="dxa"/>
          </w:tcPr>
          <w:p w14:paraId="299D971C" w14:textId="487CCDDB" w:rsidR="00480DF0" w:rsidRPr="004700D9" w:rsidRDefault="00144BC8" w:rsidP="00480DF0">
            <w:pPr>
              <w:keepNext/>
              <w:spacing w:after="0"/>
              <w:jc w:val="right"/>
              <w:rPr>
                <w:color w:val="000000"/>
                <w:sz w:val="22"/>
                <w:szCs w:val="22"/>
              </w:rPr>
            </w:pPr>
            <w:r>
              <w:rPr>
                <w:color w:val="000000"/>
                <w:sz w:val="22"/>
                <w:szCs w:val="22"/>
                <w:lang w:val="ga"/>
              </w:rPr>
              <w:t>260,434</w:t>
            </w:r>
          </w:p>
        </w:tc>
        <w:tc>
          <w:tcPr>
            <w:tcW w:w="1418" w:type="dxa"/>
          </w:tcPr>
          <w:p w14:paraId="1DBADCF9" w14:textId="1FB43FBA" w:rsidR="00480DF0" w:rsidRPr="004700D9" w:rsidRDefault="00144BC8" w:rsidP="00F81913">
            <w:pPr>
              <w:keepNext/>
              <w:spacing w:after="0"/>
              <w:jc w:val="right"/>
              <w:rPr>
                <w:color w:val="000000"/>
                <w:sz w:val="22"/>
                <w:szCs w:val="22"/>
              </w:rPr>
            </w:pPr>
            <w:r>
              <w:rPr>
                <w:color w:val="000000"/>
                <w:sz w:val="22"/>
                <w:szCs w:val="22"/>
                <w:lang w:val="ga"/>
              </w:rPr>
              <w:t>10,631</w:t>
            </w:r>
          </w:p>
        </w:tc>
        <w:tc>
          <w:tcPr>
            <w:tcW w:w="1653" w:type="dxa"/>
          </w:tcPr>
          <w:p w14:paraId="24BC0118" w14:textId="4692FBCA" w:rsidR="00480DF0" w:rsidRPr="004700D9" w:rsidRDefault="00144BC8" w:rsidP="00480DF0">
            <w:pPr>
              <w:keepNext/>
              <w:spacing w:after="0"/>
              <w:jc w:val="right"/>
              <w:rPr>
                <w:color w:val="000000"/>
                <w:sz w:val="22"/>
                <w:szCs w:val="22"/>
              </w:rPr>
            </w:pPr>
            <w:r>
              <w:rPr>
                <w:color w:val="000000"/>
                <w:sz w:val="22"/>
                <w:szCs w:val="22"/>
                <w:lang w:val="ga"/>
              </w:rPr>
              <w:t>4.1%</w:t>
            </w:r>
          </w:p>
        </w:tc>
        <w:tc>
          <w:tcPr>
            <w:tcW w:w="1418" w:type="dxa"/>
          </w:tcPr>
          <w:p w14:paraId="5B82B7E1" w14:textId="3FC755A4" w:rsidR="00480DF0" w:rsidRPr="004700D9" w:rsidRDefault="00144BC8" w:rsidP="00480DF0">
            <w:pPr>
              <w:keepNext/>
              <w:spacing w:after="0"/>
              <w:jc w:val="right"/>
              <w:rPr>
                <w:color w:val="000000"/>
                <w:sz w:val="22"/>
                <w:szCs w:val="22"/>
              </w:rPr>
            </w:pPr>
            <w:r>
              <w:rPr>
                <w:color w:val="000000"/>
                <w:sz w:val="22"/>
                <w:szCs w:val="22"/>
                <w:lang w:val="ga"/>
              </w:rPr>
              <w:t>100.0%</w:t>
            </w:r>
          </w:p>
        </w:tc>
        <w:tc>
          <w:tcPr>
            <w:tcW w:w="1276" w:type="dxa"/>
          </w:tcPr>
          <w:p w14:paraId="40D51B7D" w14:textId="20642063" w:rsidR="00480DF0" w:rsidRPr="004700D9" w:rsidRDefault="00144BC8" w:rsidP="00480DF0">
            <w:pPr>
              <w:keepNext/>
              <w:spacing w:after="0"/>
              <w:jc w:val="right"/>
              <w:rPr>
                <w:color w:val="000000"/>
                <w:sz w:val="22"/>
                <w:szCs w:val="22"/>
              </w:rPr>
            </w:pPr>
            <w:r>
              <w:rPr>
                <w:color w:val="000000"/>
                <w:sz w:val="22"/>
                <w:szCs w:val="22"/>
                <w:lang w:val="ga"/>
              </w:rPr>
              <w:t>90.6%</w:t>
            </w:r>
          </w:p>
        </w:tc>
        <w:tc>
          <w:tcPr>
            <w:tcW w:w="1564" w:type="dxa"/>
          </w:tcPr>
          <w:p w14:paraId="4A8C61B4" w14:textId="2DDFC8B9" w:rsidR="00480DF0" w:rsidRPr="004700D9" w:rsidRDefault="00F81913" w:rsidP="00480DF0">
            <w:pPr>
              <w:keepNext/>
              <w:spacing w:after="0"/>
              <w:jc w:val="right"/>
              <w:rPr>
                <w:color w:val="000000"/>
                <w:sz w:val="22"/>
                <w:szCs w:val="22"/>
              </w:rPr>
            </w:pPr>
            <w:r>
              <w:rPr>
                <w:color w:val="000000"/>
                <w:sz w:val="22"/>
                <w:szCs w:val="22"/>
                <w:lang w:val="ga"/>
              </w:rPr>
              <w:t>213</w:t>
            </w:r>
          </w:p>
        </w:tc>
      </w:tr>
      <w:tr w:rsidR="00480DF0" w:rsidRPr="004700D9" w14:paraId="6BC01FC2" w14:textId="7F86C05B" w:rsidTr="00E57050">
        <w:tc>
          <w:tcPr>
            <w:tcW w:w="1828" w:type="dxa"/>
          </w:tcPr>
          <w:p w14:paraId="6A7872D7" w14:textId="650695AA" w:rsidR="00480DF0" w:rsidRPr="004700D9" w:rsidRDefault="0072463C" w:rsidP="00480DF0">
            <w:pPr>
              <w:keepNext/>
              <w:spacing w:after="0"/>
              <w:rPr>
                <w:b/>
                <w:color w:val="000000"/>
                <w:sz w:val="22"/>
                <w:szCs w:val="22"/>
              </w:rPr>
            </w:pPr>
            <w:r>
              <w:rPr>
                <w:b/>
                <w:bCs/>
                <w:color w:val="000000"/>
                <w:sz w:val="22"/>
                <w:szCs w:val="22"/>
                <w:lang w:val="ga"/>
              </w:rPr>
              <w:t>Iomláin 2021</w:t>
            </w:r>
          </w:p>
        </w:tc>
        <w:tc>
          <w:tcPr>
            <w:tcW w:w="1559" w:type="dxa"/>
          </w:tcPr>
          <w:p w14:paraId="5624EC11" w14:textId="4ECF04E7" w:rsidR="00480DF0" w:rsidRPr="004700D9" w:rsidRDefault="004247D8" w:rsidP="00480DF0">
            <w:pPr>
              <w:keepNext/>
              <w:spacing w:after="0"/>
              <w:jc w:val="right"/>
              <w:rPr>
                <w:sz w:val="22"/>
                <w:szCs w:val="22"/>
              </w:rPr>
            </w:pPr>
            <w:r>
              <w:rPr>
                <w:sz w:val="22"/>
                <w:szCs w:val="22"/>
                <w:lang w:val="ga"/>
              </w:rPr>
              <w:t>251,552</w:t>
            </w:r>
          </w:p>
          <w:p w14:paraId="29DA89F5" w14:textId="358E9CC2" w:rsidR="00480DF0" w:rsidRPr="004700D9" w:rsidRDefault="00480DF0" w:rsidP="00480DF0">
            <w:pPr>
              <w:keepNext/>
              <w:spacing w:after="0"/>
              <w:jc w:val="right"/>
              <w:rPr>
                <w:color w:val="000000"/>
                <w:sz w:val="22"/>
                <w:szCs w:val="22"/>
              </w:rPr>
            </w:pPr>
          </w:p>
        </w:tc>
        <w:tc>
          <w:tcPr>
            <w:tcW w:w="1418" w:type="dxa"/>
          </w:tcPr>
          <w:p w14:paraId="3FEB4C67" w14:textId="6D63E362" w:rsidR="00480DF0" w:rsidRPr="004700D9" w:rsidRDefault="004247D8" w:rsidP="00480DF0">
            <w:pPr>
              <w:keepNext/>
              <w:spacing w:after="0"/>
              <w:jc w:val="right"/>
              <w:rPr>
                <w:color w:val="000000"/>
                <w:sz w:val="22"/>
                <w:szCs w:val="22"/>
              </w:rPr>
            </w:pPr>
            <w:r>
              <w:rPr>
                <w:sz w:val="22"/>
                <w:szCs w:val="22"/>
                <w:lang w:val="ga"/>
              </w:rPr>
              <w:t>9,011</w:t>
            </w:r>
          </w:p>
        </w:tc>
        <w:tc>
          <w:tcPr>
            <w:tcW w:w="1653" w:type="dxa"/>
          </w:tcPr>
          <w:p w14:paraId="40DEE170" w14:textId="0B10EE70" w:rsidR="00480DF0" w:rsidRPr="004700D9" w:rsidRDefault="00480DF0" w:rsidP="00480DF0">
            <w:pPr>
              <w:keepNext/>
              <w:spacing w:after="0"/>
              <w:jc w:val="right"/>
              <w:rPr>
                <w:color w:val="000000"/>
                <w:sz w:val="22"/>
                <w:szCs w:val="22"/>
              </w:rPr>
            </w:pPr>
            <w:r>
              <w:rPr>
                <w:sz w:val="22"/>
                <w:szCs w:val="22"/>
                <w:lang w:val="ga"/>
              </w:rPr>
              <w:t>3.6%</w:t>
            </w:r>
          </w:p>
        </w:tc>
        <w:tc>
          <w:tcPr>
            <w:tcW w:w="1418" w:type="dxa"/>
          </w:tcPr>
          <w:p w14:paraId="417B4D3F" w14:textId="5F8DD258" w:rsidR="00480DF0" w:rsidRPr="004700D9" w:rsidRDefault="00480DF0" w:rsidP="00480DF0">
            <w:pPr>
              <w:keepNext/>
              <w:spacing w:after="0"/>
              <w:jc w:val="right"/>
              <w:rPr>
                <w:color w:val="000000"/>
                <w:sz w:val="22"/>
                <w:szCs w:val="22"/>
              </w:rPr>
            </w:pPr>
            <w:r>
              <w:rPr>
                <w:sz w:val="22"/>
                <w:szCs w:val="22"/>
                <w:lang w:val="ga"/>
              </w:rPr>
              <w:t>100.0%</w:t>
            </w:r>
          </w:p>
        </w:tc>
        <w:tc>
          <w:tcPr>
            <w:tcW w:w="1276" w:type="dxa"/>
          </w:tcPr>
          <w:p w14:paraId="324F2F45" w14:textId="40224DB4" w:rsidR="00480DF0" w:rsidRPr="004700D9" w:rsidRDefault="00F81913" w:rsidP="00480DF0">
            <w:pPr>
              <w:keepNext/>
              <w:spacing w:after="0"/>
              <w:jc w:val="right"/>
              <w:rPr>
                <w:color w:val="000000"/>
                <w:sz w:val="22"/>
                <w:szCs w:val="22"/>
              </w:rPr>
            </w:pPr>
            <w:r>
              <w:rPr>
                <w:sz w:val="22"/>
                <w:szCs w:val="22"/>
                <w:lang w:val="ga"/>
              </w:rPr>
              <w:t>87.3%</w:t>
            </w:r>
          </w:p>
        </w:tc>
        <w:tc>
          <w:tcPr>
            <w:tcW w:w="1564" w:type="dxa"/>
          </w:tcPr>
          <w:p w14:paraId="22D54B8D" w14:textId="003FA0C9" w:rsidR="00480DF0" w:rsidRPr="004700D9" w:rsidRDefault="00F81913" w:rsidP="00480DF0">
            <w:pPr>
              <w:keepNext/>
              <w:spacing w:after="0"/>
              <w:jc w:val="right"/>
              <w:rPr>
                <w:color w:val="000000"/>
                <w:sz w:val="22"/>
                <w:szCs w:val="22"/>
              </w:rPr>
            </w:pPr>
            <w:r>
              <w:rPr>
                <w:sz w:val="22"/>
                <w:szCs w:val="22"/>
                <w:lang w:val="ga"/>
              </w:rPr>
              <w:t>213</w:t>
            </w:r>
          </w:p>
        </w:tc>
      </w:tr>
      <w:tr w:rsidR="00480DF0" w:rsidRPr="004700D9" w14:paraId="1632759B" w14:textId="42C5470F" w:rsidTr="00E57050">
        <w:tc>
          <w:tcPr>
            <w:tcW w:w="1828" w:type="dxa"/>
          </w:tcPr>
          <w:p w14:paraId="448F56E1" w14:textId="0183AFE7" w:rsidR="00480DF0" w:rsidRPr="004700D9" w:rsidRDefault="00480DF0" w:rsidP="00480DF0">
            <w:pPr>
              <w:keepNext/>
              <w:spacing w:after="0"/>
              <w:rPr>
                <w:b/>
                <w:color w:val="000000"/>
                <w:sz w:val="22"/>
                <w:szCs w:val="22"/>
              </w:rPr>
            </w:pPr>
            <w:r>
              <w:rPr>
                <w:b/>
                <w:bCs/>
                <w:color w:val="000000"/>
                <w:sz w:val="22"/>
                <w:szCs w:val="22"/>
                <w:lang w:val="ga"/>
              </w:rPr>
              <w:t>Athrú 2021/2022</w:t>
            </w:r>
          </w:p>
        </w:tc>
        <w:tc>
          <w:tcPr>
            <w:tcW w:w="1559" w:type="dxa"/>
          </w:tcPr>
          <w:p w14:paraId="4A04C3E3" w14:textId="45C0964A" w:rsidR="00480DF0" w:rsidRPr="004700D9" w:rsidRDefault="00144BC8" w:rsidP="00480DF0">
            <w:pPr>
              <w:spacing w:after="0"/>
              <w:jc w:val="right"/>
              <w:rPr>
                <w:b/>
                <w:color w:val="000000"/>
                <w:sz w:val="22"/>
                <w:szCs w:val="22"/>
              </w:rPr>
            </w:pPr>
            <w:r>
              <w:rPr>
                <w:b/>
                <w:bCs/>
                <w:color w:val="000000"/>
                <w:sz w:val="22"/>
                <w:szCs w:val="22"/>
                <w:lang w:val="ga"/>
              </w:rPr>
              <w:t>8,882</w:t>
            </w:r>
          </w:p>
        </w:tc>
        <w:tc>
          <w:tcPr>
            <w:tcW w:w="1418" w:type="dxa"/>
          </w:tcPr>
          <w:p w14:paraId="33DBC69D" w14:textId="2C2B8E0E" w:rsidR="00480DF0" w:rsidRPr="004700D9" w:rsidRDefault="00144BC8" w:rsidP="00480DF0">
            <w:pPr>
              <w:spacing w:after="0"/>
              <w:jc w:val="right"/>
              <w:rPr>
                <w:b/>
                <w:color w:val="000000"/>
                <w:sz w:val="22"/>
                <w:szCs w:val="22"/>
              </w:rPr>
            </w:pPr>
            <w:r>
              <w:rPr>
                <w:b/>
                <w:bCs/>
                <w:color w:val="000000"/>
                <w:sz w:val="22"/>
                <w:szCs w:val="22"/>
                <w:lang w:val="ga"/>
              </w:rPr>
              <w:t>1,620</w:t>
            </w:r>
          </w:p>
        </w:tc>
        <w:tc>
          <w:tcPr>
            <w:tcW w:w="1653" w:type="dxa"/>
          </w:tcPr>
          <w:p w14:paraId="115F4523" w14:textId="098ADEE7" w:rsidR="00480DF0" w:rsidRPr="004700D9" w:rsidRDefault="00144BC8" w:rsidP="00144BC8">
            <w:pPr>
              <w:spacing w:after="0"/>
              <w:jc w:val="right"/>
              <w:rPr>
                <w:b/>
                <w:color w:val="000000"/>
                <w:sz w:val="22"/>
                <w:szCs w:val="22"/>
              </w:rPr>
            </w:pPr>
            <w:r>
              <w:rPr>
                <w:b/>
                <w:bCs/>
                <w:color w:val="000000"/>
                <w:sz w:val="22"/>
                <w:szCs w:val="22"/>
                <w:lang w:val="ga"/>
              </w:rPr>
              <w:t>0.5%</w:t>
            </w:r>
          </w:p>
        </w:tc>
        <w:tc>
          <w:tcPr>
            <w:tcW w:w="1418" w:type="dxa"/>
          </w:tcPr>
          <w:p w14:paraId="0EEC09DD" w14:textId="2F95EE54" w:rsidR="00480DF0" w:rsidRPr="004700D9" w:rsidRDefault="00144BC8" w:rsidP="00480DF0">
            <w:pPr>
              <w:spacing w:after="0"/>
              <w:jc w:val="right"/>
              <w:rPr>
                <w:b/>
                <w:color w:val="000000"/>
                <w:sz w:val="22"/>
                <w:szCs w:val="22"/>
              </w:rPr>
            </w:pPr>
            <w:r>
              <w:rPr>
                <w:b/>
                <w:bCs/>
                <w:color w:val="000000"/>
                <w:sz w:val="22"/>
                <w:szCs w:val="22"/>
                <w:lang w:val="ga"/>
              </w:rPr>
              <w:t>0</w:t>
            </w:r>
          </w:p>
        </w:tc>
        <w:tc>
          <w:tcPr>
            <w:tcW w:w="1276" w:type="dxa"/>
          </w:tcPr>
          <w:p w14:paraId="104314F7" w14:textId="45671F82" w:rsidR="00480DF0" w:rsidRPr="004700D9" w:rsidRDefault="00144BC8" w:rsidP="00480DF0">
            <w:pPr>
              <w:spacing w:after="0"/>
              <w:jc w:val="right"/>
              <w:rPr>
                <w:b/>
                <w:color w:val="000000"/>
                <w:sz w:val="22"/>
                <w:szCs w:val="22"/>
              </w:rPr>
            </w:pPr>
            <w:r>
              <w:rPr>
                <w:b/>
                <w:bCs/>
                <w:color w:val="000000"/>
                <w:sz w:val="22"/>
                <w:szCs w:val="22"/>
                <w:lang w:val="ga"/>
              </w:rPr>
              <w:t>3.3%</w:t>
            </w:r>
          </w:p>
        </w:tc>
        <w:tc>
          <w:tcPr>
            <w:tcW w:w="1564" w:type="dxa"/>
          </w:tcPr>
          <w:p w14:paraId="78880B9D" w14:textId="3C3B4756" w:rsidR="00480DF0" w:rsidRPr="004700D9" w:rsidRDefault="00144BC8" w:rsidP="00480DF0">
            <w:pPr>
              <w:spacing w:after="0"/>
              <w:jc w:val="right"/>
              <w:rPr>
                <w:b/>
                <w:color w:val="000000"/>
                <w:sz w:val="22"/>
                <w:szCs w:val="22"/>
              </w:rPr>
            </w:pPr>
            <w:r>
              <w:rPr>
                <w:b/>
                <w:bCs/>
                <w:color w:val="000000"/>
                <w:sz w:val="22"/>
                <w:szCs w:val="22"/>
                <w:lang w:val="ga"/>
              </w:rPr>
              <w:t>0</w:t>
            </w:r>
          </w:p>
        </w:tc>
      </w:tr>
    </w:tbl>
    <w:p w14:paraId="2DBCB656" w14:textId="7F5A2357" w:rsidR="0005435B" w:rsidRPr="004700D9" w:rsidRDefault="0005435B" w:rsidP="00DA2B08"/>
    <w:p w14:paraId="78E27D66" w14:textId="6E2C9217" w:rsidR="00973B13" w:rsidRPr="00BC13A0" w:rsidRDefault="001B1427" w:rsidP="00973B13">
      <w:pPr>
        <w:pStyle w:val="Heading2"/>
      </w:pPr>
      <w:bookmarkStart w:id="45" w:name="_Toc147910076"/>
      <w:r>
        <w:rPr>
          <w:bCs/>
          <w:lang w:val="ga"/>
        </w:rPr>
        <w:t>2.3 Anailís de réir mhéid an chomhlachta earnála poiblí</w:t>
      </w:r>
      <w:bookmarkEnd w:id="45"/>
    </w:p>
    <w:p w14:paraId="23F1A166" w14:textId="77777777" w:rsidR="00973B13" w:rsidRPr="00BC13A0" w:rsidRDefault="00973B13" w:rsidP="00973B13">
      <w:pPr>
        <w:pStyle w:val="Heading3"/>
      </w:pPr>
      <w:r>
        <w:rPr>
          <w:bCs/>
          <w:lang w:val="ga"/>
        </w:rPr>
        <w:t>Comhlachtaí poiblí a bhfuil níos lú ná 100 ball foirne acu</w:t>
      </w:r>
    </w:p>
    <w:p w14:paraId="07C99CE6" w14:textId="7344EF7D" w:rsidR="00973B13" w:rsidRPr="00BC13A0" w:rsidRDefault="00D03BAE" w:rsidP="003652F9">
      <w:r>
        <w:rPr>
          <w:lang w:val="ga"/>
        </w:rPr>
        <w:t xml:space="preserve">Sa bhliain 2022, ba ann do 65 chomhlacht san earnáil phoiblí a raibh níos lú ná 100 fostaí acu, a d’fhostaigh 1.0% d’iomlán an fhórsa saothair. D’fhostaigh an chatagóir méide seo 2,724 dhuine, ar thuairiscigh 7.6% díobh (208 nduine) míchumas. D’iomlán na ndaoine san fhórsa saothair a thuairiscigh míchumas, fostaíodh 2.0% i gcomhlachtaí poiblí den mhéid sin. </w:t>
      </w:r>
    </w:p>
    <w:p w14:paraId="5C94EB09" w14:textId="6B228DE2" w:rsidR="00973B13" w:rsidRPr="00BC13A0" w:rsidRDefault="00973B13" w:rsidP="003652F9">
      <w:bookmarkStart w:id="46" w:name="_Hlk145323414"/>
      <w:r>
        <w:rPr>
          <w:lang w:val="ga"/>
        </w:rPr>
        <w:t>Áirítear leis an gcatagóir seo comhlachtaí poiblí atá an-bheag ó thaobh méide de agus a fhostaíonn idir ceathrar agus fiche duine (19 gcinn de na 65 eagraíocht). De na comhlachtaí sin a bhfuil 20 fostaí nó níos lú acu, thuairiscigh 10 gcinn nach raibh aon fhostaithe a bhfuil míchumas orthu acu sa bhliain 2022.</w:t>
      </w:r>
    </w:p>
    <w:bookmarkEnd w:id="46"/>
    <w:p w14:paraId="58099D0C" w14:textId="66FCC6B1" w:rsidR="00973B13" w:rsidRPr="004700D9" w:rsidRDefault="00973B13" w:rsidP="003652F9">
      <w:pPr>
        <w:rPr>
          <w:sz w:val="24"/>
        </w:rPr>
      </w:pPr>
      <w:r>
        <w:rPr>
          <w:szCs w:val="26"/>
          <w:lang w:val="ga"/>
        </w:rPr>
        <w:t xml:space="preserve">Admhaíonn ÚNM gurb amhlaidh, i gcás gur comhlacht an-bheag a bhfuil níos lú ná 50 ball foirne aige é comhlacht poiblí, go ndéanann méid an chomhlachta difear dá chumas an íos-sprioc 3% a chomhlíonadh. </w:t>
      </w:r>
      <w:r>
        <w:rPr>
          <w:lang w:val="ga"/>
        </w:rPr>
        <w:t>Tá imeacht ball foirne amháin a bhfuil míchumas air/uirthi trí scor, trí shos gairme nó trí scéim iomarcaíochta deonaí ar cheann de na príomhthosca a theip ar chomhlachtaí poiblí beaga an íos-sprioc 3% a bhaint amach. I gcás comhlachtaí den mhéid sin, is ionann ball foirne amháin sa bhreis a chailleadh (nó a fhostú) agus an difríocht idir an íos-sprioc comhlíonta 3% a chomhlíonadh agus gan í a chomhlíonadh.</w:t>
      </w:r>
    </w:p>
    <w:p w14:paraId="328A1AA9" w14:textId="75A1A53E" w:rsidR="00750A4C" w:rsidRPr="004700D9" w:rsidRDefault="00973B13" w:rsidP="00743334">
      <w:pPr>
        <w:rPr>
          <w:b/>
          <w:color w:val="CC3399"/>
          <w:sz w:val="28"/>
          <w:szCs w:val="28"/>
        </w:rPr>
      </w:pPr>
      <w:r>
        <w:rPr>
          <w:lang w:val="ga"/>
        </w:rPr>
        <w:t>I gcomhlachtaí poiblí den mhéid bheag sin, tá seans ann freisin nach mbeidh fostaithe a bhfuil míchumas orthu ar a gcompord le linn dóibh a stádas míchumais a chur in iúl agus is féidir leis sin difear a dhéanamh freisin do chumas na gcomhlachtaí poiblí sin an dóigh a gcomhlíonann siad na hoibleagáidí atá orthu faoi Chuid 5 den Acht um Míchumas 2005 a thuairisciú go cruinn.</w:t>
      </w:r>
    </w:p>
    <w:p w14:paraId="794354E4" w14:textId="1B089007" w:rsidR="00973B13" w:rsidRPr="00BC13A0" w:rsidRDefault="00973B13" w:rsidP="00973B13">
      <w:pPr>
        <w:pStyle w:val="Heading3"/>
      </w:pPr>
      <w:r>
        <w:rPr>
          <w:bCs/>
          <w:lang w:val="ga"/>
        </w:rPr>
        <w:t>Comhlachtaí poiblí a bhfuil idir 100 ball foirne agus 999 mball foirne acu</w:t>
      </w:r>
    </w:p>
    <w:p w14:paraId="271CB3C1" w14:textId="0CDC851B" w:rsidR="00973B13" w:rsidRPr="00BC13A0" w:rsidRDefault="00973B13" w:rsidP="003652F9">
      <w:r>
        <w:rPr>
          <w:lang w:val="ga"/>
        </w:rPr>
        <w:t xml:space="preserve">Bhí ag an gcatagóir méide seo an líon ab airde comhlachtaí poiblí (106 cinn), a d’fhostaigh 15.4% d’iomlán an fhórsa saothair sa bhliain 2022. Fostaíodh 40,195 dhuine san iomlán sa chatagóir seo, ar thuairiscigh 5.9% díobh (2,380 duine) </w:t>
      </w:r>
      <w:r>
        <w:rPr>
          <w:lang w:val="ga"/>
        </w:rPr>
        <w:lastRenderedPageBreak/>
        <w:t>míchumas. D’iomlán na ndaoine san fhórsa saothair a thuairiscigh míchumas, fostaíodh 22.4% i gcomhlachtaí poiblí den mhéid sin.</w:t>
      </w:r>
    </w:p>
    <w:p w14:paraId="1328AF95" w14:textId="77777777" w:rsidR="00973B13" w:rsidRPr="00BC13A0" w:rsidRDefault="00973B13" w:rsidP="00973B13">
      <w:pPr>
        <w:pStyle w:val="Heading3"/>
      </w:pPr>
      <w:r>
        <w:rPr>
          <w:bCs/>
          <w:lang w:val="ga"/>
        </w:rPr>
        <w:t>Comhlachtaí poiblí a bhfuil idir 1000 ball foirne agus 4999 mball foirne acu</w:t>
      </w:r>
    </w:p>
    <w:p w14:paraId="1AE4B103" w14:textId="41DF13F9" w:rsidR="00973B13" w:rsidRPr="004700D9" w:rsidRDefault="008F64F6" w:rsidP="003652F9">
      <w:pPr>
        <w:rPr>
          <w:color w:val="000000"/>
        </w:rPr>
      </w:pPr>
      <w:r>
        <w:rPr>
          <w:lang w:val="ga"/>
        </w:rPr>
        <w:t xml:space="preserve">Sa bhliain 2022, ba ann do 34 chomhlacht phoiblí a raibh idir 1,000 fostaí agus 4,999 bhfostaí acu, a d’fhostaigh 27.1% d’iomlán an fhórsa saothair. D’fhostaigh an cohórt seo 70,685 fhostaí, ar thuairiscigh 5.1% díobh (3,639 bhfostaí) míchumas. </w:t>
      </w:r>
      <w:r>
        <w:rPr>
          <w:color w:val="000000"/>
          <w:lang w:val="ga"/>
        </w:rPr>
        <w:t>D’iomlán na ndaoine san fhórsa saothair a thuairiscigh míchumas, fostaíodh 34.2% i gcomhlachtaí poiblí den mhéid sin.</w:t>
      </w:r>
    </w:p>
    <w:p w14:paraId="52677750" w14:textId="77777777" w:rsidR="00973B13" w:rsidRPr="00BC13A0" w:rsidRDefault="00973B13" w:rsidP="00973B13">
      <w:pPr>
        <w:pStyle w:val="Heading3"/>
      </w:pPr>
      <w:r>
        <w:rPr>
          <w:bCs/>
          <w:lang w:val="ga"/>
        </w:rPr>
        <w:t>Comhlachtaí poiblí a bhfuil breis agus 5,000 ball foirne acu</w:t>
      </w:r>
    </w:p>
    <w:p w14:paraId="3752E050" w14:textId="77777777" w:rsidR="00435F4E" w:rsidRPr="004700D9" w:rsidRDefault="00435F4E" w:rsidP="00435F4E">
      <w:pPr>
        <w:rPr>
          <w:szCs w:val="26"/>
        </w:rPr>
      </w:pPr>
      <w:r>
        <w:rPr>
          <w:szCs w:val="26"/>
          <w:lang w:val="ga"/>
        </w:rPr>
        <w:t>Sa bhliain 2022, bhí ag an gcatagóir méide seo an líon ba lú comhlachtaí poiblí (8 gcinn) agus d’fhostaigh sí 56.4% d’iomlán an fhórsa saothair. D’fhostaigh sí 146,830 fhostaí, ar thuairiscigh 3.0% díobh (4,404 fhostaí) míchumas. D’iomlán na ndaoine san fhórsa saothair a thuairiscigh míchumas, fostaíodh 41.4</w:t>
      </w:r>
      <w:r>
        <w:rPr>
          <w:color w:val="000000" w:themeColor="text1"/>
          <w:szCs w:val="26"/>
          <w:lang w:val="ga"/>
        </w:rPr>
        <w:t>%</w:t>
      </w:r>
      <w:r>
        <w:rPr>
          <w:szCs w:val="26"/>
          <w:lang w:val="ga"/>
        </w:rPr>
        <w:t xml:space="preserve"> sna comhlachtaí poiblí móra sin.</w:t>
      </w:r>
    </w:p>
    <w:p w14:paraId="0174393A" w14:textId="77777777" w:rsidR="00435F4E" w:rsidRPr="004700D9" w:rsidRDefault="00435F4E" w:rsidP="00435F4E">
      <w:pPr>
        <w:rPr>
          <w:color w:val="000000" w:themeColor="text1"/>
          <w:szCs w:val="26"/>
        </w:rPr>
      </w:pPr>
      <w:r>
        <w:rPr>
          <w:color w:val="000000" w:themeColor="text1"/>
          <w:szCs w:val="26"/>
          <w:lang w:val="ga"/>
        </w:rPr>
        <w:t>Is iad seo na comhlachtaí poiblí sa chatagóir seo agus an céatadán tuairiscithe d’fhostaithe a bhfuil míchumas orthu a bhí acu don bhliain 2022:</w:t>
      </w:r>
    </w:p>
    <w:p w14:paraId="62C42994" w14:textId="532C3991" w:rsidR="00435F4E" w:rsidRPr="00BC13A0" w:rsidRDefault="00435F4E" w:rsidP="00435F4E">
      <w:pPr>
        <w:pStyle w:val="ListBullet"/>
        <w:spacing w:before="0"/>
        <w:rPr>
          <w:color w:val="000000" w:themeColor="text1"/>
        </w:rPr>
      </w:pPr>
      <w:r>
        <w:rPr>
          <w:color w:val="000000" w:themeColor="text1"/>
          <w:lang w:val="ga"/>
        </w:rPr>
        <w:t>An Post</w:t>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t>4.2% (4.4% sa bhliain 2021)</w:t>
      </w:r>
    </w:p>
    <w:p w14:paraId="1A7C05DC" w14:textId="399DE32B" w:rsidR="00435F4E" w:rsidRPr="00BC13A0" w:rsidRDefault="00435F4E" w:rsidP="009C01B9">
      <w:pPr>
        <w:pStyle w:val="ListBullet"/>
        <w:spacing w:before="0"/>
        <w:ind w:left="357" w:hanging="357"/>
        <w:rPr>
          <w:color w:val="000000" w:themeColor="text1"/>
        </w:rPr>
      </w:pPr>
      <w:r>
        <w:rPr>
          <w:color w:val="000000" w:themeColor="text1"/>
          <w:lang w:val="ga"/>
        </w:rPr>
        <w:t>Tusla – An Ghníomhaireacht um Leanaí agus an Teaghlach</w:t>
      </w:r>
      <w:r>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sidR="0072284B">
        <w:rPr>
          <w:color w:val="000000" w:themeColor="text1"/>
          <w:lang w:val="ga"/>
        </w:rPr>
        <w:tab/>
      </w:r>
      <w:r>
        <w:rPr>
          <w:color w:val="000000" w:themeColor="text1"/>
          <w:lang w:val="ga"/>
        </w:rPr>
        <w:t xml:space="preserve">4.8% (4.4% sa bhliain 2021)               </w:t>
      </w:r>
    </w:p>
    <w:p w14:paraId="22F987DD" w14:textId="77777777" w:rsidR="00435F4E" w:rsidRPr="00BC13A0" w:rsidRDefault="00435F4E" w:rsidP="00435F4E">
      <w:pPr>
        <w:pStyle w:val="ListBullet"/>
        <w:spacing w:before="0"/>
        <w:rPr>
          <w:color w:val="000000" w:themeColor="text1"/>
        </w:rPr>
      </w:pPr>
      <w:r>
        <w:rPr>
          <w:color w:val="000000" w:themeColor="text1"/>
          <w:lang w:val="ga"/>
        </w:rPr>
        <w:t xml:space="preserve">An Roinn Coimirce Sóisialaí </w:t>
      </w:r>
      <w:r>
        <w:rPr>
          <w:color w:val="000000" w:themeColor="text1"/>
          <w:lang w:val="ga"/>
        </w:rPr>
        <w:tab/>
      </w:r>
      <w:r>
        <w:rPr>
          <w:color w:val="000000" w:themeColor="text1"/>
          <w:lang w:val="ga"/>
        </w:rPr>
        <w:tab/>
      </w:r>
      <w:r>
        <w:rPr>
          <w:color w:val="000000" w:themeColor="text1"/>
          <w:lang w:val="ga"/>
        </w:rPr>
        <w:tab/>
      </w:r>
      <w:r>
        <w:rPr>
          <w:color w:val="000000" w:themeColor="text1"/>
          <w:lang w:val="ga"/>
        </w:rPr>
        <w:tab/>
        <w:t>5.3% (6.5% sa bhliain 2021)</w:t>
      </w:r>
    </w:p>
    <w:p w14:paraId="59DDF2F0" w14:textId="008EF79B" w:rsidR="00435F4E" w:rsidRPr="00BC13A0" w:rsidRDefault="00435F4E" w:rsidP="00435F4E">
      <w:pPr>
        <w:pStyle w:val="ListBullet"/>
        <w:spacing w:before="0"/>
        <w:rPr>
          <w:color w:val="000000" w:themeColor="text1"/>
        </w:rPr>
      </w:pPr>
      <w:r>
        <w:rPr>
          <w:color w:val="000000" w:themeColor="text1"/>
          <w:lang w:val="ga"/>
        </w:rPr>
        <w:t>Comhairle Cathrach Bhaile Átha Cliath</w:t>
      </w:r>
      <w:r>
        <w:rPr>
          <w:color w:val="000000" w:themeColor="text1"/>
          <w:lang w:val="ga"/>
        </w:rPr>
        <w:tab/>
      </w:r>
      <w:r>
        <w:rPr>
          <w:color w:val="000000" w:themeColor="text1"/>
          <w:lang w:val="ga"/>
        </w:rPr>
        <w:tab/>
        <w:t>4.2% (4.4% sa bhliain 2021)</w:t>
      </w:r>
    </w:p>
    <w:p w14:paraId="32BDD03B" w14:textId="1293921A" w:rsidR="00435F4E" w:rsidRPr="00BC13A0" w:rsidRDefault="00435F4E" w:rsidP="00435F4E">
      <w:pPr>
        <w:pStyle w:val="ListBullet"/>
        <w:spacing w:before="0"/>
        <w:rPr>
          <w:color w:val="000000" w:themeColor="text1"/>
        </w:rPr>
      </w:pPr>
      <w:r>
        <w:rPr>
          <w:color w:val="000000" w:themeColor="text1"/>
          <w:lang w:val="ga"/>
        </w:rPr>
        <w:t>Bord Soláthair an Leictreachais (BSL)</w:t>
      </w:r>
      <w:r>
        <w:rPr>
          <w:color w:val="000000" w:themeColor="text1"/>
          <w:lang w:val="ga"/>
        </w:rPr>
        <w:tab/>
      </w:r>
      <w:r>
        <w:rPr>
          <w:color w:val="000000" w:themeColor="text1"/>
          <w:lang w:val="ga"/>
        </w:rPr>
        <w:tab/>
      </w:r>
      <w:r>
        <w:rPr>
          <w:color w:val="000000" w:themeColor="text1"/>
          <w:lang w:val="ga"/>
        </w:rPr>
        <w:tab/>
        <w:t>3.4% (3.8% sa bhliain 2021)</w:t>
      </w:r>
    </w:p>
    <w:p w14:paraId="36EA489E" w14:textId="77777777" w:rsidR="00435F4E" w:rsidRPr="00BC13A0" w:rsidRDefault="00435F4E" w:rsidP="00435F4E">
      <w:pPr>
        <w:pStyle w:val="ListBullet"/>
        <w:spacing w:before="0"/>
        <w:ind w:left="357" w:hanging="357"/>
        <w:rPr>
          <w:color w:val="000000" w:themeColor="text1"/>
        </w:rPr>
      </w:pPr>
      <w:r>
        <w:rPr>
          <w:color w:val="000000" w:themeColor="text1"/>
          <w:lang w:val="ga"/>
        </w:rPr>
        <w:t>FSS</w:t>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t>2.3% (1.6% sa bhliain 2021)</w:t>
      </w:r>
    </w:p>
    <w:p w14:paraId="54F09F6D" w14:textId="42589B9E" w:rsidR="00435F4E" w:rsidRPr="00BC13A0" w:rsidRDefault="00435F4E" w:rsidP="0069488C">
      <w:pPr>
        <w:pStyle w:val="ListBullet"/>
        <w:spacing w:before="0"/>
        <w:ind w:left="357" w:hanging="357"/>
        <w:rPr>
          <w:color w:val="000000" w:themeColor="text1"/>
        </w:rPr>
      </w:pPr>
      <w:r>
        <w:rPr>
          <w:color w:val="000000" w:themeColor="text1"/>
          <w:lang w:val="ga"/>
        </w:rPr>
        <w:t>Oifig na gCoimisinéirí Ioncaim</w:t>
      </w:r>
      <w:r>
        <w:rPr>
          <w:color w:val="000000" w:themeColor="text1"/>
          <w:lang w:val="ga"/>
        </w:rPr>
        <w:tab/>
      </w:r>
      <w:r>
        <w:rPr>
          <w:color w:val="000000" w:themeColor="text1"/>
          <w:lang w:val="ga"/>
        </w:rPr>
        <w:tab/>
      </w:r>
      <w:r>
        <w:rPr>
          <w:color w:val="000000" w:themeColor="text1"/>
          <w:lang w:val="ga"/>
        </w:rPr>
        <w:tab/>
      </w:r>
      <w:r w:rsidR="0072284B">
        <w:rPr>
          <w:color w:val="000000" w:themeColor="text1"/>
          <w:lang w:val="ga"/>
        </w:rPr>
        <w:tab/>
      </w:r>
      <w:r>
        <w:rPr>
          <w:color w:val="000000" w:themeColor="text1"/>
          <w:lang w:val="ga"/>
        </w:rPr>
        <w:t>3.9% (4.1% sa bhliain 2021)</w:t>
      </w:r>
    </w:p>
    <w:p w14:paraId="2E21041F" w14:textId="189F73D7" w:rsidR="00435F4E" w:rsidRPr="00406FB9" w:rsidRDefault="00435F4E" w:rsidP="00406FB9">
      <w:pPr>
        <w:pStyle w:val="ListBullet"/>
        <w:spacing w:before="0" w:after="240"/>
        <w:ind w:left="357" w:hanging="357"/>
        <w:rPr>
          <w:color w:val="000000" w:themeColor="text1"/>
        </w:rPr>
      </w:pPr>
      <w:r>
        <w:rPr>
          <w:color w:val="000000" w:themeColor="text1"/>
          <w:lang w:val="ga"/>
        </w:rPr>
        <w:t>Ospidéal San Séamas</w:t>
      </w:r>
      <w:r>
        <w:rPr>
          <w:color w:val="000000" w:themeColor="text1"/>
          <w:lang w:val="ga"/>
        </w:rPr>
        <w:tab/>
      </w:r>
      <w:r>
        <w:rPr>
          <w:color w:val="000000" w:themeColor="text1"/>
          <w:lang w:val="ga"/>
        </w:rPr>
        <w:tab/>
      </w:r>
      <w:r>
        <w:rPr>
          <w:color w:val="000000" w:themeColor="text1"/>
          <w:lang w:val="ga"/>
        </w:rPr>
        <w:tab/>
      </w:r>
      <w:r>
        <w:rPr>
          <w:color w:val="000000" w:themeColor="text1"/>
          <w:lang w:val="ga"/>
        </w:rPr>
        <w:tab/>
      </w:r>
      <w:r>
        <w:rPr>
          <w:color w:val="000000" w:themeColor="text1"/>
          <w:lang w:val="ga"/>
        </w:rPr>
        <w:tab/>
        <w:t xml:space="preserve">6.3%   </w:t>
      </w:r>
      <w:r w:rsidR="0072284B">
        <w:rPr>
          <w:color w:val="000000" w:themeColor="text1"/>
          <w:lang w:val="ga"/>
        </w:rPr>
        <w:tab/>
      </w:r>
      <w:r>
        <w:rPr>
          <w:color w:val="000000" w:themeColor="text1"/>
          <w:lang w:val="ga"/>
        </w:rPr>
        <w:t xml:space="preserve">   </w:t>
      </w:r>
      <w:r w:rsidR="0072284B">
        <w:rPr>
          <w:color w:val="000000" w:themeColor="text1"/>
          <w:lang w:val="ga"/>
        </w:rPr>
        <w:tab/>
      </w:r>
      <w:r w:rsidR="0072284B">
        <w:rPr>
          <w:color w:val="000000" w:themeColor="text1"/>
          <w:lang w:val="ga"/>
        </w:rPr>
        <w:tab/>
      </w:r>
      <w:r>
        <w:rPr>
          <w:color w:val="000000" w:themeColor="text1"/>
          <w:lang w:val="ga"/>
        </w:rPr>
        <w:t xml:space="preserve">          (Bhí níos lú ná 5000 ball foirne ag an gcomhlacht poiblí seo sa bhliain 2021)</w:t>
      </w:r>
    </w:p>
    <w:p w14:paraId="5FD280FA" w14:textId="636F1951" w:rsidR="00EF3217" w:rsidRDefault="00EF3217" w:rsidP="00EF3217">
      <w:pPr>
        <w:pStyle w:val="Heading3"/>
      </w:pPr>
      <w:r>
        <w:rPr>
          <w:bCs/>
          <w:lang w:val="ga"/>
        </w:rPr>
        <w:t xml:space="preserve">Achoimre ar an anailís de réir mhéid an chomhlachta phoiblí </w:t>
      </w:r>
    </w:p>
    <w:p w14:paraId="382B27EB" w14:textId="02307EFB" w:rsidR="00EF3217" w:rsidRPr="00EF3217" w:rsidRDefault="00EF3217" w:rsidP="00EF3217">
      <w:r>
        <w:rPr>
          <w:lang w:val="ga"/>
        </w:rPr>
        <w:t>Mionsonraítear an achoimre ar an anailís de réir mhéid an chomhlachta phoiblí i dTábla 4.</w:t>
      </w:r>
    </w:p>
    <w:p w14:paraId="1ECE391E" w14:textId="11ED834B" w:rsidR="00973B13" w:rsidRPr="00BC13A0" w:rsidRDefault="00EB7FD8" w:rsidP="00435F4E">
      <w:pPr>
        <w:pStyle w:val="TableTitle"/>
      </w:pPr>
      <w:r>
        <w:rPr>
          <w:bCs/>
          <w:lang w:val="ga"/>
        </w:rPr>
        <w:lastRenderedPageBreak/>
        <w:t>Tábla 4. Sonraí de réir mhéid an chomhlachta phoiblí 2022</w:t>
      </w:r>
    </w:p>
    <w:tbl>
      <w:tblPr>
        <w:tblStyle w:val="TableGrid1"/>
        <w:tblW w:w="10343" w:type="dxa"/>
        <w:tblInd w:w="-857" w:type="dxa"/>
        <w:tblLayout w:type="fixed"/>
        <w:tblLook w:val="0620" w:firstRow="1" w:lastRow="0" w:firstColumn="0" w:lastColumn="0" w:noHBand="1" w:noVBand="1"/>
      </w:tblPr>
      <w:tblGrid>
        <w:gridCol w:w="1555"/>
        <w:gridCol w:w="1417"/>
        <w:gridCol w:w="1418"/>
        <w:gridCol w:w="1417"/>
        <w:gridCol w:w="1418"/>
        <w:gridCol w:w="1417"/>
        <w:gridCol w:w="1701"/>
      </w:tblGrid>
      <w:tr w:rsidR="00973B13" w:rsidRPr="00BC13A0" w14:paraId="262424A5" w14:textId="77777777" w:rsidTr="00E57050">
        <w:tc>
          <w:tcPr>
            <w:tcW w:w="1555" w:type="dxa"/>
          </w:tcPr>
          <w:p w14:paraId="6871F41C" w14:textId="77777777" w:rsidR="00973B13" w:rsidRPr="00BC13A0" w:rsidRDefault="00973B13" w:rsidP="00AD2F28">
            <w:pPr>
              <w:pStyle w:val="TableHead"/>
              <w:keepNext/>
              <w:rPr>
                <w:color w:val="000000" w:themeColor="text1"/>
                <w:sz w:val="22"/>
                <w:szCs w:val="22"/>
              </w:rPr>
            </w:pPr>
            <w:r>
              <w:rPr>
                <w:bCs/>
                <w:color w:val="000000" w:themeColor="text1"/>
                <w:sz w:val="22"/>
                <w:szCs w:val="22"/>
                <w:lang w:val="ga"/>
              </w:rPr>
              <w:t>An líon fostaithe</w:t>
            </w:r>
          </w:p>
          <w:p w14:paraId="76AEC98F" w14:textId="77777777" w:rsidR="00973B13" w:rsidRPr="00BC13A0" w:rsidRDefault="00973B13" w:rsidP="00AD2F28">
            <w:pPr>
              <w:pStyle w:val="TableHead"/>
              <w:keepNext/>
              <w:rPr>
                <w:color w:val="000000" w:themeColor="text1"/>
                <w:sz w:val="22"/>
                <w:szCs w:val="22"/>
              </w:rPr>
            </w:pPr>
          </w:p>
        </w:tc>
        <w:tc>
          <w:tcPr>
            <w:tcW w:w="1417" w:type="dxa"/>
          </w:tcPr>
          <w:p w14:paraId="2A7768AA" w14:textId="77777777" w:rsidR="00973B13" w:rsidRPr="00BC13A0" w:rsidRDefault="00973B13" w:rsidP="005F4DBC">
            <w:pPr>
              <w:pStyle w:val="TableHead"/>
              <w:keepNext/>
              <w:rPr>
                <w:color w:val="000000" w:themeColor="text1"/>
                <w:sz w:val="22"/>
                <w:szCs w:val="22"/>
              </w:rPr>
            </w:pPr>
            <w:r>
              <w:rPr>
                <w:bCs/>
                <w:color w:val="000000" w:themeColor="text1"/>
                <w:sz w:val="22"/>
                <w:szCs w:val="22"/>
                <w:lang w:val="ga"/>
              </w:rPr>
              <w:t>An líon comhlachtaí poiblí</w:t>
            </w:r>
          </w:p>
          <w:p w14:paraId="41F70305" w14:textId="77777777" w:rsidR="00973B13" w:rsidRPr="00BC13A0" w:rsidRDefault="00973B13" w:rsidP="005F4DBC">
            <w:pPr>
              <w:keepNext/>
              <w:spacing w:after="0"/>
              <w:rPr>
                <w:color w:val="000000" w:themeColor="text1"/>
                <w:sz w:val="22"/>
                <w:szCs w:val="22"/>
              </w:rPr>
            </w:pPr>
          </w:p>
        </w:tc>
        <w:tc>
          <w:tcPr>
            <w:tcW w:w="1418" w:type="dxa"/>
          </w:tcPr>
          <w:p w14:paraId="3C3BB8AC" w14:textId="593DC58D" w:rsidR="00973B13" w:rsidRPr="00BC13A0" w:rsidRDefault="00973B13" w:rsidP="005F4DBC">
            <w:pPr>
              <w:pStyle w:val="TableHead"/>
              <w:keepNext/>
              <w:rPr>
                <w:color w:val="000000" w:themeColor="text1"/>
                <w:sz w:val="22"/>
                <w:szCs w:val="22"/>
              </w:rPr>
            </w:pPr>
            <w:r>
              <w:rPr>
                <w:bCs/>
                <w:color w:val="000000" w:themeColor="text1"/>
                <w:sz w:val="22"/>
                <w:szCs w:val="22"/>
                <w:lang w:val="ga"/>
              </w:rPr>
              <w:t>An líon iomlán fostaithe</w:t>
            </w:r>
          </w:p>
          <w:p w14:paraId="5A2880DD" w14:textId="77777777" w:rsidR="00973B13" w:rsidRPr="00BC13A0" w:rsidRDefault="00973B13" w:rsidP="005F4DBC">
            <w:pPr>
              <w:keepNext/>
              <w:spacing w:after="0"/>
              <w:rPr>
                <w:color w:val="000000" w:themeColor="text1"/>
                <w:sz w:val="22"/>
                <w:szCs w:val="22"/>
              </w:rPr>
            </w:pPr>
          </w:p>
        </w:tc>
        <w:tc>
          <w:tcPr>
            <w:tcW w:w="1417" w:type="dxa"/>
          </w:tcPr>
          <w:p w14:paraId="5EE48B14" w14:textId="135B44AF" w:rsidR="00973B13" w:rsidRPr="00BC13A0" w:rsidRDefault="003C02A5" w:rsidP="005F4DBC">
            <w:pPr>
              <w:pStyle w:val="TableHead"/>
              <w:keepNext/>
              <w:rPr>
                <w:color w:val="000000" w:themeColor="text1"/>
                <w:sz w:val="22"/>
                <w:szCs w:val="22"/>
              </w:rPr>
            </w:pPr>
            <w:r>
              <w:rPr>
                <w:bCs/>
                <w:color w:val="000000" w:themeColor="text1"/>
                <w:sz w:val="22"/>
                <w:szCs w:val="22"/>
                <w:lang w:val="ga"/>
              </w:rPr>
              <w:t>An líon fostaithe a thuairiscigh míchumas</w:t>
            </w:r>
          </w:p>
        </w:tc>
        <w:tc>
          <w:tcPr>
            <w:tcW w:w="1418" w:type="dxa"/>
          </w:tcPr>
          <w:p w14:paraId="00B87495" w14:textId="5D5AB4D6" w:rsidR="00973B13" w:rsidRPr="00BC13A0" w:rsidRDefault="004A1740" w:rsidP="005F4DBC">
            <w:pPr>
              <w:pStyle w:val="TableHead"/>
              <w:keepNext/>
              <w:rPr>
                <w:color w:val="000000" w:themeColor="text1"/>
                <w:sz w:val="22"/>
                <w:szCs w:val="22"/>
              </w:rPr>
            </w:pPr>
            <w:r>
              <w:rPr>
                <w:bCs/>
                <w:color w:val="000000" w:themeColor="text1"/>
                <w:sz w:val="22"/>
                <w:szCs w:val="22"/>
                <w:lang w:val="ga"/>
              </w:rPr>
              <w:t>An % d’fhostaithe a thuairiscigh míchumas</w:t>
            </w:r>
          </w:p>
        </w:tc>
        <w:tc>
          <w:tcPr>
            <w:tcW w:w="1417" w:type="dxa"/>
          </w:tcPr>
          <w:p w14:paraId="3F5D2456" w14:textId="77777777" w:rsidR="00973B13" w:rsidRPr="00BC13A0" w:rsidRDefault="00973B13" w:rsidP="005F4DBC">
            <w:pPr>
              <w:pStyle w:val="TableHead"/>
              <w:keepNext/>
              <w:rPr>
                <w:color w:val="000000" w:themeColor="text1"/>
                <w:sz w:val="22"/>
                <w:szCs w:val="22"/>
              </w:rPr>
            </w:pPr>
            <w:r>
              <w:rPr>
                <w:bCs/>
                <w:color w:val="000000" w:themeColor="text1"/>
                <w:sz w:val="22"/>
                <w:szCs w:val="22"/>
                <w:lang w:val="ga"/>
              </w:rPr>
              <w:t xml:space="preserve">An % d’iomlán fhórsa saothair na hearnála poiblí </w:t>
            </w:r>
          </w:p>
        </w:tc>
        <w:tc>
          <w:tcPr>
            <w:tcW w:w="1701" w:type="dxa"/>
          </w:tcPr>
          <w:p w14:paraId="7347D786" w14:textId="70E121AA" w:rsidR="00973B13" w:rsidRPr="0072284B" w:rsidRDefault="005F4DBC" w:rsidP="004273F9">
            <w:pPr>
              <w:spacing w:after="0"/>
              <w:rPr>
                <w:b/>
                <w:color w:val="000000" w:themeColor="text1"/>
                <w:sz w:val="22"/>
                <w:szCs w:val="22"/>
              </w:rPr>
            </w:pPr>
            <w:r w:rsidRPr="0072284B">
              <w:rPr>
                <w:b/>
                <w:bCs/>
                <w:sz w:val="22"/>
                <w:szCs w:val="22"/>
                <w:lang w:val="ga"/>
              </w:rPr>
              <w:t>An % d’fhostaithe a bhfuil míchumas orthu mar chéatadán de na fostaithe uile a bhfuil míchumas orthu</w:t>
            </w:r>
          </w:p>
        </w:tc>
      </w:tr>
      <w:tr w:rsidR="00973B13" w:rsidRPr="00BC13A0" w14:paraId="7B6698E1" w14:textId="77777777" w:rsidTr="00E57050">
        <w:trPr>
          <w:trHeight w:val="510"/>
        </w:trPr>
        <w:tc>
          <w:tcPr>
            <w:tcW w:w="1555" w:type="dxa"/>
          </w:tcPr>
          <w:p w14:paraId="539E963F" w14:textId="77777777" w:rsidR="00973B13" w:rsidRPr="00BC13A0" w:rsidRDefault="00973B13" w:rsidP="00AD2F28">
            <w:pPr>
              <w:pStyle w:val="TableHead"/>
              <w:keepNext/>
              <w:rPr>
                <w:color w:val="000000" w:themeColor="text1"/>
                <w:sz w:val="22"/>
                <w:szCs w:val="22"/>
              </w:rPr>
            </w:pPr>
            <w:r>
              <w:rPr>
                <w:bCs/>
                <w:color w:val="000000" w:themeColor="text1"/>
                <w:sz w:val="22"/>
                <w:szCs w:val="22"/>
                <w:lang w:val="ga"/>
              </w:rPr>
              <w:t>1-99</w:t>
            </w:r>
          </w:p>
        </w:tc>
        <w:tc>
          <w:tcPr>
            <w:tcW w:w="1417" w:type="dxa"/>
          </w:tcPr>
          <w:p w14:paraId="05F6D398" w14:textId="4416FDB1" w:rsidR="00973B13" w:rsidRPr="00BC13A0" w:rsidRDefault="007C2B5B" w:rsidP="00AD2F28">
            <w:pPr>
              <w:pStyle w:val="TableCell"/>
              <w:keepNext/>
              <w:jc w:val="right"/>
              <w:rPr>
                <w:color w:val="000000" w:themeColor="text1"/>
                <w:sz w:val="22"/>
                <w:szCs w:val="22"/>
              </w:rPr>
            </w:pPr>
            <w:r>
              <w:rPr>
                <w:rFonts w:cs="Arial"/>
                <w:sz w:val="22"/>
                <w:szCs w:val="22"/>
                <w:lang w:val="ga"/>
              </w:rPr>
              <w:t xml:space="preserve">65 </w:t>
            </w:r>
          </w:p>
        </w:tc>
        <w:tc>
          <w:tcPr>
            <w:tcW w:w="1418" w:type="dxa"/>
          </w:tcPr>
          <w:p w14:paraId="6920267D" w14:textId="1BB5B896" w:rsidR="00973B13" w:rsidRPr="00BC13A0" w:rsidRDefault="008A0082" w:rsidP="00AD2F28">
            <w:pPr>
              <w:pStyle w:val="TableCell"/>
              <w:keepNext/>
              <w:jc w:val="right"/>
              <w:rPr>
                <w:color w:val="000000" w:themeColor="text1"/>
                <w:sz w:val="22"/>
                <w:szCs w:val="22"/>
              </w:rPr>
            </w:pPr>
            <w:r>
              <w:rPr>
                <w:color w:val="000000"/>
                <w:sz w:val="22"/>
                <w:szCs w:val="22"/>
                <w:lang w:val="ga"/>
              </w:rPr>
              <w:t>2,724</w:t>
            </w:r>
          </w:p>
        </w:tc>
        <w:tc>
          <w:tcPr>
            <w:tcW w:w="1417" w:type="dxa"/>
          </w:tcPr>
          <w:p w14:paraId="11717310" w14:textId="6174D50A" w:rsidR="00973B13" w:rsidRPr="00BC13A0" w:rsidRDefault="008A0082" w:rsidP="00AD2F28">
            <w:pPr>
              <w:pStyle w:val="TableCell"/>
              <w:keepNext/>
              <w:jc w:val="right"/>
              <w:rPr>
                <w:color w:val="000000" w:themeColor="text1"/>
                <w:sz w:val="22"/>
                <w:szCs w:val="22"/>
              </w:rPr>
            </w:pPr>
            <w:r>
              <w:rPr>
                <w:color w:val="000000"/>
                <w:sz w:val="22"/>
                <w:szCs w:val="22"/>
                <w:lang w:val="ga"/>
              </w:rPr>
              <w:t>208</w:t>
            </w:r>
          </w:p>
        </w:tc>
        <w:tc>
          <w:tcPr>
            <w:tcW w:w="1418" w:type="dxa"/>
          </w:tcPr>
          <w:p w14:paraId="4857E4A2" w14:textId="467E0C77" w:rsidR="00973B13" w:rsidRPr="00BC13A0" w:rsidRDefault="008A0082" w:rsidP="00AD2F28">
            <w:pPr>
              <w:pStyle w:val="TableCell"/>
              <w:keepNext/>
              <w:jc w:val="right"/>
              <w:rPr>
                <w:color w:val="000000" w:themeColor="text1"/>
                <w:sz w:val="22"/>
                <w:szCs w:val="22"/>
              </w:rPr>
            </w:pPr>
            <w:r>
              <w:rPr>
                <w:rFonts w:cs="Arial"/>
                <w:color w:val="000000"/>
                <w:sz w:val="22"/>
                <w:szCs w:val="22"/>
                <w:lang w:val="ga"/>
              </w:rPr>
              <w:t>7.6%</w:t>
            </w:r>
          </w:p>
        </w:tc>
        <w:tc>
          <w:tcPr>
            <w:tcW w:w="1417" w:type="dxa"/>
          </w:tcPr>
          <w:p w14:paraId="6EEB010D" w14:textId="61EDE196" w:rsidR="00973B13" w:rsidRPr="00BC13A0" w:rsidRDefault="008A0082" w:rsidP="00AD2F28">
            <w:pPr>
              <w:spacing w:after="0"/>
              <w:jc w:val="right"/>
              <w:rPr>
                <w:color w:val="000000" w:themeColor="text1"/>
                <w:sz w:val="22"/>
                <w:szCs w:val="22"/>
              </w:rPr>
            </w:pPr>
            <w:r>
              <w:rPr>
                <w:rFonts w:cs="Arial"/>
                <w:sz w:val="22"/>
                <w:szCs w:val="22"/>
                <w:lang w:val="ga"/>
              </w:rPr>
              <w:t>1.0%</w:t>
            </w:r>
          </w:p>
        </w:tc>
        <w:tc>
          <w:tcPr>
            <w:tcW w:w="1701" w:type="dxa"/>
          </w:tcPr>
          <w:p w14:paraId="489446A2" w14:textId="281AC07E" w:rsidR="00973B13" w:rsidRPr="00BC13A0" w:rsidRDefault="008A0082" w:rsidP="00AD2F28">
            <w:pPr>
              <w:spacing w:after="0"/>
              <w:jc w:val="right"/>
              <w:rPr>
                <w:color w:val="000000" w:themeColor="text1"/>
                <w:sz w:val="22"/>
                <w:szCs w:val="22"/>
              </w:rPr>
            </w:pPr>
            <w:r>
              <w:rPr>
                <w:rFonts w:cs="Arial"/>
                <w:sz w:val="22"/>
                <w:szCs w:val="22"/>
                <w:lang w:val="ga"/>
              </w:rPr>
              <w:t>2.0%</w:t>
            </w:r>
          </w:p>
        </w:tc>
      </w:tr>
      <w:tr w:rsidR="00973B13" w:rsidRPr="00BC13A0" w14:paraId="113E1D4C" w14:textId="77777777" w:rsidTr="00E57050">
        <w:trPr>
          <w:trHeight w:val="510"/>
        </w:trPr>
        <w:tc>
          <w:tcPr>
            <w:tcW w:w="1555" w:type="dxa"/>
          </w:tcPr>
          <w:p w14:paraId="2A03DC63" w14:textId="77777777" w:rsidR="00973B13" w:rsidRPr="00BC13A0" w:rsidRDefault="00973B13" w:rsidP="00AD2F28">
            <w:pPr>
              <w:pStyle w:val="TableHead"/>
              <w:rPr>
                <w:color w:val="000000" w:themeColor="text1"/>
                <w:sz w:val="22"/>
                <w:szCs w:val="22"/>
              </w:rPr>
            </w:pPr>
            <w:r>
              <w:rPr>
                <w:bCs/>
                <w:color w:val="000000" w:themeColor="text1"/>
                <w:sz w:val="22"/>
                <w:szCs w:val="22"/>
                <w:lang w:val="ga"/>
              </w:rPr>
              <w:t xml:space="preserve">100-999 </w:t>
            </w:r>
          </w:p>
        </w:tc>
        <w:tc>
          <w:tcPr>
            <w:tcW w:w="1417" w:type="dxa"/>
          </w:tcPr>
          <w:p w14:paraId="712A8420" w14:textId="6511B725" w:rsidR="00973B13" w:rsidRPr="00BC13A0" w:rsidRDefault="008A0082" w:rsidP="00AD2F28">
            <w:pPr>
              <w:pStyle w:val="TableCell"/>
              <w:jc w:val="right"/>
              <w:rPr>
                <w:color w:val="000000" w:themeColor="text1"/>
                <w:sz w:val="22"/>
                <w:szCs w:val="22"/>
              </w:rPr>
            </w:pPr>
            <w:r>
              <w:rPr>
                <w:rFonts w:cs="Arial"/>
                <w:sz w:val="22"/>
                <w:szCs w:val="22"/>
                <w:lang w:val="ga"/>
              </w:rPr>
              <w:t>106</w:t>
            </w:r>
          </w:p>
        </w:tc>
        <w:tc>
          <w:tcPr>
            <w:tcW w:w="1418" w:type="dxa"/>
          </w:tcPr>
          <w:p w14:paraId="071BA861" w14:textId="172FCAA8" w:rsidR="00973B13" w:rsidRPr="00BC13A0" w:rsidRDefault="008A0082" w:rsidP="00AD2F28">
            <w:pPr>
              <w:pStyle w:val="TableCell"/>
              <w:jc w:val="right"/>
              <w:rPr>
                <w:color w:val="000000" w:themeColor="text1"/>
                <w:sz w:val="22"/>
                <w:szCs w:val="22"/>
              </w:rPr>
            </w:pPr>
            <w:r>
              <w:rPr>
                <w:rFonts w:cs="Arial"/>
                <w:sz w:val="22"/>
                <w:szCs w:val="22"/>
                <w:lang w:val="ga"/>
              </w:rPr>
              <w:t>40,195</w:t>
            </w:r>
          </w:p>
        </w:tc>
        <w:tc>
          <w:tcPr>
            <w:tcW w:w="1417" w:type="dxa"/>
          </w:tcPr>
          <w:p w14:paraId="4B174251" w14:textId="6A526A5E" w:rsidR="00973B13" w:rsidRPr="00BC13A0" w:rsidRDefault="008A0082" w:rsidP="000125BA">
            <w:pPr>
              <w:pStyle w:val="TableCell"/>
              <w:jc w:val="right"/>
              <w:rPr>
                <w:color w:val="000000" w:themeColor="text1"/>
                <w:sz w:val="22"/>
                <w:szCs w:val="22"/>
              </w:rPr>
            </w:pPr>
            <w:r>
              <w:rPr>
                <w:rFonts w:cs="Arial"/>
                <w:sz w:val="22"/>
                <w:szCs w:val="22"/>
                <w:lang w:val="ga"/>
              </w:rPr>
              <w:t>2,380</w:t>
            </w:r>
          </w:p>
        </w:tc>
        <w:tc>
          <w:tcPr>
            <w:tcW w:w="1418" w:type="dxa"/>
          </w:tcPr>
          <w:p w14:paraId="5657F64A" w14:textId="60385CDE" w:rsidR="00973B13" w:rsidRPr="00BC13A0" w:rsidRDefault="008A0082" w:rsidP="00AD2F28">
            <w:pPr>
              <w:pStyle w:val="TableCell"/>
              <w:jc w:val="right"/>
              <w:rPr>
                <w:color w:val="000000" w:themeColor="text1"/>
                <w:sz w:val="22"/>
                <w:szCs w:val="22"/>
              </w:rPr>
            </w:pPr>
            <w:r>
              <w:rPr>
                <w:rFonts w:cs="Arial"/>
                <w:color w:val="000000"/>
                <w:sz w:val="22"/>
                <w:szCs w:val="22"/>
                <w:lang w:val="ga"/>
              </w:rPr>
              <w:t>5.9%</w:t>
            </w:r>
          </w:p>
        </w:tc>
        <w:tc>
          <w:tcPr>
            <w:tcW w:w="1417" w:type="dxa"/>
          </w:tcPr>
          <w:p w14:paraId="07905F0F" w14:textId="49448A93" w:rsidR="00973B13" w:rsidRPr="00BC13A0" w:rsidRDefault="00973B13" w:rsidP="000125BA">
            <w:pPr>
              <w:spacing w:after="0"/>
              <w:jc w:val="right"/>
              <w:rPr>
                <w:color w:val="000000" w:themeColor="text1"/>
                <w:sz w:val="22"/>
                <w:szCs w:val="22"/>
              </w:rPr>
            </w:pPr>
            <w:r>
              <w:rPr>
                <w:rFonts w:cs="Arial"/>
                <w:sz w:val="22"/>
                <w:szCs w:val="22"/>
                <w:lang w:val="ga"/>
              </w:rPr>
              <w:t>15.4%</w:t>
            </w:r>
          </w:p>
        </w:tc>
        <w:tc>
          <w:tcPr>
            <w:tcW w:w="1701" w:type="dxa"/>
          </w:tcPr>
          <w:p w14:paraId="489B84B0" w14:textId="586C71C7" w:rsidR="00973B13" w:rsidRPr="00BC13A0" w:rsidRDefault="00973B13" w:rsidP="000125BA">
            <w:pPr>
              <w:spacing w:after="0"/>
              <w:jc w:val="right"/>
              <w:rPr>
                <w:color w:val="000000" w:themeColor="text1"/>
                <w:sz w:val="22"/>
                <w:szCs w:val="22"/>
              </w:rPr>
            </w:pPr>
            <w:r>
              <w:rPr>
                <w:rFonts w:cs="Arial"/>
                <w:sz w:val="22"/>
                <w:szCs w:val="22"/>
                <w:lang w:val="ga"/>
              </w:rPr>
              <w:t>22.4%</w:t>
            </w:r>
          </w:p>
        </w:tc>
      </w:tr>
      <w:tr w:rsidR="00973B13" w:rsidRPr="00BC13A0" w14:paraId="536B4B55" w14:textId="77777777" w:rsidTr="00E57050">
        <w:trPr>
          <w:trHeight w:val="510"/>
        </w:trPr>
        <w:tc>
          <w:tcPr>
            <w:tcW w:w="1555" w:type="dxa"/>
          </w:tcPr>
          <w:p w14:paraId="16F6996B" w14:textId="77777777" w:rsidR="00973B13" w:rsidRPr="00BC13A0" w:rsidRDefault="00973B13" w:rsidP="00AD2F28">
            <w:pPr>
              <w:spacing w:after="0"/>
              <w:rPr>
                <w:b/>
                <w:color w:val="000000" w:themeColor="text1"/>
                <w:sz w:val="22"/>
                <w:szCs w:val="22"/>
              </w:rPr>
            </w:pPr>
            <w:r>
              <w:rPr>
                <w:b/>
                <w:bCs/>
                <w:color w:val="000000" w:themeColor="text1"/>
                <w:sz w:val="22"/>
                <w:szCs w:val="22"/>
                <w:lang w:val="ga"/>
              </w:rPr>
              <w:t xml:space="preserve">1,000-4,999 </w:t>
            </w:r>
          </w:p>
        </w:tc>
        <w:tc>
          <w:tcPr>
            <w:tcW w:w="1417" w:type="dxa"/>
          </w:tcPr>
          <w:p w14:paraId="0D68692D" w14:textId="0AB8880D" w:rsidR="00973B13" w:rsidRPr="00BC13A0" w:rsidRDefault="00BF3A90" w:rsidP="00AD2F28">
            <w:pPr>
              <w:spacing w:after="0"/>
              <w:jc w:val="right"/>
              <w:rPr>
                <w:color w:val="000000" w:themeColor="text1"/>
                <w:sz w:val="22"/>
                <w:szCs w:val="22"/>
              </w:rPr>
            </w:pPr>
            <w:r>
              <w:rPr>
                <w:rFonts w:cs="Arial"/>
                <w:sz w:val="22"/>
                <w:szCs w:val="22"/>
                <w:lang w:val="ga"/>
              </w:rPr>
              <w:t>34</w:t>
            </w:r>
          </w:p>
        </w:tc>
        <w:tc>
          <w:tcPr>
            <w:tcW w:w="1418" w:type="dxa"/>
          </w:tcPr>
          <w:p w14:paraId="7997ABE0" w14:textId="4DB51F6D" w:rsidR="00973B13" w:rsidRPr="00BC13A0" w:rsidRDefault="00AC0B0F" w:rsidP="000125BA">
            <w:pPr>
              <w:spacing w:after="0"/>
              <w:jc w:val="right"/>
              <w:rPr>
                <w:color w:val="000000" w:themeColor="text1"/>
                <w:sz w:val="22"/>
                <w:szCs w:val="22"/>
              </w:rPr>
            </w:pPr>
            <w:r>
              <w:rPr>
                <w:rFonts w:cs="Arial"/>
                <w:sz w:val="22"/>
                <w:szCs w:val="22"/>
                <w:lang w:val="ga"/>
              </w:rPr>
              <w:t>70,685</w:t>
            </w:r>
          </w:p>
        </w:tc>
        <w:tc>
          <w:tcPr>
            <w:tcW w:w="1417" w:type="dxa"/>
          </w:tcPr>
          <w:p w14:paraId="4AA9A9FC" w14:textId="20E0D58C" w:rsidR="00973B13" w:rsidRPr="00BC13A0" w:rsidRDefault="00AC0B0F" w:rsidP="00AD2F28">
            <w:pPr>
              <w:spacing w:after="0"/>
              <w:jc w:val="right"/>
              <w:rPr>
                <w:color w:val="000000" w:themeColor="text1"/>
                <w:sz w:val="22"/>
                <w:szCs w:val="22"/>
              </w:rPr>
            </w:pPr>
            <w:r>
              <w:rPr>
                <w:rFonts w:cs="Arial"/>
                <w:sz w:val="22"/>
                <w:szCs w:val="22"/>
                <w:lang w:val="ga"/>
              </w:rPr>
              <w:t>3,639</w:t>
            </w:r>
          </w:p>
        </w:tc>
        <w:tc>
          <w:tcPr>
            <w:tcW w:w="1418" w:type="dxa"/>
          </w:tcPr>
          <w:p w14:paraId="69EAFAE4" w14:textId="55E7A701" w:rsidR="00973B13" w:rsidRPr="00BC13A0" w:rsidRDefault="00BF3A90" w:rsidP="00AD2F28">
            <w:pPr>
              <w:spacing w:after="0"/>
              <w:jc w:val="right"/>
              <w:rPr>
                <w:color w:val="000000" w:themeColor="text1"/>
                <w:sz w:val="22"/>
                <w:szCs w:val="22"/>
              </w:rPr>
            </w:pPr>
            <w:r>
              <w:rPr>
                <w:rFonts w:cs="Arial"/>
                <w:color w:val="000000"/>
                <w:sz w:val="22"/>
                <w:szCs w:val="22"/>
                <w:lang w:val="ga"/>
              </w:rPr>
              <w:t>5.1%</w:t>
            </w:r>
          </w:p>
        </w:tc>
        <w:tc>
          <w:tcPr>
            <w:tcW w:w="1417" w:type="dxa"/>
          </w:tcPr>
          <w:p w14:paraId="76A7EE91" w14:textId="720E5820" w:rsidR="00973B13" w:rsidRPr="00BC13A0" w:rsidRDefault="00973B13" w:rsidP="000125BA">
            <w:pPr>
              <w:spacing w:after="0"/>
              <w:jc w:val="right"/>
              <w:rPr>
                <w:color w:val="000000" w:themeColor="text1"/>
                <w:sz w:val="22"/>
                <w:szCs w:val="22"/>
              </w:rPr>
            </w:pPr>
            <w:r>
              <w:rPr>
                <w:rFonts w:cs="Arial"/>
                <w:sz w:val="22"/>
                <w:szCs w:val="22"/>
                <w:lang w:val="ga"/>
              </w:rPr>
              <w:t>27.1%</w:t>
            </w:r>
          </w:p>
        </w:tc>
        <w:tc>
          <w:tcPr>
            <w:tcW w:w="1701" w:type="dxa"/>
          </w:tcPr>
          <w:p w14:paraId="2378268A" w14:textId="6B1130F8" w:rsidR="00973B13" w:rsidRPr="00BC13A0" w:rsidRDefault="00AC0B0F" w:rsidP="00AD2F28">
            <w:pPr>
              <w:spacing w:after="0"/>
              <w:jc w:val="right"/>
              <w:rPr>
                <w:color w:val="000000" w:themeColor="text1"/>
                <w:sz w:val="22"/>
                <w:szCs w:val="22"/>
              </w:rPr>
            </w:pPr>
            <w:r>
              <w:rPr>
                <w:rFonts w:cs="Arial"/>
                <w:sz w:val="22"/>
                <w:szCs w:val="22"/>
                <w:lang w:val="ga"/>
              </w:rPr>
              <w:t>34.2%</w:t>
            </w:r>
          </w:p>
        </w:tc>
      </w:tr>
      <w:tr w:rsidR="00973B13" w:rsidRPr="00BC13A0" w14:paraId="7C1F76BA" w14:textId="77777777" w:rsidTr="00E57050">
        <w:trPr>
          <w:trHeight w:val="510"/>
        </w:trPr>
        <w:tc>
          <w:tcPr>
            <w:tcW w:w="1555" w:type="dxa"/>
          </w:tcPr>
          <w:p w14:paraId="5635D57E" w14:textId="77777777" w:rsidR="00973B13" w:rsidRPr="00BC13A0" w:rsidRDefault="00973B13" w:rsidP="00AD2F28">
            <w:pPr>
              <w:spacing w:after="0"/>
              <w:rPr>
                <w:b/>
                <w:color w:val="000000" w:themeColor="text1"/>
                <w:sz w:val="22"/>
                <w:szCs w:val="22"/>
              </w:rPr>
            </w:pPr>
            <w:r>
              <w:rPr>
                <w:b/>
                <w:bCs/>
                <w:color w:val="000000" w:themeColor="text1"/>
                <w:sz w:val="22"/>
                <w:szCs w:val="22"/>
                <w:lang w:val="ga"/>
              </w:rPr>
              <w:t>5,000 +</w:t>
            </w:r>
          </w:p>
        </w:tc>
        <w:tc>
          <w:tcPr>
            <w:tcW w:w="1417" w:type="dxa"/>
          </w:tcPr>
          <w:p w14:paraId="6A4C25E7" w14:textId="7CB067A1" w:rsidR="00973B13" w:rsidRPr="00BC13A0" w:rsidRDefault="00BF3A90" w:rsidP="00AD2F28">
            <w:pPr>
              <w:spacing w:after="0"/>
              <w:jc w:val="right"/>
              <w:rPr>
                <w:color w:val="000000" w:themeColor="text1"/>
                <w:sz w:val="22"/>
                <w:szCs w:val="22"/>
              </w:rPr>
            </w:pPr>
            <w:r>
              <w:rPr>
                <w:color w:val="000000" w:themeColor="text1"/>
                <w:sz w:val="22"/>
                <w:szCs w:val="22"/>
                <w:lang w:val="ga"/>
              </w:rPr>
              <w:t>8</w:t>
            </w:r>
          </w:p>
        </w:tc>
        <w:tc>
          <w:tcPr>
            <w:tcW w:w="1418" w:type="dxa"/>
          </w:tcPr>
          <w:p w14:paraId="0656F4AD" w14:textId="649F6397" w:rsidR="00973B13" w:rsidRPr="00BC13A0" w:rsidRDefault="00AC0B0F" w:rsidP="00AD2F28">
            <w:pPr>
              <w:spacing w:after="0"/>
              <w:jc w:val="right"/>
              <w:rPr>
                <w:color w:val="000000" w:themeColor="text1"/>
                <w:sz w:val="22"/>
                <w:szCs w:val="22"/>
              </w:rPr>
            </w:pPr>
            <w:r>
              <w:rPr>
                <w:color w:val="000000"/>
                <w:sz w:val="22"/>
                <w:szCs w:val="22"/>
                <w:lang w:val="ga"/>
              </w:rPr>
              <w:t>146,830</w:t>
            </w:r>
          </w:p>
        </w:tc>
        <w:tc>
          <w:tcPr>
            <w:tcW w:w="1417" w:type="dxa"/>
          </w:tcPr>
          <w:p w14:paraId="50F53796" w14:textId="1B9899A0" w:rsidR="00973B13" w:rsidRPr="00BC13A0" w:rsidRDefault="00F254DA" w:rsidP="00AD2F28">
            <w:pPr>
              <w:spacing w:after="0"/>
              <w:jc w:val="right"/>
              <w:rPr>
                <w:color w:val="000000" w:themeColor="text1"/>
                <w:sz w:val="22"/>
                <w:szCs w:val="22"/>
              </w:rPr>
            </w:pPr>
            <w:r>
              <w:rPr>
                <w:color w:val="000000"/>
                <w:sz w:val="22"/>
                <w:szCs w:val="22"/>
                <w:lang w:val="ga"/>
              </w:rPr>
              <w:t>4,404</w:t>
            </w:r>
          </w:p>
        </w:tc>
        <w:tc>
          <w:tcPr>
            <w:tcW w:w="1418" w:type="dxa"/>
          </w:tcPr>
          <w:p w14:paraId="6A624BCF" w14:textId="1BFD862D" w:rsidR="00973B13" w:rsidRPr="00BC13A0" w:rsidRDefault="00F254DA" w:rsidP="00AD2F28">
            <w:pPr>
              <w:spacing w:after="0"/>
              <w:jc w:val="right"/>
              <w:rPr>
                <w:color w:val="000000" w:themeColor="text1"/>
                <w:sz w:val="22"/>
                <w:szCs w:val="22"/>
              </w:rPr>
            </w:pPr>
            <w:r>
              <w:rPr>
                <w:color w:val="000000" w:themeColor="text1"/>
                <w:sz w:val="22"/>
                <w:szCs w:val="22"/>
                <w:lang w:val="ga"/>
              </w:rPr>
              <w:t>3.0%</w:t>
            </w:r>
          </w:p>
        </w:tc>
        <w:tc>
          <w:tcPr>
            <w:tcW w:w="1417" w:type="dxa"/>
          </w:tcPr>
          <w:p w14:paraId="580327A1" w14:textId="0CDED4DD" w:rsidR="00973B13" w:rsidRPr="00BC13A0" w:rsidRDefault="00973B13" w:rsidP="000125BA">
            <w:pPr>
              <w:spacing w:after="0"/>
              <w:jc w:val="right"/>
              <w:rPr>
                <w:color w:val="000000" w:themeColor="text1"/>
                <w:sz w:val="22"/>
                <w:szCs w:val="22"/>
              </w:rPr>
            </w:pPr>
            <w:r>
              <w:rPr>
                <w:color w:val="000000" w:themeColor="text1"/>
                <w:sz w:val="22"/>
                <w:szCs w:val="22"/>
                <w:lang w:val="ga"/>
              </w:rPr>
              <w:t>56.4%</w:t>
            </w:r>
          </w:p>
        </w:tc>
        <w:tc>
          <w:tcPr>
            <w:tcW w:w="1701" w:type="dxa"/>
          </w:tcPr>
          <w:p w14:paraId="0C1426C1" w14:textId="59B002D3" w:rsidR="00973B13" w:rsidRPr="00BC13A0" w:rsidRDefault="00F254DA" w:rsidP="000125BA">
            <w:pPr>
              <w:spacing w:after="0"/>
              <w:jc w:val="right"/>
              <w:rPr>
                <w:color w:val="000000" w:themeColor="text1"/>
                <w:sz w:val="22"/>
                <w:szCs w:val="22"/>
              </w:rPr>
            </w:pPr>
            <w:r>
              <w:rPr>
                <w:color w:val="000000" w:themeColor="text1"/>
                <w:sz w:val="22"/>
                <w:szCs w:val="22"/>
                <w:lang w:val="ga"/>
              </w:rPr>
              <w:t>41.4%</w:t>
            </w:r>
          </w:p>
        </w:tc>
      </w:tr>
      <w:tr w:rsidR="00973B13" w:rsidRPr="004C3D5B" w14:paraId="010A9BBA" w14:textId="77777777" w:rsidTr="00E57050">
        <w:trPr>
          <w:trHeight w:val="510"/>
        </w:trPr>
        <w:tc>
          <w:tcPr>
            <w:tcW w:w="1555" w:type="dxa"/>
          </w:tcPr>
          <w:p w14:paraId="5E1ABBBF" w14:textId="71FEB832" w:rsidR="00973B13" w:rsidRPr="00BC13A0" w:rsidRDefault="002F41F3" w:rsidP="00AD2F28">
            <w:pPr>
              <w:spacing w:after="0"/>
              <w:rPr>
                <w:b/>
                <w:color w:val="000000" w:themeColor="text1"/>
                <w:sz w:val="22"/>
                <w:szCs w:val="22"/>
              </w:rPr>
            </w:pPr>
            <w:r>
              <w:rPr>
                <w:b/>
                <w:bCs/>
                <w:color w:val="000000" w:themeColor="text1"/>
                <w:sz w:val="22"/>
                <w:szCs w:val="22"/>
                <w:lang w:val="ga"/>
              </w:rPr>
              <w:t>Iomlán 2022</w:t>
            </w:r>
          </w:p>
        </w:tc>
        <w:tc>
          <w:tcPr>
            <w:tcW w:w="1417" w:type="dxa"/>
          </w:tcPr>
          <w:p w14:paraId="42A18A18" w14:textId="5FA5D404" w:rsidR="00973B13" w:rsidRPr="00BC13A0" w:rsidRDefault="00AC0B0F" w:rsidP="00AD2F28">
            <w:pPr>
              <w:spacing w:after="0"/>
              <w:jc w:val="right"/>
              <w:rPr>
                <w:b/>
                <w:color w:val="000000" w:themeColor="text1"/>
                <w:sz w:val="22"/>
                <w:szCs w:val="22"/>
              </w:rPr>
            </w:pPr>
            <w:r>
              <w:rPr>
                <w:b/>
                <w:bCs/>
                <w:color w:val="000000" w:themeColor="text1"/>
                <w:sz w:val="22"/>
                <w:szCs w:val="22"/>
                <w:lang w:val="ga"/>
              </w:rPr>
              <w:t>213</w:t>
            </w:r>
          </w:p>
        </w:tc>
        <w:tc>
          <w:tcPr>
            <w:tcW w:w="1418" w:type="dxa"/>
          </w:tcPr>
          <w:p w14:paraId="4A3B9049" w14:textId="4AEB311D" w:rsidR="00973B13" w:rsidRPr="00BC13A0" w:rsidRDefault="00AC0B0F" w:rsidP="00AD2F28">
            <w:pPr>
              <w:spacing w:after="0"/>
              <w:jc w:val="right"/>
              <w:rPr>
                <w:b/>
                <w:color w:val="000000" w:themeColor="text1"/>
                <w:sz w:val="22"/>
                <w:szCs w:val="22"/>
              </w:rPr>
            </w:pPr>
            <w:r>
              <w:rPr>
                <w:rFonts w:cs="Arial"/>
                <w:b/>
                <w:bCs/>
                <w:color w:val="000000"/>
                <w:sz w:val="22"/>
                <w:szCs w:val="22"/>
                <w:lang w:val="ga"/>
              </w:rPr>
              <w:t xml:space="preserve">260,434 </w:t>
            </w:r>
          </w:p>
        </w:tc>
        <w:tc>
          <w:tcPr>
            <w:tcW w:w="1417" w:type="dxa"/>
          </w:tcPr>
          <w:p w14:paraId="6A1B2AFE" w14:textId="36FE1677" w:rsidR="00973B13" w:rsidRPr="00BC13A0" w:rsidRDefault="00F254DA" w:rsidP="00AD2F28">
            <w:pPr>
              <w:spacing w:after="0"/>
              <w:jc w:val="right"/>
              <w:rPr>
                <w:b/>
                <w:color w:val="000000" w:themeColor="text1"/>
                <w:sz w:val="22"/>
                <w:szCs w:val="22"/>
              </w:rPr>
            </w:pPr>
            <w:r>
              <w:rPr>
                <w:rFonts w:cs="Arial"/>
                <w:b/>
                <w:bCs/>
                <w:color w:val="000000"/>
                <w:sz w:val="22"/>
                <w:szCs w:val="22"/>
                <w:lang w:val="ga"/>
              </w:rPr>
              <w:t xml:space="preserve">10,631 </w:t>
            </w:r>
          </w:p>
        </w:tc>
        <w:tc>
          <w:tcPr>
            <w:tcW w:w="1418" w:type="dxa"/>
          </w:tcPr>
          <w:p w14:paraId="2F4D3062" w14:textId="7478C71C" w:rsidR="00973B13" w:rsidRPr="00BC13A0" w:rsidRDefault="00F254DA" w:rsidP="00AD2F28">
            <w:pPr>
              <w:spacing w:after="0"/>
              <w:jc w:val="right"/>
              <w:rPr>
                <w:b/>
                <w:color w:val="000000" w:themeColor="text1"/>
                <w:sz w:val="22"/>
                <w:szCs w:val="22"/>
              </w:rPr>
            </w:pPr>
            <w:r>
              <w:rPr>
                <w:b/>
                <w:bCs/>
                <w:color w:val="000000" w:themeColor="text1"/>
                <w:sz w:val="22"/>
                <w:szCs w:val="22"/>
                <w:lang w:val="ga"/>
              </w:rPr>
              <w:t>4.1%</w:t>
            </w:r>
          </w:p>
        </w:tc>
        <w:tc>
          <w:tcPr>
            <w:tcW w:w="1417" w:type="dxa"/>
          </w:tcPr>
          <w:p w14:paraId="3F45FED6" w14:textId="77777777" w:rsidR="00973B13" w:rsidRPr="00BC13A0" w:rsidRDefault="00973B13" w:rsidP="00AD2F28">
            <w:pPr>
              <w:spacing w:after="0"/>
              <w:jc w:val="right"/>
              <w:rPr>
                <w:b/>
                <w:color w:val="000000" w:themeColor="text1"/>
                <w:sz w:val="22"/>
                <w:szCs w:val="22"/>
              </w:rPr>
            </w:pPr>
            <w:r>
              <w:rPr>
                <w:b/>
                <w:bCs/>
                <w:color w:val="000000" w:themeColor="text1"/>
                <w:sz w:val="22"/>
                <w:szCs w:val="22"/>
                <w:lang w:val="ga"/>
              </w:rPr>
              <w:t>100%</w:t>
            </w:r>
          </w:p>
        </w:tc>
        <w:tc>
          <w:tcPr>
            <w:tcW w:w="1701" w:type="dxa"/>
          </w:tcPr>
          <w:p w14:paraId="7B4E2C68" w14:textId="77777777" w:rsidR="00973B13" w:rsidRPr="004C3D5B" w:rsidRDefault="00973B13" w:rsidP="00AD2F28">
            <w:pPr>
              <w:spacing w:after="0"/>
              <w:jc w:val="right"/>
              <w:rPr>
                <w:b/>
                <w:color w:val="000000" w:themeColor="text1"/>
                <w:sz w:val="22"/>
                <w:szCs w:val="22"/>
              </w:rPr>
            </w:pPr>
            <w:r>
              <w:rPr>
                <w:b/>
                <w:bCs/>
                <w:color w:val="000000" w:themeColor="text1"/>
                <w:sz w:val="22"/>
                <w:szCs w:val="22"/>
                <w:lang w:val="ga"/>
              </w:rPr>
              <w:t>100%</w:t>
            </w:r>
          </w:p>
        </w:tc>
      </w:tr>
    </w:tbl>
    <w:p w14:paraId="562D3F99" w14:textId="77777777" w:rsidR="008A6636" w:rsidRPr="004C3D5B" w:rsidRDefault="008A6636" w:rsidP="008A6636">
      <w:pPr>
        <w:pStyle w:val="Heading2"/>
      </w:pPr>
    </w:p>
    <w:p w14:paraId="736E4E41" w14:textId="160A0689" w:rsidR="00F23185" w:rsidRDefault="00090DB2" w:rsidP="00F23185">
      <w:pPr>
        <w:pStyle w:val="Heading2"/>
      </w:pPr>
      <w:bookmarkStart w:id="47" w:name="_Toc147910077"/>
      <w:r>
        <w:rPr>
          <w:bCs/>
          <w:lang w:val="ga"/>
        </w:rPr>
        <w:t>2.4 Samhlacha Dea-Chleachtais</w:t>
      </w:r>
      <w:bookmarkEnd w:id="47"/>
      <w:r>
        <w:rPr>
          <w:bCs/>
          <w:lang w:val="ga"/>
        </w:rPr>
        <w:t xml:space="preserve"> </w:t>
      </w:r>
    </w:p>
    <w:p w14:paraId="36DB8FBA" w14:textId="39D5DF1C" w:rsidR="00DF3CD0" w:rsidRPr="004700D9" w:rsidRDefault="00DF3CD0" w:rsidP="00F23185">
      <w:r>
        <w:rPr>
          <w:lang w:val="ga"/>
        </w:rPr>
        <w:t>Thaispeáin comhlachtaí poiblí an tábhacht a bhaineann le samhlacha dea-chleachtais a bheith i bhfeidhm acu chun cabhrú leo a n-oibleagáidí a chomhlíonadh agus a bhfeidhmíocht faoi Chuid 5 a fheabhsú freisin. Bíonn ÚNM ag tabhairt comhairle agus treoir do na comhlachtaí poiblí sin ar bhonn seasta chun cabhrú leo an cuspóir sin a bhaint amach.</w:t>
      </w:r>
    </w:p>
    <w:p w14:paraId="15D3CEAC" w14:textId="77777777" w:rsidR="00D012C4" w:rsidRPr="004700D9" w:rsidRDefault="00D012C4" w:rsidP="00D012C4">
      <w:r>
        <w:rPr>
          <w:lang w:val="ga"/>
        </w:rPr>
        <w:t>Is é an toradh a bhí ar na samhlacha dea-chleachtais sin a chur chun feidhme ná gur thuairiscigh roinnt comhlachtaí poiblí méadú sa líon fostaithe, agus sa chéatadán d’fhostaithe, a thuairiscigh míchumas, agus iad ag taispeáint an dul chun cinn atá á dhéanamh acu ar an íos-sprioc 4.5% faoin mbliain 2024 a bhaint amach agus ar an íos-sprioc 6% faoin mbliain 2025 a bhaint amach.</w:t>
      </w:r>
    </w:p>
    <w:p w14:paraId="79AC4A43" w14:textId="77777777" w:rsidR="00D012C4" w:rsidRPr="004700D9" w:rsidRDefault="00D012C4" w:rsidP="00D012C4">
      <w:r>
        <w:rPr>
          <w:lang w:val="ga"/>
        </w:rPr>
        <w:t>I gcás roinnt comhlachtaí poiblí a bhí ag déileáil le hathstruchtúrú suntasach eagrúcháin agus/nó le cur isteach suntasach ar a n-oibríochtaí de dheasca phaindéim COVID-19, cabhraíodh leo, trí shamhlacha dea-chleachtais a bheith i bhfeidhm acu, a thaispeáint go bhfuil siad ag obair i dtreo a n-oibleagáidí faoi Chuid 5 a chomhlíonadh, d’ainneoin na n-imeachtaí sin.</w:t>
      </w:r>
    </w:p>
    <w:p w14:paraId="3911AAFB" w14:textId="438FE43E" w:rsidR="003E01C9" w:rsidRPr="004700D9" w:rsidRDefault="003E01C9" w:rsidP="00F23185"/>
    <w:p w14:paraId="30F4EA50" w14:textId="0EDDCC90" w:rsidR="00D012C4" w:rsidRPr="004700D9" w:rsidRDefault="00D012C4" w:rsidP="00E642D9">
      <w:r>
        <w:rPr>
          <w:lang w:val="ga"/>
        </w:rPr>
        <w:t xml:space="preserve">Is mar a leanas atá roinnt samplaí de shamhlacha dea-chleachtais ar thuairiscigh comhlachtaí poiblí agus Ranna Rialtais iad: </w:t>
      </w:r>
    </w:p>
    <w:p w14:paraId="09EBE27D" w14:textId="71AB1B40" w:rsidR="00D012C4" w:rsidRPr="004700D9" w:rsidRDefault="00222B10" w:rsidP="00D012C4">
      <w:pPr>
        <w:pStyle w:val="ListParagraph"/>
        <w:numPr>
          <w:ilvl w:val="0"/>
          <w:numId w:val="23"/>
        </w:numPr>
        <w:spacing w:after="120"/>
        <w:ind w:left="714" w:hanging="357"/>
        <w:contextualSpacing w:val="0"/>
        <w:rPr>
          <w:rFonts w:ascii="Gill Sans MT" w:hAnsi="Gill Sans MT"/>
        </w:rPr>
      </w:pPr>
      <w:r>
        <w:rPr>
          <w:rFonts w:ascii="Gill Sans MT" w:hAnsi="Gill Sans MT"/>
          <w:lang w:val="ga"/>
        </w:rPr>
        <w:lastRenderedPageBreak/>
        <w:t>Bhí gealltanas go gcruthófaí cultúr comhionann éagsúil cuimsitheach oibre ina ndíreofaí ar earcú agus coinneáil daoine a bhfuil míchumas orthu a mhéadú ar áireamh ina Straitéis Acmhainní Daonna/ina Straitéis Chorparáideach acu. Thaispeáin Stiúrthóirí agus an Lucht Ardbhainistíochta a dtiomantas don chuspóir sin a bhaint amach trí Phlean Gníomhaíochta um Chomhionannas, Éagsúlacht agus Cuimsiú a fhorbairt chun an céanna a chur chun feidhme</w:t>
      </w:r>
    </w:p>
    <w:p w14:paraId="395C7C99" w14:textId="2E823BB1" w:rsidR="00D012C4" w:rsidRPr="004700D9" w:rsidRDefault="00D012C4" w:rsidP="00D012C4">
      <w:pPr>
        <w:pStyle w:val="ListParagraph"/>
        <w:numPr>
          <w:ilvl w:val="0"/>
          <w:numId w:val="23"/>
        </w:numPr>
        <w:spacing w:after="120"/>
        <w:ind w:left="714" w:hanging="357"/>
        <w:contextualSpacing w:val="0"/>
        <w:rPr>
          <w:rFonts w:ascii="Gill Sans MT" w:hAnsi="Gill Sans MT"/>
        </w:rPr>
      </w:pPr>
      <w:r>
        <w:rPr>
          <w:rFonts w:ascii="Gill Sans MT" w:hAnsi="Gill Sans MT"/>
          <w:lang w:val="ga"/>
        </w:rPr>
        <w:t>Chuir siad cur chuige Deartha Uilíoch chun feidhme chun a chinntiú go mbeadh a gcuid táirgí, seirbhísí, cumarsáidí (digiteacha, scríofa, labhartha agus comharthaithe) agus timpeallachtaí fisiciúla éasca le rochtain, le tuiscint agus le húsáid do gach duine, beag beann ar aois, ar mhéid, ar chumas nó ar mhíchumas. Bhí beartais agus próisis i bhfeidhm acu chun a chinntiú gurbh amhlaidh, maidir le gach cumarsáid, agus faisnéis earcaíochta agus doiciméadacht earcaíochta go háirithe, a bheadh siad inrochtana, is féidir leo cabhrú le daoine a bhfuil míchumas orthu a mheas go bhfuil siad á gcuimsiú tuilleadh agus a d’fhéadfadh siad na daoine sin a spreagadh chun iarratas a dhéanamh ar fholúntais i gcomhlacht poiblí. D’fhéadfadh sé freisin fostaithe a bhfuil míchumas orthu a spreagadh chun iarratas a dhéanamh ar ardú céime laistigh d’eagraíocht</w:t>
      </w:r>
    </w:p>
    <w:p w14:paraId="2C24D359" w14:textId="396EE503" w:rsidR="00D012C4" w:rsidRPr="004700D9" w:rsidRDefault="00D012C4" w:rsidP="00D012C4">
      <w:pPr>
        <w:pStyle w:val="ListParagraph"/>
        <w:numPr>
          <w:ilvl w:val="0"/>
          <w:numId w:val="18"/>
        </w:numPr>
        <w:spacing w:after="120"/>
        <w:ind w:left="714" w:hanging="357"/>
        <w:contextualSpacing w:val="0"/>
        <w:rPr>
          <w:rFonts w:ascii="Gill Sans MT" w:hAnsi="Gill Sans MT"/>
        </w:rPr>
      </w:pPr>
      <w:r>
        <w:rPr>
          <w:rFonts w:ascii="Gill Sans MT" w:hAnsi="Gill Sans MT"/>
          <w:lang w:val="ga"/>
        </w:rPr>
        <w:t>Chuir siad oiliúint ar Bhainisteoirí agus ar Bhainisteoirí Líne chun tacú le gach fostaí, lena n-áirítear fostaithe a bhfuil míchumas orthu</w:t>
      </w:r>
    </w:p>
    <w:p w14:paraId="1BCCC80A" w14:textId="2B53B2E5" w:rsidR="00D012C4" w:rsidRPr="004700D9" w:rsidRDefault="00D012C4" w:rsidP="00D012C4">
      <w:pPr>
        <w:pStyle w:val="ListParagraph"/>
        <w:numPr>
          <w:ilvl w:val="0"/>
          <w:numId w:val="18"/>
        </w:numPr>
        <w:spacing w:after="120"/>
        <w:ind w:left="714" w:hanging="357"/>
        <w:contextualSpacing w:val="0"/>
        <w:rPr>
          <w:rFonts w:ascii="Gill Sans MT" w:hAnsi="Gill Sans MT"/>
        </w:rPr>
      </w:pPr>
      <w:r>
        <w:rPr>
          <w:rFonts w:ascii="Gill Sans MT" w:hAnsi="Gill Sans MT"/>
          <w:lang w:val="ga"/>
        </w:rPr>
        <w:t>Bhí comhpháirtíocht acu le AHEAD, le hIonad na Tríonóide do Dhaoine a bhfuil Míchumas Intleachta orthu agus le heagraíochtaí eile a thacaíonn le fostóirí deiseanna taithí oibre a sholáthar do dhaoine a bhfuil míchumas orthu d’fhonn fostaíocht pháirtaimseartha nó lánaimseartha a sholáthar dóibh</w:t>
      </w:r>
    </w:p>
    <w:p w14:paraId="14A6BDF6" w14:textId="1245EAED" w:rsidR="00D012C4" w:rsidRPr="004700D9" w:rsidRDefault="00222B10" w:rsidP="00D012C4">
      <w:pPr>
        <w:pStyle w:val="ListParagraph"/>
        <w:numPr>
          <w:ilvl w:val="0"/>
          <w:numId w:val="18"/>
        </w:numPr>
        <w:rPr>
          <w:rFonts w:ascii="Gill Sans MT" w:hAnsi="Gill Sans MT"/>
        </w:rPr>
      </w:pPr>
      <w:r>
        <w:rPr>
          <w:rFonts w:ascii="Gill Sans MT" w:hAnsi="Gill Sans MT"/>
          <w:lang w:val="ga"/>
        </w:rPr>
        <w:t xml:space="preserve">Bhí beartais shoiléire, próisis shoiléire agus cur chuige comhsheasmhach acu maidir le socruithe réasúnacha a sholáthar. Thuairiscigh Roinn Rialtais amháin gur eagraigh sí Ateangairí Teanga Comharthaíochta chun cabhrú le fostaithe atá bodhar nó a bhfuil caillteanas éisteachta acu le haghaidh a dtimthrialla ionduchtúcháin, oiliúna agus forbartha, le haghaidh a dtimthrialla córas bainistíochta agus forbartha feidhmíochta agus le haghaidh a dtimthrialla promhaidh. </w:t>
      </w:r>
    </w:p>
    <w:p w14:paraId="62A03822" w14:textId="77777777" w:rsidR="00D012C4" w:rsidRPr="004700D9" w:rsidRDefault="00D012C4" w:rsidP="00D012C4">
      <w:pPr>
        <w:pStyle w:val="ListParagraph"/>
        <w:rPr>
          <w:rFonts w:ascii="Gill Sans MT" w:hAnsi="Gill Sans MT"/>
          <w:sz w:val="12"/>
          <w:szCs w:val="12"/>
        </w:rPr>
      </w:pPr>
    </w:p>
    <w:p w14:paraId="1946BB8B" w14:textId="5CDD16E0" w:rsidR="00D012C4" w:rsidRDefault="00D012C4" w:rsidP="00E642D9">
      <w:pPr>
        <w:pStyle w:val="ListParagraph"/>
        <w:numPr>
          <w:ilvl w:val="0"/>
          <w:numId w:val="18"/>
        </w:numPr>
        <w:spacing w:after="120"/>
        <w:ind w:left="714" w:hanging="357"/>
        <w:contextualSpacing w:val="0"/>
        <w:rPr>
          <w:rFonts w:ascii="Gill Sans MT" w:hAnsi="Gill Sans MT"/>
        </w:rPr>
      </w:pPr>
      <w:r>
        <w:rPr>
          <w:rFonts w:ascii="Gill Sans MT" w:hAnsi="Gill Sans MT"/>
          <w:lang w:val="ga"/>
        </w:rPr>
        <w:t xml:space="preserve">Bhunaigh siad grúpa/líonra fostaithe Cuimsithe Shóisialta agus Míchumais a bhfuil fostaithe a bhfuil míchumas orthu ar áireamh ann chun eolas a dhéanamh do bheartais eagraíochta a fhorbairt agus a chur chun feidhme chun cultúr comhionann éagsúil cuimsitheach oibre a chruthú agus a chothabháil. </w:t>
      </w:r>
    </w:p>
    <w:p w14:paraId="42A354EF" w14:textId="77777777" w:rsidR="00D012C4" w:rsidRPr="004700D9" w:rsidRDefault="00D012C4" w:rsidP="00E642D9"/>
    <w:p w14:paraId="0FD8FEC6" w14:textId="1943E8E4" w:rsidR="00B12926" w:rsidRPr="006766F6" w:rsidRDefault="00A53ACB" w:rsidP="00B12926">
      <w:pPr>
        <w:pStyle w:val="Heading2"/>
      </w:pPr>
      <w:bookmarkStart w:id="48" w:name="_Toc147910078"/>
      <w:r>
        <w:rPr>
          <w:bCs/>
          <w:lang w:val="ga"/>
        </w:rPr>
        <w:lastRenderedPageBreak/>
        <w:t>2.5 An Móiminteam a Choinneáil ar Bun</w:t>
      </w:r>
      <w:bookmarkEnd w:id="48"/>
    </w:p>
    <w:p w14:paraId="12B2B811" w14:textId="2D5168ED" w:rsidR="00B12926" w:rsidRDefault="00B12926" w:rsidP="00B12926">
      <w:r>
        <w:rPr>
          <w:lang w:val="ga"/>
        </w:rPr>
        <w:t xml:space="preserve">Tá áthas ar ÚNM an méadú sa líon foriomlán fostaithe, agus sa chéatadán foriomlán d’fhostaithe, a thuairiscigh míchumas sa bhliain 2022 a thabhairt dá aire. </w:t>
      </w:r>
    </w:p>
    <w:p w14:paraId="266815AB" w14:textId="520B0188" w:rsidR="00474F82" w:rsidRDefault="00474F82" w:rsidP="00B12926">
      <w:r>
        <w:rPr>
          <w:lang w:val="ga"/>
        </w:rPr>
        <w:t xml:space="preserve">Chuir ÚNM in iúl do chomhlachtaí poiblí, áfach, go méadódh an sprioc reachtúil fostaíochta go 4.5% faoin mbliain 2024. Sa bhliain 2022, chomhlíon 141 chomhlacht phoiblí (66.2%) an sprioc 4.5% agus níor chomhlíon 72 chomhlacht (33.8%) an sprioc sin. Dá bhrí sin, tá ÚNM ag leanúint dá chur in iúl do chomhlachtaí poiblí gur gá dóibh an móiminteam a choinneáil ar bun agus díriú ar a bhfeidhmíocht faoi Chuid 5 a fheabhsú de shíor. Is bunriachtanas é sin má táthar chun méadú suntasach a fheiceáil sa líon comhlachtaí poiblí, agus sa chéatadán de chomhlachtaí poiblí, a bheidh ag comhlíonadh na híos-sprice 4.5% tráth tháirgeadh na </w:t>
      </w:r>
      <w:r>
        <w:rPr>
          <w:b/>
          <w:bCs/>
          <w:lang w:val="ga"/>
        </w:rPr>
        <w:t>Tuarascála ar Chomhlíonadh Chuid 5 den Acht um Míchumas 2005 do 2024</w:t>
      </w:r>
      <w:r>
        <w:rPr>
          <w:lang w:val="ga"/>
        </w:rPr>
        <w:t xml:space="preserve"> i gceann dhá bhliain.</w:t>
      </w:r>
    </w:p>
    <w:p w14:paraId="2733183A" w14:textId="0D507163" w:rsidR="00474F82" w:rsidRDefault="00533050" w:rsidP="003343F5">
      <w:r>
        <w:rPr>
          <w:lang w:val="ga"/>
        </w:rPr>
        <w:t>Tugann ÚNM dá aire freisin gur mhéadaigh an líon comhlachtaí poiblí, agus an céatadán de chomhlachtaí poiblí, a thuairiscigh gur thuairiscigh 6% ar a laghad dá bhfostaithe míchumas ó 78 gcomhlacht phoiblí (36.6%) sa bhliain 2021 go 103 chomhlacht phoiblí (48.4%) sa bhliain 2022.  Sa chomhthéacs sin, bímid á chur in iúl do chomhlachtaí poiblí ar bhonn seasta gur gá dóibh díriú ar bhogadh ón sprioc 4.5% chuig an sprioc 6% sna blianta beaga atá romhainn.</w:t>
      </w:r>
    </w:p>
    <w:p w14:paraId="0ADEEB15" w14:textId="24ED4CC9" w:rsidR="00502D3B" w:rsidRDefault="00502D3B" w:rsidP="00E642D9"/>
    <w:p w14:paraId="3EA791C9" w14:textId="2ABE7DDA" w:rsidR="00502D3B" w:rsidRDefault="00502D3B" w:rsidP="00E642D9"/>
    <w:p w14:paraId="68EED65B" w14:textId="4A40DA85" w:rsidR="001639FE" w:rsidRDefault="001639FE" w:rsidP="00E642D9"/>
    <w:p w14:paraId="350C004D" w14:textId="2874579A" w:rsidR="00AA0798" w:rsidRDefault="00AA0798" w:rsidP="00E642D9"/>
    <w:p w14:paraId="12516951" w14:textId="77777777" w:rsidR="00AA0798" w:rsidRDefault="00AA0798" w:rsidP="00E642D9"/>
    <w:p w14:paraId="5FC1869C" w14:textId="1E55EAC3" w:rsidR="00B12926" w:rsidRDefault="00B12926" w:rsidP="00E642D9"/>
    <w:p w14:paraId="611BF761" w14:textId="08EE3B74" w:rsidR="00B12926" w:rsidRDefault="00B12926" w:rsidP="00E642D9"/>
    <w:p w14:paraId="366B843E" w14:textId="77777777" w:rsidR="00B12926" w:rsidRDefault="00B12926" w:rsidP="00E642D9"/>
    <w:p w14:paraId="732BE417" w14:textId="75DA2B95" w:rsidR="00502D3B" w:rsidRDefault="00502D3B" w:rsidP="00E642D9"/>
    <w:p w14:paraId="4DC6DC41" w14:textId="77777777" w:rsidR="00502D3B" w:rsidRDefault="00502D3B" w:rsidP="00E642D9"/>
    <w:p w14:paraId="5851C1FD" w14:textId="47FD70BF" w:rsidR="00E642D9" w:rsidRDefault="00E642D9" w:rsidP="00F23185"/>
    <w:p w14:paraId="52684CA4" w14:textId="33CB4B59" w:rsidR="00973B13" w:rsidRPr="0072284B" w:rsidRDefault="00973B13" w:rsidP="00973B13">
      <w:pPr>
        <w:pStyle w:val="Heading1"/>
        <w:rPr>
          <w:rFonts w:cs="Arial"/>
          <w:bCs/>
          <w:kern w:val="32"/>
          <w:sz w:val="52"/>
          <w:szCs w:val="52"/>
        </w:rPr>
      </w:pPr>
      <w:bookmarkStart w:id="49" w:name="_Toc147910079"/>
      <w:r w:rsidRPr="0072284B">
        <w:rPr>
          <w:bCs/>
          <w:kern w:val="32"/>
          <w:sz w:val="52"/>
          <w:szCs w:val="52"/>
          <w:lang w:val="ga"/>
        </w:rPr>
        <w:lastRenderedPageBreak/>
        <w:t xml:space="preserve">3. </w:t>
      </w:r>
      <w:r w:rsidRPr="0072284B">
        <w:rPr>
          <w:bCs/>
          <w:sz w:val="52"/>
          <w:szCs w:val="52"/>
          <w:lang w:val="ga"/>
        </w:rPr>
        <w:t>Faireachán agus Comhlíonadh</w:t>
      </w:r>
      <w:bookmarkEnd w:id="49"/>
    </w:p>
    <w:p w14:paraId="252FC322" w14:textId="3914AB4B" w:rsidR="00724D99" w:rsidRPr="00BC13A0" w:rsidRDefault="00973B13" w:rsidP="00973B13">
      <w:pPr>
        <w:pStyle w:val="Heading2"/>
      </w:pPr>
      <w:bookmarkStart w:id="50" w:name="_Toc498585838"/>
      <w:bookmarkStart w:id="51" w:name="_Toc147910080"/>
      <w:bookmarkStart w:id="52" w:name="_Toc526435819"/>
      <w:bookmarkStart w:id="53" w:name="_Toc18680253"/>
      <w:r>
        <w:rPr>
          <w:bCs/>
          <w:lang w:val="ga"/>
        </w:rPr>
        <w:t xml:space="preserve">3.1 </w:t>
      </w:r>
      <w:bookmarkEnd w:id="50"/>
      <w:r>
        <w:rPr>
          <w:bCs/>
          <w:lang w:val="ga"/>
        </w:rPr>
        <w:t>Comhlíonadh faoi Chuid 5 den Acht um Míchumas</w:t>
      </w:r>
      <w:bookmarkEnd w:id="51"/>
    </w:p>
    <w:p w14:paraId="10455A79" w14:textId="7BF89DF1" w:rsidR="00A2310F" w:rsidRPr="00BC13A0" w:rsidRDefault="00DE33B3" w:rsidP="003652F9">
      <w:r>
        <w:rPr>
          <w:lang w:val="ga"/>
        </w:rPr>
        <w:t>Faoi alt 49 den Acht um Míchumas 2005, féadfaidh ÚNM tuilleadh faisnéise a iarraidh ó chomhlachtaí poiblí nár bhain an íos-sprioc reatha 3% amach le dhá bhliain as a chéile agus nár thug fianaise dhóthanach i dtuairisceáin Chuid 5 uathu don tréimhse iomchuí dhá bhliain sin á léiriú:</w:t>
      </w:r>
    </w:p>
    <w:p w14:paraId="77549A91" w14:textId="77777777" w:rsidR="00A2310F" w:rsidRPr="00BC13A0" w:rsidRDefault="00A2310F" w:rsidP="003652F9">
      <w:pPr>
        <w:pStyle w:val="ListBullet"/>
      </w:pPr>
      <w:r>
        <w:rPr>
          <w:lang w:val="ga"/>
        </w:rPr>
        <w:t>Cé acu a rinne nó nach ndearna siad, “a mhéid is féidir”, “gach beart réasúnach chun fostú daoine a bhfuil míchumas orthu a chur chun cinn agus chun tacú leis an bhfostú sin” le linn na tréimhse dhá bhliain, mar atá mionsonraithe faoi alt 47(1)(a) den Acht um Míchumas 2005.</w:t>
      </w:r>
    </w:p>
    <w:p w14:paraId="4ADD8761" w14:textId="291C077F" w:rsidR="00A2310F" w:rsidRPr="00BC13A0" w:rsidRDefault="00A2310F" w:rsidP="003652F9">
      <w:pPr>
        <w:pStyle w:val="ListBullet"/>
      </w:pPr>
      <w:r>
        <w:rPr>
          <w:lang w:val="ga"/>
        </w:rPr>
        <w:t>Cé acu a bhí nó nach raibh “dea-chúis ann le gan” an sprioc fostaíochta 3% a bhaint amach sa dá bhliain, mar atá mionsonraithe faoi alt 47(2) den Acht um Míchumas 2005.</w:t>
      </w:r>
    </w:p>
    <w:p w14:paraId="22E563B0" w14:textId="4E9EABBE" w:rsidR="00A3653B" w:rsidRPr="00BC13A0" w:rsidRDefault="008C5B57" w:rsidP="003652F9">
      <w:r>
        <w:rPr>
          <w:lang w:val="ga"/>
        </w:rPr>
        <w:t xml:space="preserve">Mar atá luaite i </w:t>
      </w:r>
      <w:r>
        <w:rPr>
          <w:b/>
          <w:bCs/>
          <w:lang w:val="ga"/>
        </w:rPr>
        <w:t>Rannán 2.3 den tuarascáil seo</w:t>
      </w:r>
      <w:r>
        <w:rPr>
          <w:lang w:val="ga"/>
        </w:rPr>
        <w:t>, aithníonn ÚNM gur féidir, mar gheall ar a méid, go mbeidh sé deacair do chomhlachtaí poiblí beaga a bhfuil níos lú ná 50 fostaí acu an íos-sprioc reatha 3% a bhaint amach. Ní gá ach d’fhostaí amháin dul isteach iontu nó iad a fhágáil chun na comhlachtaí poiblí sin a chumasú an íos-sprioc reatha 3% a bhaint amach nó chun iad a chur ón sprioc sin a bhaint amach. Dá bhrí sin, ní dhéanann ÚNM iarrataí ar thuilleadh faisnéise, ar a dtugtar iarrataí alt 49, a eisiúint chuig na comhlachtaí poiblí beaga sin. Tugann ÚNM comhairle agus treoir leanúnach do na comhlachtaí poiblí sin agus do chomhlachtaí poiblí eile chun cabhrú leo feabhas a chur ar a bhfeidhmíocht faoi Chuid 5. Cuirimid in iúl dóibh go mbímid ag déanamh faireachán ar a bhfeidhmíocht ar bhonn leanúnach.</w:t>
      </w:r>
    </w:p>
    <w:p w14:paraId="5ABB0322" w14:textId="19B1D8E9" w:rsidR="004A0AEC" w:rsidRPr="00BC13A0" w:rsidRDefault="0057606A" w:rsidP="003652F9">
      <w:r>
        <w:rPr>
          <w:lang w:val="ga"/>
        </w:rPr>
        <w:t>Nuair a sheolann ÚNM iarrataí alt 49 chuig comhlachtaí poiblí a bhfuil 50 fostaí nó níos mó acu, iarraimid orthu na príomhtháscairí atá bunaithe ar an gcomhairle dhlíthiúil a fuair ÚNM a chumhdach sna freagraí uathu. Tá na príomhtháscairí sin mar a leanas:</w:t>
      </w:r>
    </w:p>
    <w:p w14:paraId="537423DD" w14:textId="33C8215E" w:rsidR="004A0AEC" w:rsidRPr="00BC13A0" w:rsidRDefault="00BC13A0" w:rsidP="003652F9">
      <w:pPr>
        <w:pStyle w:val="ListBullet"/>
      </w:pPr>
      <w:r>
        <w:rPr>
          <w:b/>
          <w:bCs/>
          <w:lang w:val="ga"/>
        </w:rPr>
        <w:t>Táscaire 1:</w:t>
      </w:r>
      <w:r>
        <w:rPr>
          <w:lang w:val="ga"/>
        </w:rPr>
        <w:t xml:space="preserve"> Fianaise ar thiomantas straitéiseach pleanáilte don íos-sprioc reatha 3% a bhaint amach, mar shampla tiomantas laistigh de straitéis chorparáideach nó straitéis acmhainní daonna atá ag teacht le hoibleagáidí comhlachtaí poiblí faoin </w:t>
      </w:r>
      <w:r>
        <w:rPr>
          <w:b/>
          <w:bCs/>
          <w:lang w:val="ga"/>
        </w:rPr>
        <w:t>Dualgas Earnála Poiblí um Chomhionannas agus Cearta an Duine</w:t>
      </w:r>
      <w:r>
        <w:rPr>
          <w:lang w:val="ga"/>
        </w:rPr>
        <w:t xml:space="preserve"> agus faoi </w:t>
      </w:r>
      <w:r>
        <w:rPr>
          <w:b/>
          <w:bCs/>
          <w:lang w:val="ga"/>
        </w:rPr>
        <w:t>chreat OPS 2020 (Ár Seirbhís Phoiblí 2020) le haghaidh forbairt agus nuálaíocht i seirbhís phoiblí na hÉireann</w:t>
      </w:r>
    </w:p>
    <w:p w14:paraId="2990C06F" w14:textId="1AD73339" w:rsidR="004A0AEC" w:rsidRPr="00BC13A0" w:rsidRDefault="00BC13A0" w:rsidP="003652F9">
      <w:pPr>
        <w:pStyle w:val="ListBullet"/>
      </w:pPr>
      <w:r>
        <w:rPr>
          <w:b/>
          <w:bCs/>
          <w:lang w:val="ga"/>
        </w:rPr>
        <w:t xml:space="preserve">Táscaire 2: </w:t>
      </w:r>
      <w:r>
        <w:rPr>
          <w:lang w:val="ga"/>
        </w:rPr>
        <w:t xml:space="preserve">Fianaise ar Phlean Gníomhaíochta um Chomhionannas, Éagsúlacht agus Cuimsiú a fhorbairt le linn na tréimhse sin, ar plean é ina bhfuil </w:t>
      </w:r>
      <w:r>
        <w:rPr>
          <w:lang w:val="ga"/>
        </w:rPr>
        <w:lastRenderedPageBreak/>
        <w:t>Príomhtháscairí Feidhmíochta do bhearta sonracha chun timpeallacht chomhionann éagsúil chuimsitheach oibre a chruthú ina ndéantar earcú agus coinneáil daoine a bhfuil míchumas orthu a chur chun cinn agus a chur ar aghaidh agus ina dtacaítear le fostaithe bheith ar a gcompord a stádas míchumais a chur in iúl</w:t>
      </w:r>
    </w:p>
    <w:p w14:paraId="3133326C" w14:textId="55251D90" w:rsidR="004A0AEC" w:rsidRPr="00BC13A0" w:rsidRDefault="00BC13A0" w:rsidP="003652F9">
      <w:pPr>
        <w:pStyle w:val="ListBullet"/>
      </w:pPr>
      <w:r>
        <w:rPr>
          <w:b/>
          <w:bCs/>
          <w:szCs w:val="26"/>
          <w:lang w:val="ga"/>
        </w:rPr>
        <w:t>Táscaire 3:</w:t>
      </w:r>
      <w:r>
        <w:rPr>
          <w:szCs w:val="26"/>
          <w:lang w:val="ga"/>
        </w:rPr>
        <w:t xml:space="preserve"> </w:t>
      </w:r>
      <w:r>
        <w:rPr>
          <w:lang w:val="ga"/>
        </w:rPr>
        <w:t>Fianaise ar aon phleanáil a rinneadh maidir le conas a d’fhéadfaí na híos-spriocanna 4.5% agus 6% a bhaint amach</w:t>
      </w:r>
    </w:p>
    <w:p w14:paraId="142239BF" w14:textId="0546CC5B" w:rsidR="004A0AEC" w:rsidRPr="00BC13A0" w:rsidRDefault="00BC13A0" w:rsidP="003652F9">
      <w:pPr>
        <w:pStyle w:val="ListBullet"/>
      </w:pPr>
      <w:r>
        <w:rPr>
          <w:b/>
          <w:bCs/>
          <w:lang w:val="ga"/>
        </w:rPr>
        <w:t>Táscaire 4:</w:t>
      </w:r>
      <w:r>
        <w:rPr>
          <w:lang w:val="ga"/>
        </w:rPr>
        <w:t xml:space="preserve"> Aon bhreithniú a rinneadh ar an líon daoine a bhfuil míchumas orthu a n-earcaíonn eagraíocht iad a mhéadú go réamhghníomhach, mar shampla trí chláir thaithí oibre agus trí phróisis earcaíochta inrochtana a chur chun feidhme</w:t>
      </w:r>
    </w:p>
    <w:p w14:paraId="000E0612" w14:textId="06321E09" w:rsidR="004A0AEC" w:rsidRPr="00BC13A0" w:rsidRDefault="00BC13A0" w:rsidP="003652F9">
      <w:pPr>
        <w:pStyle w:val="ListBullet"/>
      </w:pPr>
      <w:r>
        <w:rPr>
          <w:b/>
          <w:bCs/>
          <w:lang w:val="ga"/>
        </w:rPr>
        <w:t>Táscaire 5:</w:t>
      </w:r>
      <w:r>
        <w:rPr>
          <w:sz w:val="20"/>
          <w:szCs w:val="20"/>
          <w:lang w:val="ga"/>
        </w:rPr>
        <w:t xml:space="preserve"> </w:t>
      </w:r>
      <w:r>
        <w:rPr>
          <w:lang w:val="ga"/>
        </w:rPr>
        <w:t>Na bearta a rinneadh chun timpeallacht a chruthú ina dtacaítear le fostaithe bheith ar a gcompord a stádas míchumais a chur in iúl agus ina mbraitheann siad go dtacaítear leo déanamh amhlaidh</w:t>
      </w:r>
    </w:p>
    <w:p w14:paraId="350B7E10" w14:textId="0A6E6874" w:rsidR="004A0AEC" w:rsidRPr="00BC13A0" w:rsidRDefault="00BC13A0" w:rsidP="003652F9">
      <w:pPr>
        <w:pStyle w:val="ListBullet"/>
      </w:pPr>
      <w:r>
        <w:rPr>
          <w:b/>
          <w:bCs/>
          <w:lang w:val="ga"/>
        </w:rPr>
        <w:t>Táscaire 6:</w:t>
      </w:r>
      <w:r>
        <w:rPr>
          <w:sz w:val="20"/>
          <w:szCs w:val="20"/>
          <w:lang w:val="ga"/>
        </w:rPr>
        <w:t xml:space="preserve"> </w:t>
      </w:r>
      <w:r>
        <w:rPr>
          <w:lang w:val="ga"/>
        </w:rPr>
        <w:t>Na bearta a rinneadh chun bailiú sonraí a fheabhsú, lena n-áirítear méadú a dhéanamh ar an ráta freagartha d’aon áireamh nó feabhas a chur ar chruinneas ar shlí eile.</w:t>
      </w:r>
    </w:p>
    <w:p w14:paraId="5A33475D" w14:textId="66A62347" w:rsidR="0057606A" w:rsidRPr="00BC13A0" w:rsidRDefault="00EF5EA4" w:rsidP="003652F9">
      <w:r>
        <w:rPr>
          <w:lang w:val="ga"/>
        </w:rPr>
        <w:t>Iarrann ÚNM ar chomhlachtaí poiblí faisnéis a sholáthar maidir le cé acu ab ann nó nárbh ann d’aon chúiseanna bailí ar chuir cosc orthu an íos-sprioc 3% a bhaint amach sna blianta iomchuí.</w:t>
      </w:r>
    </w:p>
    <w:p w14:paraId="3BC417E1" w14:textId="626BE1C1" w:rsidR="00724D99" w:rsidRPr="00BC13A0" w:rsidRDefault="00EF5EA4" w:rsidP="003652F9">
      <w:r>
        <w:rPr>
          <w:lang w:val="ga"/>
        </w:rPr>
        <w:t xml:space="preserve">Tugann ÚNM dá aire an próiseas trína mbailíonn comhlacht poiblí sonraí le linn dó breithniú a dhéanamh ar chinntí maidir le neamhchomhlíonadh Chuid 5 den Acht um Míchumas 2005. Tugann an Feidhmeannas aird ar cé acu a bhain nó nár bhain comhlacht poiblí úsáid as áireamh foirne agus ar cé acu a thuairiscigh sé ardráta freagartha nó ísealráta freagartha don áireamh sin. Ní dhéanann an fhaisnéis sin aon difear don dóigh a mbreithníonn an Feidhmeannas na figiúirí a bhíonn á dtuairisciú ag comhlacht poiblí. </w:t>
      </w:r>
    </w:p>
    <w:p w14:paraId="26B84FA6" w14:textId="0F98AF77" w:rsidR="00813D20" w:rsidRPr="00BC13A0" w:rsidRDefault="00813D20" w:rsidP="003652F9">
      <w:r>
        <w:rPr>
          <w:lang w:val="ga"/>
        </w:rPr>
        <w:t>Tugann ÚNM aird freisin ar fheidhmíocht an chomhlachta phoiblí tar éis na tréimhse sonraí dhá bhliain nár bhain sé an íos-sprioc 3% amach lena linn chun a chinneadh cé acu a chuir nó nár chuir an comhlacht poiblí feabhas ar a fheidhmíocht.</w:t>
      </w:r>
    </w:p>
    <w:p w14:paraId="1E651C4F" w14:textId="422FBE81" w:rsidR="0051618C" w:rsidRPr="00BC13A0" w:rsidRDefault="0051618C" w:rsidP="003652F9">
      <w:r>
        <w:rPr>
          <w:lang w:val="ga"/>
        </w:rPr>
        <w:t>Déanann ÚNM na freagraí ó chomhlachtaí poiblí a athbhreithniú go grinn in aghaidh na dtáscairí thuas agus in aghaidh thuairisceáin Chuid 5 uathu don tréimhse dhá bhliain is iomchuí. Is céimeanna tábhachtacha iad sin sa phróiseas trína gcinntear comhlachtaí poiblí a bheith comhlíontach nó neamhchomhlíontach faoi Chuid 5.</w:t>
      </w:r>
      <w:bookmarkEnd w:id="52"/>
      <w:bookmarkEnd w:id="53"/>
    </w:p>
    <w:p w14:paraId="79469D9C" w14:textId="77777777" w:rsidR="00AA0798" w:rsidRDefault="00AA0798" w:rsidP="004A318D">
      <w:pPr>
        <w:pStyle w:val="Heading2"/>
        <w:rPr>
          <w:bCs/>
          <w:lang w:val="ga"/>
        </w:rPr>
      </w:pPr>
      <w:bookmarkStart w:id="54" w:name="_Toc147910081"/>
    </w:p>
    <w:p w14:paraId="7FD296AC" w14:textId="58420F02" w:rsidR="00584908" w:rsidRPr="00923F25" w:rsidRDefault="00D77CB5" w:rsidP="004A318D">
      <w:pPr>
        <w:pStyle w:val="Heading2"/>
      </w:pPr>
      <w:r>
        <w:rPr>
          <w:bCs/>
          <w:lang w:val="ga"/>
        </w:rPr>
        <w:lastRenderedPageBreak/>
        <w:t xml:space="preserve">3.2 </w:t>
      </w:r>
      <w:bookmarkStart w:id="55" w:name="_Toc95301311"/>
      <w:r>
        <w:rPr>
          <w:bCs/>
          <w:lang w:val="ga"/>
        </w:rPr>
        <w:t>Comhlíonadh an Achta, 2020 agus 2021</w:t>
      </w:r>
      <w:bookmarkEnd w:id="54"/>
      <w:bookmarkEnd w:id="55"/>
    </w:p>
    <w:p w14:paraId="60C78DED" w14:textId="54CA809E" w:rsidR="00087410" w:rsidRPr="00923F25" w:rsidRDefault="008C427C" w:rsidP="003652F9">
      <w:r>
        <w:rPr>
          <w:lang w:val="ga"/>
        </w:rPr>
        <w:t>Níor bhain na trí chomhlacht phoiblí seo a leanas an íos-sprioc 3% amach sa bhliain 2020 ná sa bhliain 2021:</w:t>
      </w:r>
    </w:p>
    <w:p w14:paraId="4E51B287" w14:textId="42026BAB" w:rsidR="00EF3217" w:rsidRDefault="00EF3217" w:rsidP="003652F9">
      <w:pPr>
        <w:pStyle w:val="ListBullet"/>
      </w:pPr>
      <w:r>
        <w:rPr>
          <w:lang w:val="ga"/>
        </w:rPr>
        <w:t>FSS</w:t>
      </w:r>
    </w:p>
    <w:p w14:paraId="2EE569C2" w14:textId="621803AB" w:rsidR="004A318D" w:rsidRPr="00923F25" w:rsidRDefault="004A318D" w:rsidP="003652F9">
      <w:pPr>
        <w:pStyle w:val="ListBullet"/>
      </w:pPr>
      <w:r>
        <w:rPr>
          <w:lang w:val="ga"/>
        </w:rPr>
        <w:t>An Chomhairle Náisiúnta um Oideachas Speisialta (CNOS)</w:t>
      </w:r>
    </w:p>
    <w:p w14:paraId="23D6CF0C" w14:textId="18B29B27" w:rsidR="00BB35CE" w:rsidRDefault="004A318D" w:rsidP="003652F9">
      <w:pPr>
        <w:pStyle w:val="ListBullet"/>
      </w:pPr>
      <w:r>
        <w:rPr>
          <w:lang w:val="ga"/>
        </w:rPr>
        <w:t xml:space="preserve">Campas Coinneála Leanaí Bhaile an Oibricigh. </w:t>
      </w:r>
    </w:p>
    <w:p w14:paraId="310CCAA8" w14:textId="382BC637" w:rsidR="004700D9" w:rsidRDefault="00923F25" w:rsidP="0072284B">
      <w:r>
        <w:rPr>
          <w:lang w:val="ga"/>
        </w:rPr>
        <w:t xml:space="preserve">Sheol ÚNM iarrataí alt 49 do na blianta 2020 agus 2021 chuig na comhlachtaí poiblí sin. </w:t>
      </w:r>
    </w:p>
    <w:p w14:paraId="2E356619" w14:textId="0EDF8C0F" w:rsidR="00BF299A" w:rsidRDefault="00BF299A" w:rsidP="00BF299A">
      <w:pPr>
        <w:pStyle w:val="Heading3"/>
      </w:pPr>
      <w:r>
        <w:rPr>
          <w:bCs/>
          <w:lang w:val="ga"/>
        </w:rPr>
        <w:t>FSS</w:t>
      </w:r>
    </w:p>
    <w:p w14:paraId="043FDDF1" w14:textId="601B4848" w:rsidR="00BF299A" w:rsidRDefault="00BF299A" w:rsidP="00BF299A">
      <w:r>
        <w:rPr>
          <w:lang w:val="ga"/>
        </w:rPr>
        <w:t>Tá athbhreithniú á dhéanamh ag ÚNM ar an bhfreagra a thug FSS ar iarraidh alt 49 do na blianta 2020 agus 2021 chun a dhéanamh amach an bhfuil nó nach bhfuil an comhlacht poiblí sin ag comhlíonadh Chuid 5 den Acht um Míchumas, agus déanfaidh ÚNM cinneadh ina leith in am is i dtráth.</w:t>
      </w:r>
    </w:p>
    <w:p w14:paraId="11B0D0DE" w14:textId="38352396" w:rsidR="00BF299A" w:rsidRDefault="00BF299A" w:rsidP="00BF299A">
      <w:r>
        <w:rPr>
          <w:lang w:val="ga"/>
        </w:rPr>
        <w:t xml:space="preserve">Aithníonn ÚNM go raibh tús áite á thabhairt ag FSS fós do phaindéim COVID-19 a bhainistiú ar scála náisiúnta le linn na tréimhse tuairiscithe sin. Chomh maith leis sin, d’fhulaing FSS cibirionsaí sa bhliain 2021 lenar cuireadh isteach ar a sheirbhísí sláinte agus ar a ríomhchórais. Bhí tionchar suntasach ar an gcomhlacht poiblí sin ag an dá imeacht sin.  </w:t>
      </w:r>
    </w:p>
    <w:p w14:paraId="69A3125F" w14:textId="4E90BA46" w:rsidR="00406FB9" w:rsidRPr="00BF299A" w:rsidRDefault="00406FB9" w:rsidP="00BF299A">
      <w:r>
        <w:rPr>
          <w:lang w:val="ga"/>
        </w:rPr>
        <w:t>Mar a luadh cheana féin, tá áthas ar ÚNM a thabhairt dá aire gur luaigh FSS gur thuairiscigh 2,331 fhostaí (2.3%) míchumas. Is é sin an líon is airde fostaithe, agus an céatadán is airde d’fhostaithe, a bhfuil míchumas orthu a thuairiscigh FSS go dtí seo</w:t>
      </w:r>
    </w:p>
    <w:p w14:paraId="60450D97" w14:textId="1371FD18" w:rsidR="00BF299A" w:rsidRDefault="00BF299A" w:rsidP="00BF299A">
      <w:pPr>
        <w:pStyle w:val="Heading3"/>
      </w:pPr>
      <w:r>
        <w:rPr>
          <w:bCs/>
          <w:lang w:val="ga"/>
        </w:rPr>
        <w:t xml:space="preserve">An Chomhairle Náisiúnta um Oideachas Speisialta (CNOS) agus Campas Coinneála Leanaí Bhaile an Oibricigh </w:t>
      </w:r>
    </w:p>
    <w:p w14:paraId="3642B499" w14:textId="6440728B" w:rsidR="00E14F3C" w:rsidRPr="004700D9" w:rsidRDefault="00BF299A" w:rsidP="00430ECC">
      <w:r>
        <w:rPr>
          <w:lang w:val="ga"/>
        </w:rPr>
        <w:t>Sna freagraí uathu ar iarraidh alt 49 do na blianta 2020 agus 2021, sholáthair CNOS agus Campas Coinneála Leanaí Bhaile an Oibricigh fianaise á léiriú go raibh bearta i bhfeidhm acu chun cultúir chomhionanna éagsúla chuimsitheacha oibre a chruthú, áit a ndírítear ar earcú agus coinneáil daoine a bhfuil míchumas orthu a mhéadú; ar thacú le fostaithe le linn dóibh a stádas míchumais a chur in iúl; agus ar a bpróiseas bailithe sonraí a fheabhsú.</w:t>
      </w:r>
    </w:p>
    <w:p w14:paraId="5DDFE6BD" w14:textId="770F31C0" w:rsidR="00430ECC" w:rsidRPr="004700D9" w:rsidRDefault="00E14F3C" w:rsidP="00BF299A">
      <w:pPr>
        <w:pStyle w:val="ListBullet"/>
        <w:numPr>
          <w:ilvl w:val="0"/>
          <w:numId w:val="0"/>
        </w:numPr>
        <w:tabs>
          <w:tab w:val="left" w:pos="720"/>
        </w:tabs>
      </w:pPr>
      <w:r>
        <w:rPr>
          <w:lang w:val="ga"/>
        </w:rPr>
        <w:t>Thuairiscigh CNOS agus Campas Coinneála Leanaí Bhaile an Oibricigh go raibh siad ag déileáil le hathstruchtúrú suntasach eagrúcháin agus go raibh siad thíos le paindéim COVID-19 freisin le linn na tréimhse dhá bhliain sin. Ba iad sin na tosca maolaitheacha lenar cuireadh cosc ar an dá chomhlacht phoiblí an íos-sprioc 3% a chomhlíonadh le linn na tréimhse dhá bhliain sin.</w:t>
      </w:r>
    </w:p>
    <w:p w14:paraId="1EE36F68" w14:textId="3A1B15BB" w:rsidR="005A4ACE" w:rsidRPr="004700D9" w:rsidRDefault="009E5741" w:rsidP="005A4ACE">
      <w:r>
        <w:rPr>
          <w:lang w:val="ga"/>
        </w:rPr>
        <w:lastRenderedPageBreak/>
        <w:t>Chinn an tÚdarás nach raibh údar ann le dréachtchinneadh a dhéanamh go raibh CNOS agus Campas Coinneála Leanaí Bhaile an Oibricigh neamhchomhlíontach do na blianta 2020 agus 2021. Chuir ÚNM in iúl do na comhlachtaí poiblí sin, áfach, go leanfaimis le faireachán a dhéanamh ar an dul chun cinn atá á dhéanamh acu agus go rabhamar ag súil le feabhsú ar a bhfeidhmíocht.</w:t>
      </w:r>
    </w:p>
    <w:p w14:paraId="596D65DF" w14:textId="54EA0CDA" w:rsidR="00E14F3C" w:rsidRPr="004700D9" w:rsidRDefault="005A4ACE" w:rsidP="005A4ACE">
      <w:r>
        <w:rPr>
          <w:lang w:val="ga"/>
        </w:rPr>
        <w:t>Tá áthas ar ÚNM a thabhairt dá aire gur tharla an méid seo a leanas sa bhliain 2022:</w:t>
      </w:r>
    </w:p>
    <w:p w14:paraId="1934AD56" w14:textId="1603871C" w:rsidR="005A4ACE" w:rsidRPr="004700D9" w:rsidRDefault="00E14F3C" w:rsidP="00E14F3C">
      <w:pPr>
        <w:pStyle w:val="ListParagraph"/>
        <w:numPr>
          <w:ilvl w:val="0"/>
          <w:numId w:val="27"/>
        </w:numPr>
        <w:spacing w:after="120"/>
        <w:ind w:left="357" w:hanging="357"/>
        <w:contextualSpacing w:val="0"/>
        <w:rPr>
          <w:rFonts w:ascii="Gill Sans MT" w:hAnsi="Gill Sans MT"/>
        </w:rPr>
      </w:pPr>
      <w:r>
        <w:rPr>
          <w:rFonts w:ascii="Gill Sans MT" w:hAnsi="Gill Sans MT"/>
          <w:lang w:val="ga"/>
        </w:rPr>
        <w:t>Thuairiscigh CNOS gur thuairiscigh 21 fhostaí (8.6%) as 243 fhostaí míchumas</w:t>
      </w:r>
    </w:p>
    <w:p w14:paraId="30DF9A79" w14:textId="62472DC5" w:rsidR="004700D9" w:rsidRPr="0072284B" w:rsidRDefault="00E14F3C" w:rsidP="007149C8">
      <w:pPr>
        <w:pStyle w:val="ListParagraph"/>
        <w:numPr>
          <w:ilvl w:val="0"/>
          <w:numId w:val="27"/>
        </w:numPr>
        <w:spacing w:after="120"/>
        <w:ind w:left="357" w:hanging="357"/>
        <w:contextualSpacing w:val="0"/>
        <w:rPr>
          <w:rFonts w:ascii="Gill Sans MT" w:hAnsi="Gill Sans MT"/>
        </w:rPr>
      </w:pPr>
      <w:r>
        <w:rPr>
          <w:rFonts w:ascii="Gill Sans MT" w:hAnsi="Gill Sans MT"/>
          <w:lang w:val="ga"/>
        </w:rPr>
        <w:t>Thuairiscigh Campas Coinneála Leanaí Bhaile an Oibricigh gur thuairiscigh 13 fhostaí (5.2%) as 251 fhostaí míchumas</w:t>
      </w:r>
    </w:p>
    <w:p w14:paraId="113CAB57" w14:textId="77777777" w:rsidR="0072284B" w:rsidRPr="00AA0798" w:rsidRDefault="0072284B" w:rsidP="00AA0798">
      <w:pPr>
        <w:spacing w:after="120"/>
      </w:pPr>
    </w:p>
    <w:p w14:paraId="57277899" w14:textId="7F44D0C8" w:rsidR="00986896" w:rsidRPr="00986896" w:rsidRDefault="00EC565B" w:rsidP="00BC12B7">
      <w:pPr>
        <w:pStyle w:val="Heading2"/>
      </w:pPr>
      <w:bookmarkStart w:id="56" w:name="_Toc147910082"/>
      <w:r>
        <w:rPr>
          <w:bCs/>
          <w:lang w:val="ga"/>
        </w:rPr>
        <w:t>3.3 Comhlíonadh an Achta, 2021 agus 2022</w:t>
      </w:r>
      <w:bookmarkEnd w:id="56"/>
    </w:p>
    <w:p w14:paraId="37A2EA8A" w14:textId="5F480820" w:rsidR="00BC12B7" w:rsidRPr="004C3D5B" w:rsidRDefault="00BC12B7" w:rsidP="00BC12B7">
      <w:bookmarkStart w:id="57" w:name="_Toc498585841"/>
      <w:bookmarkStart w:id="58" w:name="_Toc18680257"/>
      <w:bookmarkStart w:id="59" w:name="_Toc526435823"/>
      <w:r>
        <w:rPr>
          <w:lang w:val="ga"/>
        </w:rPr>
        <w:t>Níor bhain na cúig chomhlacht phoiblí seo a leanas an íos-sprioc 3% amach sa bhliain 2021 ná sa bhliain 2022:</w:t>
      </w:r>
    </w:p>
    <w:p w14:paraId="1DE63482" w14:textId="23D5C23A" w:rsidR="00BC12B7" w:rsidRPr="004C3D5B" w:rsidRDefault="00BC12B7" w:rsidP="00BC12B7">
      <w:pPr>
        <w:pStyle w:val="ListBullet"/>
      </w:pPr>
      <w:r>
        <w:rPr>
          <w:lang w:val="ga"/>
        </w:rPr>
        <w:t>An Chomhairle Ealaíon</w:t>
      </w:r>
    </w:p>
    <w:p w14:paraId="7945892F" w14:textId="0B8E480B" w:rsidR="00BC12B7" w:rsidRDefault="00BC12B7" w:rsidP="00BC12B7">
      <w:pPr>
        <w:pStyle w:val="ListBullet"/>
      </w:pPr>
      <w:r>
        <w:rPr>
          <w:lang w:val="ga"/>
        </w:rPr>
        <w:t>Ollscoil Teicneolaíochta an Atlantaigh, Gaillimh-Maigh Eo (ATU) – ar a dtugtaí Institiúid Teicneolaíochta na Gaillimhe-Maigh Eo sa bhliain 2021</w:t>
      </w:r>
    </w:p>
    <w:p w14:paraId="7D49794A" w14:textId="46148BF8" w:rsidR="00BC12B7" w:rsidRDefault="00BC12B7" w:rsidP="00BC12B7">
      <w:pPr>
        <w:pStyle w:val="ListBullet"/>
      </w:pPr>
      <w:r>
        <w:rPr>
          <w:lang w:val="ga"/>
        </w:rPr>
        <w:t>Bord Bia</w:t>
      </w:r>
    </w:p>
    <w:p w14:paraId="1D4A8F00" w14:textId="50E7F2EA" w:rsidR="00BC12B7" w:rsidRDefault="00BC12B7" w:rsidP="00BC12B7">
      <w:pPr>
        <w:pStyle w:val="ListBullet"/>
      </w:pPr>
      <w:r>
        <w:rPr>
          <w:lang w:val="ga"/>
        </w:rPr>
        <w:t>FSS</w:t>
      </w:r>
    </w:p>
    <w:p w14:paraId="43C2519C" w14:textId="611074A4" w:rsidR="00087410" w:rsidRDefault="00BC12B7" w:rsidP="00087410">
      <w:pPr>
        <w:pStyle w:val="ListBullet"/>
      </w:pPr>
      <w:r>
        <w:rPr>
          <w:lang w:val="ga"/>
        </w:rPr>
        <w:t>An Ghníomhaireacht um Fhorbairt Talún</w:t>
      </w:r>
    </w:p>
    <w:p w14:paraId="76B52230" w14:textId="627C96AC" w:rsidR="00087410" w:rsidRPr="00087410" w:rsidRDefault="00087410" w:rsidP="00087410">
      <w:r>
        <w:rPr>
          <w:lang w:val="ga"/>
        </w:rPr>
        <w:t>Beidh ÚNM ag seoladh iarrataí alt 49 chuig na comhlachtaí poiblí sin do na blianta 2021 agus 2022 chun a chinneadh an raibh nó nach raibh siad ag comhlíonadh Chuid 5 don tréimhse dhá bhliain sin.</w:t>
      </w:r>
    </w:p>
    <w:p w14:paraId="4F567F41" w14:textId="122E71E6" w:rsidR="00BD46FA" w:rsidRPr="004C3D5B" w:rsidRDefault="00BD46FA" w:rsidP="00BD46FA">
      <w:r>
        <w:rPr>
          <w:lang w:val="ga"/>
        </w:rPr>
        <w:t>Mionsonraítear feidhmíocht na gcomhlachtaí poiblí sin i dTábla 5 thíos.</w:t>
      </w:r>
    </w:p>
    <w:p w14:paraId="445CB0A3" w14:textId="51136991" w:rsidR="00BD46FA" w:rsidRPr="00CD5456" w:rsidRDefault="00BD46FA" w:rsidP="00BD46FA">
      <w:pPr>
        <w:pStyle w:val="TableTitle"/>
        <w:rPr>
          <w:szCs w:val="26"/>
        </w:rPr>
      </w:pPr>
      <w:r>
        <w:rPr>
          <w:bCs/>
          <w:szCs w:val="26"/>
          <w:lang w:val="ga"/>
        </w:rPr>
        <w:t>Tábla 5. Comhlachtaí poiblí nár bhain an íos-sprioc 3% amach sa bhliain 2021 ná sa bhliain 2022</w:t>
      </w:r>
    </w:p>
    <w:tbl>
      <w:tblPr>
        <w:tblStyle w:val="TableGrid1"/>
        <w:tblpPr w:leftFromText="180" w:rightFromText="180" w:vertAnchor="text" w:horzAnchor="page" w:tblpX="1126" w:tblpY="265"/>
        <w:tblW w:w="10065" w:type="dxa"/>
        <w:tblLayout w:type="fixed"/>
        <w:tblLook w:val="0020" w:firstRow="1" w:lastRow="0" w:firstColumn="0" w:lastColumn="0" w:noHBand="0" w:noVBand="0"/>
      </w:tblPr>
      <w:tblGrid>
        <w:gridCol w:w="2574"/>
        <w:gridCol w:w="1440"/>
        <w:gridCol w:w="2223"/>
        <w:gridCol w:w="1560"/>
        <w:gridCol w:w="2268"/>
      </w:tblGrid>
      <w:tr w:rsidR="00BD46FA" w:rsidRPr="004700D9" w14:paraId="17192762" w14:textId="77777777" w:rsidTr="00E57050">
        <w:tc>
          <w:tcPr>
            <w:tcW w:w="2574" w:type="dxa"/>
          </w:tcPr>
          <w:p w14:paraId="32F136C1" w14:textId="77777777" w:rsidR="00BD46FA" w:rsidRPr="004700D9" w:rsidRDefault="00BD46FA" w:rsidP="00722135">
            <w:pPr>
              <w:pStyle w:val="TableHead"/>
              <w:rPr>
                <w:sz w:val="22"/>
                <w:szCs w:val="22"/>
              </w:rPr>
            </w:pPr>
            <w:r>
              <w:rPr>
                <w:bCs/>
                <w:sz w:val="22"/>
                <w:szCs w:val="22"/>
                <w:lang w:val="ga"/>
              </w:rPr>
              <w:t>Comhlacht Poiblí</w:t>
            </w:r>
          </w:p>
        </w:tc>
        <w:tc>
          <w:tcPr>
            <w:tcW w:w="1440" w:type="dxa"/>
          </w:tcPr>
          <w:p w14:paraId="6ACE6646" w14:textId="608379ED" w:rsidR="00BD46FA" w:rsidRPr="004700D9" w:rsidRDefault="00BD46FA" w:rsidP="00722135">
            <w:pPr>
              <w:pStyle w:val="TableHead"/>
              <w:rPr>
                <w:sz w:val="22"/>
                <w:szCs w:val="22"/>
              </w:rPr>
            </w:pPr>
            <w:r>
              <w:rPr>
                <w:bCs/>
                <w:sz w:val="22"/>
                <w:szCs w:val="22"/>
                <w:lang w:val="ga"/>
              </w:rPr>
              <w:t>An líon iomlán fostaithe 2021</w:t>
            </w:r>
          </w:p>
        </w:tc>
        <w:tc>
          <w:tcPr>
            <w:tcW w:w="2223" w:type="dxa"/>
          </w:tcPr>
          <w:p w14:paraId="0B36754F" w14:textId="4B5E4D7C" w:rsidR="00BD46FA" w:rsidRPr="004700D9" w:rsidRDefault="00BD46FA" w:rsidP="00722135">
            <w:pPr>
              <w:pStyle w:val="TableHead"/>
              <w:rPr>
                <w:sz w:val="22"/>
                <w:szCs w:val="22"/>
              </w:rPr>
            </w:pPr>
            <w:r>
              <w:rPr>
                <w:bCs/>
                <w:sz w:val="22"/>
                <w:szCs w:val="22"/>
                <w:lang w:val="ga"/>
              </w:rPr>
              <w:t>An líon fostaithe, agus an % d’fhostaithe, a thuairiscigh míchumas 2021</w:t>
            </w:r>
          </w:p>
        </w:tc>
        <w:tc>
          <w:tcPr>
            <w:tcW w:w="1560" w:type="dxa"/>
          </w:tcPr>
          <w:p w14:paraId="433EFE23" w14:textId="77777777" w:rsidR="00BD46FA" w:rsidRPr="004700D9" w:rsidRDefault="00BD46FA" w:rsidP="00722135">
            <w:pPr>
              <w:pStyle w:val="TableHead"/>
              <w:rPr>
                <w:sz w:val="22"/>
                <w:szCs w:val="22"/>
              </w:rPr>
            </w:pPr>
            <w:r>
              <w:rPr>
                <w:bCs/>
                <w:sz w:val="22"/>
                <w:szCs w:val="22"/>
                <w:lang w:val="ga"/>
              </w:rPr>
              <w:t>An líon iomlán fostaithe</w:t>
            </w:r>
          </w:p>
          <w:p w14:paraId="62A86585" w14:textId="5E7DE4E3" w:rsidR="00BD46FA" w:rsidRPr="004700D9" w:rsidRDefault="00BD46FA" w:rsidP="00722135">
            <w:pPr>
              <w:pStyle w:val="TableHead"/>
              <w:rPr>
                <w:sz w:val="22"/>
                <w:szCs w:val="22"/>
              </w:rPr>
            </w:pPr>
            <w:r>
              <w:rPr>
                <w:bCs/>
                <w:sz w:val="22"/>
                <w:szCs w:val="22"/>
                <w:lang w:val="ga"/>
              </w:rPr>
              <w:t>2022</w:t>
            </w:r>
          </w:p>
        </w:tc>
        <w:tc>
          <w:tcPr>
            <w:tcW w:w="2268" w:type="dxa"/>
          </w:tcPr>
          <w:p w14:paraId="714B933A" w14:textId="77777777" w:rsidR="00BD46FA" w:rsidRPr="004700D9" w:rsidRDefault="00BD46FA" w:rsidP="00722135">
            <w:pPr>
              <w:pStyle w:val="TableHead"/>
              <w:rPr>
                <w:sz w:val="22"/>
                <w:szCs w:val="22"/>
              </w:rPr>
            </w:pPr>
            <w:r>
              <w:rPr>
                <w:bCs/>
                <w:sz w:val="22"/>
                <w:szCs w:val="22"/>
                <w:lang w:val="ga"/>
              </w:rPr>
              <w:t>An líon fostaithe, agus an % d’fhostaithe, a thuairiscigh míchumas</w:t>
            </w:r>
          </w:p>
          <w:p w14:paraId="7B5C1832" w14:textId="2EDA6507" w:rsidR="00BD46FA" w:rsidRPr="004700D9" w:rsidRDefault="00BD46FA" w:rsidP="00722135">
            <w:pPr>
              <w:pStyle w:val="TableHead"/>
              <w:rPr>
                <w:sz w:val="22"/>
                <w:szCs w:val="22"/>
              </w:rPr>
            </w:pPr>
            <w:r>
              <w:rPr>
                <w:bCs/>
                <w:sz w:val="22"/>
                <w:szCs w:val="22"/>
                <w:lang w:val="ga"/>
              </w:rPr>
              <w:t>2022</w:t>
            </w:r>
          </w:p>
        </w:tc>
      </w:tr>
      <w:tr w:rsidR="00BD46FA" w:rsidRPr="004700D9" w14:paraId="04A9DF96" w14:textId="77777777" w:rsidTr="00E57050">
        <w:tc>
          <w:tcPr>
            <w:tcW w:w="2574" w:type="dxa"/>
          </w:tcPr>
          <w:p w14:paraId="42EAB5C9" w14:textId="422AFE53" w:rsidR="00BD46FA" w:rsidRPr="004700D9" w:rsidRDefault="00BD46FA" w:rsidP="00BD46FA">
            <w:pPr>
              <w:pStyle w:val="ListBullet"/>
              <w:numPr>
                <w:ilvl w:val="0"/>
                <w:numId w:val="0"/>
              </w:numPr>
              <w:ind w:left="22"/>
              <w:rPr>
                <w:b/>
                <w:bCs/>
                <w:sz w:val="22"/>
                <w:szCs w:val="22"/>
              </w:rPr>
            </w:pPr>
            <w:r>
              <w:rPr>
                <w:b/>
                <w:bCs/>
                <w:sz w:val="22"/>
                <w:szCs w:val="22"/>
                <w:lang w:val="ga"/>
              </w:rPr>
              <w:t>An Chomhairle Ealaíon</w:t>
            </w:r>
          </w:p>
        </w:tc>
        <w:tc>
          <w:tcPr>
            <w:tcW w:w="1440" w:type="dxa"/>
          </w:tcPr>
          <w:p w14:paraId="414CA6D4" w14:textId="085EA2B9" w:rsidR="00BD46FA" w:rsidRPr="004700D9" w:rsidRDefault="00BD46FA" w:rsidP="00BD46FA">
            <w:pPr>
              <w:spacing w:after="0"/>
              <w:jc w:val="right"/>
              <w:rPr>
                <w:rFonts w:cs="Calibri"/>
                <w:color w:val="000000"/>
                <w:sz w:val="22"/>
                <w:szCs w:val="22"/>
              </w:rPr>
            </w:pPr>
            <w:r>
              <w:rPr>
                <w:rFonts w:cs="Calibri"/>
                <w:color w:val="000000"/>
                <w:sz w:val="22"/>
                <w:szCs w:val="22"/>
                <w:lang w:val="ga"/>
              </w:rPr>
              <w:t>75</w:t>
            </w:r>
          </w:p>
        </w:tc>
        <w:tc>
          <w:tcPr>
            <w:tcW w:w="2223" w:type="dxa"/>
          </w:tcPr>
          <w:p w14:paraId="34A8DF72" w14:textId="3DDD0110" w:rsidR="00BD46FA" w:rsidRPr="004700D9" w:rsidRDefault="00BD46FA" w:rsidP="00BD46FA">
            <w:pPr>
              <w:spacing w:after="0"/>
              <w:jc w:val="right"/>
              <w:rPr>
                <w:rFonts w:cs="Calibri"/>
                <w:color w:val="000000"/>
                <w:sz w:val="22"/>
                <w:szCs w:val="22"/>
              </w:rPr>
            </w:pPr>
            <w:r>
              <w:rPr>
                <w:rFonts w:cs="Calibri"/>
                <w:color w:val="000000"/>
                <w:sz w:val="22"/>
                <w:szCs w:val="22"/>
                <w:lang w:val="ga"/>
              </w:rPr>
              <w:t>2(2.7%)</w:t>
            </w:r>
          </w:p>
        </w:tc>
        <w:tc>
          <w:tcPr>
            <w:tcW w:w="1560" w:type="dxa"/>
          </w:tcPr>
          <w:p w14:paraId="4D90D661" w14:textId="2D49CFFB" w:rsidR="00BD46FA" w:rsidRPr="004700D9" w:rsidRDefault="00BD46FA" w:rsidP="00BD46FA">
            <w:pPr>
              <w:spacing w:after="0"/>
              <w:jc w:val="right"/>
              <w:rPr>
                <w:rFonts w:cs="Calibri"/>
                <w:color w:val="000000"/>
                <w:sz w:val="22"/>
                <w:szCs w:val="22"/>
              </w:rPr>
            </w:pPr>
            <w:r>
              <w:rPr>
                <w:rFonts w:cs="Calibri"/>
                <w:color w:val="000000"/>
                <w:sz w:val="22"/>
                <w:szCs w:val="22"/>
                <w:lang w:val="ga"/>
              </w:rPr>
              <w:t>81</w:t>
            </w:r>
          </w:p>
        </w:tc>
        <w:tc>
          <w:tcPr>
            <w:tcW w:w="2268" w:type="dxa"/>
          </w:tcPr>
          <w:p w14:paraId="487D2965" w14:textId="45BBEECD" w:rsidR="00BD46FA" w:rsidRPr="004700D9" w:rsidRDefault="00BD46FA" w:rsidP="00BD46FA">
            <w:pPr>
              <w:spacing w:after="0"/>
              <w:jc w:val="right"/>
              <w:rPr>
                <w:rFonts w:cs="Calibri"/>
                <w:color w:val="000000"/>
                <w:sz w:val="22"/>
                <w:szCs w:val="22"/>
              </w:rPr>
            </w:pPr>
            <w:r>
              <w:rPr>
                <w:rFonts w:cs="Calibri"/>
                <w:color w:val="000000"/>
                <w:sz w:val="22"/>
                <w:szCs w:val="22"/>
                <w:lang w:val="ga"/>
              </w:rPr>
              <w:t>1 (1.2%)</w:t>
            </w:r>
          </w:p>
        </w:tc>
      </w:tr>
      <w:tr w:rsidR="00BD46FA" w:rsidRPr="004700D9" w14:paraId="5DD115AE" w14:textId="77777777" w:rsidTr="00E57050">
        <w:tc>
          <w:tcPr>
            <w:tcW w:w="2574" w:type="dxa"/>
          </w:tcPr>
          <w:p w14:paraId="6F3D59A6" w14:textId="6A816554" w:rsidR="00BD46FA" w:rsidRPr="004700D9" w:rsidRDefault="00BD46FA" w:rsidP="00BD46FA">
            <w:pPr>
              <w:pStyle w:val="ListBullet"/>
              <w:numPr>
                <w:ilvl w:val="0"/>
                <w:numId w:val="0"/>
              </w:numPr>
              <w:ind w:left="22"/>
              <w:rPr>
                <w:sz w:val="22"/>
                <w:szCs w:val="22"/>
              </w:rPr>
            </w:pPr>
            <w:bookmarkStart w:id="60" w:name="_Hlk145347985"/>
            <w:bookmarkStart w:id="61" w:name="_Hlk145342481"/>
            <w:r>
              <w:rPr>
                <w:b/>
                <w:bCs/>
                <w:sz w:val="22"/>
                <w:szCs w:val="22"/>
                <w:lang w:val="ga"/>
              </w:rPr>
              <w:lastRenderedPageBreak/>
              <w:t>Ollscoil Teicneolaíochta an Atlantaigh, Gaillimh-Maigh Eo (ATU)</w:t>
            </w:r>
            <w:bookmarkEnd w:id="60"/>
            <w:r>
              <w:rPr>
                <w:b/>
                <w:bCs/>
                <w:sz w:val="22"/>
                <w:szCs w:val="22"/>
                <w:lang w:val="ga"/>
              </w:rPr>
              <w:t xml:space="preserve"> – ar a dtugtaí Institiúid Teicneolaíochta na Gaillimhe-Maigh Eo sa bhliain 2021</w:t>
            </w:r>
            <w:bookmarkEnd w:id="61"/>
          </w:p>
        </w:tc>
        <w:tc>
          <w:tcPr>
            <w:tcW w:w="1440" w:type="dxa"/>
          </w:tcPr>
          <w:p w14:paraId="592B21EC" w14:textId="77777777" w:rsidR="00BD46FA" w:rsidRPr="004700D9" w:rsidRDefault="00BD46FA" w:rsidP="00BD46FA">
            <w:pPr>
              <w:spacing w:after="0"/>
              <w:jc w:val="right"/>
              <w:rPr>
                <w:rFonts w:cs="Calibri"/>
                <w:color w:val="000000"/>
                <w:sz w:val="22"/>
                <w:szCs w:val="22"/>
              </w:rPr>
            </w:pPr>
            <w:r>
              <w:rPr>
                <w:rFonts w:cs="Calibri"/>
                <w:color w:val="000000"/>
                <w:sz w:val="22"/>
                <w:szCs w:val="22"/>
                <w:lang w:val="ga"/>
              </w:rPr>
              <w:t>1,057</w:t>
            </w:r>
          </w:p>
          <w:p w14:paraId="1FA53090" w14:textId="77777777" w:rsidR="00BD46FA" w:rsidRPr="004700D9" w:rsidRDefault="00BD46FA" w:rsidP="00BD46FA">
            <w:pPr>
              <w:spacing w:after="0"/>
              <w:jc w:val="right"/>
              <w:rPr>
                <w:rFonts w:cs="Calibri"/>
                <w:color w:val="000000"/>
                <w:sz w:val="22"/>
                <w:szCs w:val="22"/>
              </w:rPr>
            </w:pPr>
          </w:p>
        </w:tc>
        <w:tc>
          <w:tcPr>
            <w:tcW w:w="2223" w:type="dxa"/>
          </w:tcPr>
          <w:p w14:paraId="66C15158" w14:textId="77777777" w:rsidR="00BD46FA" w:rsidRPr="004700D9" w:rsidRDefault="00BD46FA" w:rsidP="00BD46FA">
            <w:pPr>
              <w:spacing w:after="0"/>
              <w:jc w:val="right"/>
              <w:rPr>
                <w:rFonts w:cs="Calibri"/>
                <w:color w:val="000000"/>
                <w:sz w:val="22"/>
                <w:szCs w:val="22"/>
              </w:rPr>
            </w:pPr>
            <w:r>
              <w:rPr>
                <w:rFonts w:cs="Calibri"/>
                <w:color w:val="000000"/>
                <w:sz w:val="22"/>
                <w:szCs w:val="22"/>
                <w:lang w:val="ga"/>
              </w:rPr>
              <w:t>30 (2.8%)</w:t>
            </w:r>
          </w:p>
          <w:p w14:paraId="1F44D683" w14:textId="77777777" w:rsidR="00BD46FA" w:rsidRPr="004700D9" w:rsidRDefault="00BD46FA" w:rsidP="00BD46FA">
            <w:pPr>
              <w:spacing w:after="0"/>
              <w:jc w:val="right"/>
              <w:rPr>
                <w:rFonts w:cs="Calibri"/>
                <w:color w:val="000000"/>
                <w:sz w:val="22"/>
                <w:szCs w:val="22"/>
              </w:rPr>
            </w:pPr>
          </w:p>
        </w:tc>
        <w:tc>
          <w:tcPr>
            <w:tcW w:w="1560" w:type="dxa"/>
          </w:tcPr>
          <w:p w14:paraId="2EE61D08" w14:textId="2481B213" w:rsidR="00BD46FA" w:rsidRPr="004700D9" w:rsidRDefault="00BD46FA" w:rsidP="00BD46FA">
            <w:pPr>
              <w:spacing w:after="0"/>
              <w:jc w:val="right"/>
              <w:rPr>
                <w:rFonts w:cs="Calibri"/>
                <w:color w:val="000000"/>
                <w:sz w:val="22"/>
                <w:szCs w:val="22"/>
              </w:rPr>
            </w:pPr>
            <w:r>
              <w:rPr>
                <w:rFonts w:cs="Calibri"/>
                <w:color w:val="000000"/>
                <w:sz w:val="22"/>
                <w:szCs w:val="22"/>
                <w:lang w:val="ga"/>
              </w:rPr>
              <w:t>1,172</w:t>
            </w:r>
          </w:p>
        </w:tc>
        <w:tc>
          <w:tcPr>
            <w:tcW w:w="2268" w:type="dxa"/>
          </w:tcPr>
          <w:p w14:paraId="4CF493A6" w14:textId="139FF06D" w:rsidR="00BD46FA" w:rsidRPr="004700D9" w:rsidRDefault="00BD46FA" w:rsidP="00BD46FA">
            <w:pPr>
              <w:spacing w:after="0"/>
              <w:jc w:val="right"/>
              <w:rPr>
                <w:rFonts w:cs="Calibri"/>
                <w:color w:val="000000"/>
                <w:sz w:val="22"/>
                <w:szCs w:val="22"/>
              </w:rPr>
            </w:pPr>
            <w:r>
              <w:rPr>
                <w:rFonts w:cs="Calibri"/>
                <w:color w:val="000000"/>
                <w:sz w:val="22"/>
                <w:szCs w:val="22"/>
                <w:lang w:val="ga"/>
              </w:rPr>
              <w:t>25 (2.1%)</w:t>
            </w:r>
          </w:p>
        </w:tc>
      </w:tr>
      <w:tr w:rsidR="00BD46FA" w:rsidRPr="004700D9" w14:paraId="27EFA1B9" w14:textId="77777777" w:rsidTr="00E57050">
        <w:tc>
          <w:tcPr>
            <w:tcW w:w="2574" w:type="dxa"/>
          </w:tcPr>
          <w:p w14:paraId="24A50A0B" w14:textId="115F1F63" w:rsidR="00BD46FA" w:rsidRPr="004700D9" w:rsidRDefault="00BD46FA" w:rsidP="00BD46FA">
            <w:pPr>
              <w:pStyle w:val="TableRowHead"/>
              <w:spacing w:before="120" w:after="120"/>
              <w:rPr>
                <w:rFonts w:ascii="Gill Sans MT" w:hAnsi="Gill Sans MT"/>
                <w:sz w:val="22"/>
                <w:szCs w:val="22"/>
              </w:rPr>
            </w:pPr>
            <w:r>
              <w:rPr>
                <w:rFonts w:ascii="Gill Sans MT" w:hAnsi="Gill Sans MT"/>
                <w:bCs/>
                <w:sz w:val="22"/>
                <w:szCs w:val="22"/>
                <w:lang w:val="ga"/>
              </w:rPr>
              <w:t>Bord Bia</w:t>
            </w:r>
          </w:p>
        </w:tc>
        <w:tc>
          <w:tcPr>
            <w:tcW w:w="1440" w:type="dxa"/>
          </w:tcPr>
          <w:p w14:paraId="6A7F0CC7" w14:textId="33881972" w:rsidR="00BD46FA" w:rsidRPr="004700D9" w:rsidRDefault="00BD46FA" w:rsidP="00BD46FA">
            <w:pPr>
              <w:spacing w:after="0"/>
              <w:jc w:val="right"/>
              <w:rPr>
                <w:rFonts w:cs="Calibri"/>
                <w:color w:val="000000"/>
                <w:sz w:val="22"/>
                <w:szCs w:val="22"/>
              </w:rPr>
            </w:pPr>
            <w:r>
              <w:rPr>
                <w:rFonts w:cs="Calibri"/>
                <w:color w:val="000000"/>
                <w:sz w:val="22"/>
                <w:szCs w:val="22"/>
                <w:lang w:val="ga"/>
              </w:rPr>
              <w:t>150</w:t>
            </w:r>
          </w:p>
        </w:tc>
        <w:tc>
          <w:tcPr>
            <w:tcW w:w="2223" w:type="dxa"/>
          </w:tcPr>
          <w:p w14:paraId="271A24C2" w14:textId="7F2ADA9A" w:rsidR="00BD46FA" w:rsidRPr="004700D9" w:rsidRDefault="00BD46FA" w:rsidP="00BD46FA">
            <w:pPr>
              <w:spacing w:after="0"/>
              <w:jc w:val="right"/>
              <w:rPr>
                <w:rFonts w:cs="Calibri"/>
                <w:color w:val="000000"/>
                <w:sz w:val="22"/>
                <w:szCs w:val="22"/>
              </w:rPr>
            </w:pPr>
            <w:r>
              <w:rPr>
                <w:rFonts w:cs="Calibri"/>
                <w:color w:val="000000"/>
                <w:sz w:val="22"/>
                <w:szCs w:val="22"/>
                <w:lang w:val="ga"/>
              </w:rPr>
              <w:t>3(2.0%)</w:t>
            </w:r>
          </w:p>
        </w:tc>
        <w:tc>
          <w:tcPr>
            <w:tcW w:w="1560" w:type="dxa"/>
          </w:tcPr>
          <w:p w14:paraId="3100E09F" w14:textId="638D3175" w:rsidR="00BD46FA" w:rsidRPr="004700D9" w:rsidRDefault="00BD46FA" w:rsidP="00BD46FA">
            <w:pPr>
              <w:pStyle w:val="TableCell"/>
              <w:jc w:val="right"/>
              <w:rPr>
                <w:sz w:val="22"/>
                <w:szCs w:val="22"/>
              </w:rPr>
            </w:pPr>
            <w:r>
              <w:rPr>
                <w:sz w:val="22"/>
                <w:szCs w:val="22"/>
                <w:lang w:val="ga"/>
              </w:rPr>
              <w:t>144</w:t>
            </w:r>
          </w:p>
        </w:tc>
        <w:tc>
          <w:tcPr>
            <w:tcW w:w="2268" w:type="dxa"/>
          </w:tcPr>
          <w:p w14:paraId="09B60BCE" w14:textId="748CEFDA" w:rsidR="00BD46FA" w:rsidRPr="004700D9" w:rsidRDefault="00BD46FA" w:rsidP="00BD46FA">
            <w:pPr>
              <w:pStyle w:val="TableCell"/>
              <w:jc w:val="right"/>
              <w:rPr>
                <w:sz w:val="22"/>
                <w:szCs w:val="22"/>
              </w:rPr>
            </w:pPr>
            <w:r>
              <w:rPr>
                <w:sz w:val="22"/>
                <w:szCs w:val="22"/>
                <w:lang w:val="ga"/>
              </w:rPr>
              <w:t>2 (1.4%)</w:t>
            </w:r>
          </w:p>
        </w:tc>
      </w:tr>
      <w:tr w:rsidR="00BD46FA" w:rsidRPr="004700D9" w14:paraId="7F8B8F1D" w14:textId="77777777" w:rsidTr="00E57050">
        <w:trPr>
          <w:trHeight w:val="462"/>
        </w:trPr>
        <w:tc>
          <w:tcPr>
            <w:tcW w:w="2574" w:type="dxa"/>
          </w:tcPr>
          <w:p w14:paraId="3B089FC3" w14:textId="77777777" w:rsidR="00BD46FA" w:rsidRPr="004700D9" w:rsidRDefault="00BD46FA" w:rsidP="00BD46FA">
            <w:pPr>
              <w:pStyle w:val="TableRowHead"/>
              <w:spacing w:before="120" w:after="120"/>
              <w:rPr>
                <w:rFonts w:ascii="Gill Sans MT" w:hAnsi="Gill Sans MT"/>
                <w:sz w:val="22"/>
                <w:szCs w:val="22"/>
              </w:rPr>
            </w:pPr>
            <w:r>
              <w:rPr>
                <w:rFonts w:ascii="Gill Sans MT" w:hAnsi="Gill Sans MT"/>
                <w:bCs/>
                <w:sz w:val="22"/>
                <w:szCs w:val="22"/>
                <w:lang w:val="ga"/>
              </w:rPr>
              <w:t xml:space="preserve">FSS </w:t>
            </w:r>
          </w:p>
        </w:tc>
        <w:tc>
          <w:tcPr>
            <w:tcW w:w="1440" w:type="dxa"/>
          </w:tcPr>
          <w:p w14:paraId="0D3AAA3D" w14:textId="77777777" w:rsidR="00BD46FA" w:rsidRPr="004700D9" w:rsidRDefault="00BD46FA" w:rsidP="00BD46FA">
            <w:pPr>
              <w:spacing w:after="0"/>
              <w:jc w:val="right"/>
              <w:rPr>
                <w:rFonts w:cs="Calibri"/>
                <w:color w:val="000000"/>
                <w:sz w:val="22"/>
                <w:szCs w:val="22"/>
              </w:rPr>
            </w:pPr>
            <w:r>
              <w:rPr>
                <w:rFonts w:cs="Calibri"/>
                <w:color w:val="000000"/>
                <w:sz w:val="22"/>
                <w:szCs w:val="22"/>
                <w:lang w:val="ga"/>
              </w:rPr>
              <w:t>96,675</w:t>
            </w:r>
          </w:p>
          <w:p w14:paraId="0E467CC7" w14:textId="77777777" w:rsidR="00BD46FA" w:rsidRPr="004700D9" w:rsidRDefault="00BD46FA" w:rsidP="00BD46FA">
            <w:pPr>
              <w:pStyle w:val="TableCell"/>
              <w:jc w:val="right"/>
              <w:rPr>
                <w:sz w:val="22"/>
                <w:szCs w:val="22"/>
              </w:rPr>
            </w:pPr>
          </w:p>
        </w:tc>
        <w:tc>
          <w:tcPr>
            <w:tcW w:w="2223" w:type="dxa"/>
          </w:tcPr>
          <w:p w14:paraId="37620177" w14:textId="5C1243F2" w:rsidR="00BD46FA" w:rsidRPr="004700D9" w:rsidRDefault="00BD46FA" w:rsidP="00BD46FA">
            <w:pPr>
              <w:spacing w:after="0"/>
              <w:jc w:val="right"/>
              <w:rPr>
                <w:rFonts w:cs="Calibri"/>
                <w:color w:val="000000"/>
                <w:sz w:val="22"/>
                <w:szCs w:val="22"/>
              </w:rPr>
            </w:pPr>
            <w:r>
              <w:rPr>
                <w:rFonts w:cs="Calibri"/>
                <w:color w:val="000000"/>
                <w:sz w:val="22"/>
                <w:szCs w:val="22"/>
                <w:lang w:val="ga"/>
              </w:rPr>
              <w:t>1508 (1.6%)</w:t>
            </w:r>
          </w:p>
          <w:p w14:paraId="307BDB71" w14:textId="77777777" w:rsidR="00BD46FA" w:rsidRPr="004700D9" w:rsidRDefault="00BD46FA" w:rsidP="00BD46FA">
            <w:pPr>
              <w:pStyle w:val="TableCell"/>
              <w:jc w:val="right"/>
              <w:rPr>
                <w:sz w:val="22"/>
                <w:szCs w:val="22"/>
              </w:rPr>
            </w:pPr>
          </w:p>
        </w:tc>
        <w:tc>
          <w:tcPr>
            <w:tcW w:w="1560" w:type="dxa"/>
          </w:tcPr>
          <w:p w14:paraId="45EF6AE6" w14:textId="65D15859" w:rsidR="00BD46FA" w:rsidRPr="004700D9" w:rsidRDefault="00122D2F" w:rsidP="00BD46FA">
            <w:pPr>
              <w:pStyle w:val="TableCell"/>
              <w:jc w:val="right"/>
              <w:rPr>
                <w:sz w:val="22"/>
                <w:szCs w:val="22"/>
              </w:rPr>
            </w:pPr>
            <w:r>
              <w:rPr>
                <w:sz w:val="22"/>
                <w:szCs w:val="22"/>
                <w:lang w:val="ga"/>
              </w:rPr>
              <w:t>101,020</w:t>
            </w:r>
          </w:p>
        </w:tc>
        <w:tc>
          <w:tcPr>
            <w:tcW w:w="2268" w:type="dxa"/>
          </w:tcPr>
          <w:p w14:paraId="7D389A7C" w14:textId="626FB6BC" w:rsidR="00BD46FA" w:rsidRPr="004700D9" w:rsidRDefault="00122D2F" w:rsidP="00BD46FA">
            <w:pPr>
              <w:pStyle w:val="TableCell"/>
              <w:jc w:val="right"/>
              <w:rPr>
                <w:sz w:val="22"/>
                <w:szCs w:val="22"/>
              </w:rPr>
            </w:pPr>
            <w:r>
              <w:rPr>
                <w:sz w:val="22"/>
                <w:szCs w:val="22"/>
                <w:lang w:val="ga"/>
              </w:rPr>
              <w:t>2,331 (2.3%)</w:t>
            </w:r>
          </w:p>
        </w:tc>
      </w:tr>
      <w:tr w:rsidR="00BD46FA" w:rsidRPr="004700D9" w14:paraId="56778663" w14:textId="77777777" w:rsidTr="00E57050">
        <w:tc>
          <w:tcPr>
            <w:tcW w:w="2574" w:type="dxa"/>
          </w:tcPr>
          <w:p w14:paraId="27FE4658" w14:textId="4037237B" w:rsidR="00BD46FA" w:rsidRPr="004700D9" w:rsidRDefault="00BD46FA" w:rsidP="00BD46FA">
            <w:pPr>
              <w:pStyle w:val="TableRowHead"/>
              <w:spacing w:before="120" w:after="120"/>
              <w:rPr>
                <w:rFonts w:ascii="Gill Sans MT" w:hAnsi="Gill Sans MT"/>
                <w:sz w:val="22"/>
                <w:szCs w:val="22"/>
              </w:rPr>
            </w:pPr>
            <w:r>
              <w:rPr>
                <w:rFonts w:ascii="Gill Sans MT" w:hAnsi="Gill Sans MT"/>
                <w:bCs/>
                <w:sz w:val="22"/>
                <w:szCs w:val="22"/>
                <w:lang w:val="ga"/>
              </w:rPr>
              <w:t>An Ghníomhaireacht um Fhorbairt Talún</w:t>
            </w:r>
          </w:p>
        </w:tc>
        <w:tc>
          <w:tcPr>
            <w:tcW w:w="1440" w:type="dxa"/>
          </w:tcPr>
          <w:p w14:paraId="29A0A503" w14:textId="150A4EAA" w:rsidR="00BD46FA" w:rsidRPr="004700D9" w:rsidRDefault="00122D2F" w:rsidP="00722135">
            <w:pPr>
              <w:pStyle w:val="TableCell"/>
              <w:jc w:val="right"/>
              <w:rPr>
                <w:sz w:val="22"/>
                <w:szCs w:val="22"/>
              </w:rPr>
            </w:pPr>
            <w:r>
              <w:rPr>
                <w:sz w:val="22"/>
                <w:szCs w:val="22"/>
                <w:lang w:val="ga"/>
              </w:rPr>
              <w:t>50</w:t>
            </w:r>
          </w:p>
        </w:tc>
        <w:tc>
          <w:tcPr>
            <w:tcW w:w="2223" w:type="dxa"/>
          </w:tcPr>
          <w:p w14:paraId="44BAE515" w14:textId="0D205056" w:rsidR="00BD46FA" w:rsidRPr="004700D9" w:rsidRDefault="00122D2F" w:rsidP="00722135">
            <w:pPr>
              <w:pStyle w:val="TableCell"/>
              <w:jc w:val="right"/>
              <w:rPr>
                <w:sz w:val="22"/>
                <w:szCs w:val="22"/>
              </w:rPr>
            </w:pPr>
            <w:r>
              <w:rPr>
                <w:sz w:val="22"/>
                <w:szCs w:val="22"/>
                <w:lang w:val="ga"/>
              </w:rPr>
              <w:t>1(2.0%)</w:t>
            </w:r>
          </w:p>
        </w:tc>
        <w:tc>
          <w:tcPr>
            <w:tcW w:w="1560" w:type="dxa"/>
          </w:tcPr>
          <w:p w14:paraId="1D57D49A" w14:textId="4AE81F7C" w:rsidR="00BD46FA" w:rsidRPr="004700D9" w:rsidRDefault="00122D2F" w:rsidP="00722135">
            <w:pPr>
              <w:pStyle w:val="TableCell"/>
              <w:jc w:val="right"/>
              <w:rPr>
                <w:sz w:val="22"/>
                <w:szCs w:val="22"/>
              </w:rPr>
            </w:pPr>
            <w:r>
              <w:rPr>
                <w:sz w:val="22"/>
                <w:szCs w:val="22"/>
                <w:lang w:val="ga"/>
              </w:rPr>
              <w:t>70</w:t>
            </w:r>
          </w:p>
        </w:tc>
        <w:tc>
          <w:tcPr>
            <w:tcW w:w="2268" w:type="dxa"/>
          </w:tcPr>
          <w:p w14:paraId="58ABEB87" w14:textId="7E88662D" w:rsidR="00BD46FA" w:rsidRPr="004700D9" w:rsidRDefault="00122D2F" w:rsidP="00722135">
            <w:pPr>
              <w:pStyle w:val="TableCell"/>
              <w:jc w:val="right"/>
              <w:rPr>
                <w:sz w:val="22"/>
                <w:szCs w:val="22"/>
              </w:rPr>
            </w:pPr>
            <w:r>
              <w:rPr>
                <w:sz w:val="22"/>
                <w:szCs w:val="22"/>
                <w:lang w:val="ga"/>
              </w:rPr>
              <w:t>1 (1.4%)</w:t>
            </w:r>
          </w:p>
        </w:tc>
      </w:tr>
    </w:tbl>
    <w:p w14:paraId="0E56F693" w14:textId="15129C9F" w:rsidR="00986896" w:rsidRPr="004700D9" w:rsidRDefault="00986896" w:rsidP="00973B13">
      <w:pPr>
        <w:pStyle w:val="Heading2"/>
        <w:rPr>
          <w:sz w:val="22"/>
          <w:szCs w:val="22"/>
          <w:highlight w:val="green"/>
        </w:rPr>
      </w:pPr>
    </w:p>
    <w:p w14:paraId="084D123F" w14:textId="77777777" w:rsidR="004700D9" w:rsidRDefault="004700D9" w:rsidP="00973B13">
      <w:pPr>
        <w:pStyle w:val="Heading2"/>
      </w:pPr>
    </w:p>
    <w:p w14:paraId="7027BB99" w14:textId="77777777" w:rsidR="00CD5456" w:rsidRDefault="00CD5456" w:rsidP="00973B13">
      <w:pPr>
        <w:pStyle w:val="Heading2"/>
      </w:pPr>
    </w:p>
    <w:p w14:paraId="19A056E4" w14:textId="639BEEDF" w:rsidR="00973B13" w:rsidRPr="00986896" w:rsidRDefault="0013362E" w:rsidP="00973B13">
      <w:pPr>
        <w:pStyle w:val="Heading2"/>
      </w:pPr>
      <w:bookmarkStart w:id="62" w:name="_Toc147910083"/>
      <w:r>
        <w:rPr>
          <w:bCs/>
          <w:lang w:val="ga"/>
        </w:rPr>
        <w:t>3.4 Coistí Faireacháin</w:t>
      </w:r>
      <w:bookmarkEnd w:id="57"/>
      <w:bookmarkEnd w:id="58"/>
      <w:bookmarkEnd w:id="59"/>
      <w:bookmarkEnd w:id="62"/>
    </w:p>
    <w:p w14:paraId="28D80567" w14:textId="20E7D4E3" w:rsidR="00FC0298" w:rsidRPr="00986896" w:rsidRDefault="00973B13" w:rsidP="003652F9">
      <w:r>
        <w:rPr>
          <w:lang w:val="ga"/>
        </w:rPr>
        <w:t>Leanann na Coistí Faireacháin orthu ag obair le ÚNM chun a chinntiú go scaiptear ar chomhlachtaí poiblí an treoir uainn maidir le timpeallacht chuimsitheach oibre a chruthú agus chun tacú le comhlachtaí poiblí tuilleadh daoine a bhfuil míchumas orthu a earcú de réir a chéile.</w:t>
      </w:r>
    </w:p>
    <w:p w14:paraId="08A23104" w14:textId="066C8CC4" w:rsidR="00973B13" w:rsidRPr="00986896" w:rsidRDefault="000B2489" w:rsidP="00973B13">
      <w:pPr>
        <w:pStyle w:val="Heading2"/>
      </w:pPr>
      <w:bookmarkStart w:id="63" w:name="_Toc147910084"/>
      <w:r>
        <w:rPr>
          <w:bCs/>
          <w:lang w:val="ga"/>
        </w:rPr>
        <w:t xml:space="preserve">3.5 </w:t>
      </w:r>
      <w:bookmarkStart w:id="64" w:name="_Toc56497156"/>
      <w:bookmarkStart w:id="65" w:name="_Toc18680259"/>
      <w:bookmarkStart w:id="66" w:name="_Toc526435825"/>
      <w:bookmarkStart w:id="67" w:name="_Toc498585843"/>
      <w:r>
        <w:rPr>
          <w:bCs/>
          <w:lang w:val="ga"/>
        </w:rPr>
        <w:t xml:space="preserve">Earráidí </w:t>
      </w:r>
      <w:bookmarkEnd w:id="64"/>
      <w:bookmarkEnd w:id="65"/>
      <w:bookmarkEnd w:id="66"/>
      <w:bookmarkEnd w:id="67"/>
      <w:r>
        <w:rPr>
          <w:bCs/>
          <w:lang w:val="ga"/>
        </w:rPr>
        <w:t>– athruithe i sonraí</w:t>
      </w:r>
      <w:bookmarkEnd w:id="63"/>
    </w:p>
    <w:p w14:paraId="67FF25AF" w14:textId="1716E9DD" w:rsidR="00973B13" w:rsidRPr="004C3D5B" w:rsidRDefault="00AE050D" w:rsidP="003652F9">
      <w:pPr>
        <w:rPr>
          <w:rFonts w:ascii="Rockwell" w:hAnsi="Rockwell"/>
        </w:rPr>
      </w:pPr>
      <w:r>
        <w:rPr>
          <w:lang w:val="ga"/>
        </w:rPr>
        <w:t>Ní raibh aon earráidí ann sna sonraí a foilsíodh go dtí seo.</w:t>
      </w:r>
      <w:bookmarkEnd w:id="21"/>
      <w:r>
        <w:rPr>
          <w:lang w:val="ga"/>
        </w:rPr>
        <w:br w:type="page"/>
      </w:r>
    </w:p>
    <w:p w14:paraId="318D8A00" w14:textId="1704A508" w:rsidR="00E9499C" w:rsidRPr="00C36EE8" w:rsidRDefault="00973B13" w:rsidP="00D77C26">
      <w:pPr>
        <w:pStyle w:val="Heading1"/>
      </w:pPr>
      <w:bookmarkStart w:id="68" w:name="_Toc147910085"/>
      <w:r>
        <w:rPr>
          <w:bCs/>
          <w:lang w:val="ga"/>
        </w:rPr>
        <w:lastRenderedPageBreak/>
        <w:t>Aguisín A – Ranna Rialtais</w:t>
      </w:r>
      <w:bookmarkEnd w:id="68"/>
    </w:p>
    <w:p w14:paraId="43118BBC" w14:textId="7636F8DB" w:rsidR="00100447" w:rsidRPr="00C36EE8" w:rsidRDefault="00100447" w:rsidP="00100447">
      <w:pPr>
        <w:pStyle w:val="TableTitle"/>
        <w:jc w:val="left"/>
      </w:pPr>
    </w:p>
    <w:tbl>
      <w:tblPr>
        <w:tblStyle w:val="TableGrid1"/>
        <w:tblW w:w="0" w:type="auto"/>
        <w:tblInd w:w="-998" w:type="dxa"/>
        <w:tblLook w:val="0020" w:firstRow="1" w:lastRow="0" w:firstColumn="0" w:lastColumn="0" w:noHBand="0" w:noVBand="0"/>
      </w:tblPr>
      <w:tblGrid>
        <w:gridCol w:w="1732"/>
        <w:gridCol w:w="1112"/>
        <w:gridCol w:w="1408"/>
        <w:gridCol w:w="1428"/>
        <w:gridCol w:w="1112"/>
        <w:gridCol w:w="1408"/>
        <w:gridCol w:w="1428"/>
      </w:tblGrid>
      <w:tr w:rsidR="00F25E62" w:rsidRPr="00C36EE8" w14:paraId="28E38A6C" w14:textId="77777777" w:rsidTr="00E57050">
        <w:tc>
          <w:tcPr>
            <w:tcW w:w="2478" w:type="dxa"/>
          </w:tcPr>
          <w:p w14:paraId="1D35EC9D" w14:textId="305A4352" w:rsidR="0007589F" w:rsidRPr="00C36EE8" w:rsidRDefault="0007589F" w:rsidP="0007589F">
            <w:pPr>
              <w:pStyle w:val="TableHead"/>
              <w:rPr>
                <w:sz w:val="22"/>
                <w:szCs w:val="22"/>
              </w:rPr>
            </w:pPr>
            <w:r>
              <w:rPr>
                <w:bCs/>
                <w:sz w:val="22"/>
                <w:szCs w:val="22"/>
                <w:lang w:val="ga"/>
              </w:rPr>
              <w:t xml:space="preserve">Roinn </w:t>
            </w:r>
          </w:p>
        </w:tc>
        <w:tc>
          <w:tcPr>
            <w:tcW w:w="0" w:type="auto"/>
          </w:tcPr>
          <w:p w14:paraId="4792CAE5" w14:textId="77777777" w:rsidR="00F516FE" w:rsidRPr="00C36EE8" w:rsidRDefault="00E011F1" w:rsidP="0007589F">
            <w:pPr>
              <w:pStyle w:val="TableHead"/>
              <w:rPr>
                <w:sz w:val="22"/>
                <w:szCs w:val="22"/>
              </w:rPr>
            </w:pPr>
            <w:r>
              <w:rPr>
                <w:bCs/>
                <w:sz w:val="22"/>
                <w:szCs w:val="22"/>
                <w:lang w:val="ga"/>
              </w:rPr>
              <w:t xml:space="preserve">An líon </w:t>
            </w:r>
          </w:p>
          <w:p w14:paraId="38C2F636" w14:textId="6CB983BF" w:rsidR="0007589F" w:rsidRPr="00C36EE8" w:rsidRDefault="00E011F1" w:rsidP="0007589F">
            <w:pPr>
              <w:pStyle w:val="TableHead"/>
              <w:rPr>
                <w:sz w:val="22"/>
                <w:szCs w:val="22"/>
              </w:rPr>
            </w:pPr>
            <w:r>
              <w:rPr>
                <w:bCs/>
                <w:sz w:val="22"/>
                <w:szCs w:val="22"/>
                <w:lang w:val="ga"/>
              </w:rPr>
              <w:t>iomlán fostaithe 2021</w:t>
            </w:r>
          </w:p>
        </w:tc>
        <w:tc>
          <w:tcPr>
            <w:tcW w:w="0" w:type="auto"/>
          </w:tcPr>
          <w:p w14:paraId="3F0CDEEA" w14:textId="0EB4AB05" w:rsidR="0007589F" w:rsidRPr="00C36EE8" w:rsidRDefault="00E011F1" w:rsidP="0007589F">
            <w:pPr>
              <w:pStyle w:val="TableHead"/>
              <w:rPr>
                <w:sz w:val="22"/>
                <w:szCs w:val="22"/>
              </w:rPr>
            </w:pPr>
            <w:r>
              <w:rPr>
                <w:bCs/>
                <w:sz w:val="22"/>
                <w:szCs w:val="22"/>
                <w:lang w:val="ga"/>
              </w:rPr>
              <w:t xml:space="preserve">An líon fostaithe a thuairiscigh míchumas </w:t>
            </w:r>
          </w:p>
          <w:p w14:paraId="2A6C51C8" w14:textId="338C3B06" w:rsidR="0007589F" w:rsidRPr="00C36EE8" w:rsidRDefault="00F1261F" w:rsidP="0007589F">
            <w:pPr>
              <w:pStyle w:val="TableHead"/>
              <w:rPr>
                <w:sz w:val="22"/>
                <w:szCs w:val="22"/>
              </w:rPr>
            </w:pPr>
            <w:r>
              <w:rPr>
                <w:bCs/>
                <w:sz w:val="22"/>
                <w:szCs w:val="22"/>
                <w:lang w:val="ga"/>
              </w:rPr>
              <w:t>2021</w:t>
            </w:r>
          </w:p>
        </w:tc>
        <w:tc>
          <w:tcPr>
            <w:tcW w:w="0" w:type="auto"/>
          </w:tcPr>
          <w:p w14:paraId="34A20F71" w14:textId="68344F07" w:rsidR="0007589F" w:rsidRPr="00C36EE8" w:rsidRDefault="0007589F" w:rsidP="0007589F">
            <w:pPr>
              <w:pStyle w:val="TableHead"/>
              <w:rPr>
                <w:sz w:val="22"/>
                <w:szCs w:val="22"/>
              </w:rPr>
            </w:pPr>
            <w:r>
              <w:rPr>
                <w:bCs/>
                <w:sz w:val="22"/>
                <w:szCs w:val="22"/>
                <w:lang w:val="ga"/>
              </w:rPr>
              <w:t>An % d’fhostaithe a thuairiscigh</w:t>
            </w:r>
          </w:p>
          <w:p w14:paraId="188A292B" w14:textId="7BC8EBEE" w:rsidR="0007589F" w:rsidRPr="00C36EE8" w:rsidRDefault="003D0375" w:rsidP="0007589F">
            <w:pPr>
              <w:pStyle w:val="TableHead"/>
              <w:rPr>
                <w:sz w:val="22"/>
                <w:szCs w:val="22"/>
              </w:rPr>
            </w:pPr>
            <w:r>
              <w:rPr>
                <w:bCs/>
                <w:sz w:val="22"/>
                <w:szCs w:val="22"/>
                <w:lang w:val="ga"/>
              </w:rPr>
              <w:t>míchumas 2021</w:t>
            </w:r>
          </w:p>
        </w:tc>
        <w:tc>
          <w:tcPr>
            <w:tcW w:w="0" w:type="auto"/>
          </w:tcPr>
          <w:p w14:paraId="075A235A" w14:textId="0EE280DB" w:rsidR="0007589F" w:rsidRPr="00C36EE8" w:rsidRDefault="00F1261F" w:rsidP="0007589F">
            <w:pPr>
              <w:pStyle w:val="TableHead"/>
              <w:rPr>
                <w:sz w:val="22"/>
                <w:szCs w:val="22"/>
              </w:rPr>
            </w:pPr>
            <w:r>
              <w:rPr>
                <w:bCs/>
                <w:sz w:val="22"/>
                <w:szCs w:val="22"/>
                <w:lang w:val="ga"/>
              </w:rPr>
              <w:t>An líon iomlán fostaithe 2022</w:t>
            </w:r>
          </w:p>
        </w:tc>
        <w:tc>
          <w:tcPr>
            <w:tcW w:w="0" w:type="auto"/>
          </w:tcPr>
          <w:p w14:paraId="46982EE5" w14:textId="1FBEABF3" w:rsidR="0007589F" w:rsidRPr="00C36EE8" w:rsidRDefault="00E011F1" w:rsidP="0007589F">
            <w:pPr>
              <w:pStyle w:val="TableHead"/>
              <w:rPr>
                <w:sz w:val="22"/>
                <w:szCs w:val="22"/>
              </w:rPr>
            </w:pPr>
            <w:r>
              <w:rPr>
                <w:bCs/>
                <w:sz w:val="22"/>
                <w:szCs w:val="22"/>
                <w:lang w:val="ga"/>
              </w:rPr>
              <w:t xml:space="preserve">An líon fostaithe a thuairiscigh míchumas </w:t>
            </w:r>
          </w:p>
          <w:p w14:paraId="280AE72C" w14:textId="284C722C" w:rsidR="0007589F" w:rsidRPr="00C36EE8" w:rsidRDefault="00F1261F" w:rsidP="0007589F">
            <w:pPr>
              <w:pStyle w:val="TableHead"/>
              <w:rPr>
                <w:sz w:val="22"/>
                <w:szCs w:val="22"/>
              </w:rPr>
            </w:pPr>
            <w:r>
              <w:rPr>
                <w:bCs/>
                <w:sz w:val="22"/>
                <w:szCs w:val="22"/>
                <w:lang w:val="ga"/>
              </w:rPr>
              <w:t>2022</w:t>
            </w:r>
          </w:p>
        </w:tc>
        <w:tc>
          <w:tcPr>
            <w:tcW w:w="0" w:type="auto"/>
          </w:tcPr>
          <w:p w14:paraId="14C5846D" w14:textId="730656B0" w:rsidR="0007589F" w:rsidRPr="00C36EE8" w:rsidRDefault="0007589F" w:rsidP="0007589F">
            <w:pPr>
              <w:pStyle w:val="TableHead"/>
              <w:rPr>
                <w:sz w:val="22"/>
                <w:szCs w:val="22"/>
              </w:rPr>
            </w:pPr>
            <w:r>
              <w:rPr>
                <w:bCs/>
                <w:sz w:val="22"/>
                <w:szCs w:val="22"/>
                <w:lang w:val="ga"/>
              </w:rPr>
              <w:t>An % d’fhostaithe a thuairiscigh</w:t>
            </w:r>
          </w:p>
          <w:p w14:paraId="455354A8" w14:textId="721E8E44" w:rsidR="0007589F" w:rsidRPr="00C36EE8" w:rsidRDefault="003D0375" w:rsidP="0007589F">
            <w:pPr>
              <w:pStyle w:val="TableHead"/>
              <w:rPr>
                <w:sz w:val="24"/>
              </w:rPr>
            </w:pPr>
            <w:r>
              <w:rPr>
                <w:bCs/>
                <w:sz w:val="22"/>
                <w:szCs w:val="22"/>
                <w:lang w:val="ga"/>
              </w:rPr>
              <w:t>míchumas 2022</w:t>
            </w:r>
          </w:p>
        </w:tc>
      </w:tr>
      <w:tr w:rsidR="00240CF3" w:rsidRPr="00C36EE8" w14:paraId="58AADFE2" w14:textId="77777777" w:rsidTr="00E57050">
        <w:tc>
          <w:tcPr>
            <w:tcW w:w="2478" w:type="dxa"/>
          </w:tcPr>
          <w:p w14:paraId="3C421F76" w14:textId="13A022A7" w:rsidR="00240CF3" w:rsidRPr="00C36EE8" w:rsidRDefault="00240CF3" w:rsidP="00240CF3">
            <w:pPr>
              <w:rPr>
                <w:sz w:val="22"/>
                <w:szCs w:val="22"/>
              </w:rPr>
            </w:pPr>
            <w:r>
              <w:rPr>
                <w:rFonts w:cs="Calibri"/>
                <w:color w:val="000000"/>
                <w:sz w:val="22"/>
                <w:szCs w:val="22"/>
                <w:lang w:val="ga"/>
              </w:rPr>
              <w:t>An Roinn Talmhaíochta, Bia agus Mara</w:t>
            </w:r>
          </w:p>
        </w:tc>
        <w:tc>
          <w:tcPr>
            <w:tcW w:w="0" w:type="auto"/>
          </w:tcPr>
          <w:p w14:paraId="4FBDBD9E" w14:textId="22D67AC5" w:rsidR="00240CF3" w:rsidRPr="00C36EE8" w:rsidRDefault="00240CF3" w:rsidP="00240CF3">
            <w:pPr>
              <w:jc w:val="right"/>
              <w:rPr>
                <w:sz w:val="22"/>
                <w:szCs w:val="22"/>
              </w:rPr>
            </w:pPr>
            <w:r>
              <w:rPr>
                <w:rFonts w:cs="Calibri"/>
                <w:color w:val="000000"/>
                <w:sz w:val="22"/>
                <w:szCs w:val="22"/>
                <w:lang w:val="ga"/>
              </w:rPr>
              <w:t>3,868</w:t>
            </w:r>
          </w:p>
        </w:tc>
        <w:tc>
          <w:tcPr>
            <w:tcW w:w="0" w:type="auto"/>
          </w:tcPr>
          <w:p w14:paraId="3D2048BD" w14:textId="7A10371A" w:rsidR="00240CF3" w:rsidRPr="00C36EE8" w:rsidRDefault="00240CF3" w:rsidP="00240CF3">
            <w:pPr>
              <w:jc w:val="right"/>
              <w:rPr>
                <w:sz w:val="22"/>
                <w:szCs w:val="22"/>
              </w:rPr>
            </w:pPr>
            <w:r>
              <w:rPr>
                <w:rFonts w:cs="Calibri"/>
                <w:color w:val="000000"/>
                <w:sz w:val="22"/>
                <w:szCs w:val="22"/>
                <w:lang w:val="ga"/>
              </w:rPr>
              <w:t>139</w:t>
            </w:r>
          </w:p>
        </w:tc>
        <w:tc>
          <w:tcPr>
            <w:tcW w:w="0" w:type="auto"/>
          </w:tcPr>
          <w:p w14:paraId="1A935B8C" w14:textId="484E5C97" w:rsidR="00240CF3" w:rsidRPr="00C36EE8" w:rsidRDefault="00240CF3" w:rsidP="00240CF3">
            <w:pPr>
              <w:jc w:val="right"/>
              <w:rPr>
                <w:sz w:val="22"/>
                <w:szCs w:val="22"/>
              </w:rPr>
            </w:pPr>
            <w:r>
              <w:rPr>
                <w:rFonts w:cs="Calibri"/>
                <w:color w:val="000000"/>
                <w:sz w:val="22"/>
                <w:szCs w:val="22"/>
                <w:lang w:val="ga"/>
              </w:rPr>
              <w:t>3.6%</w:t>
            </w:r>
          </w:p>
        </w:tc>
        <w:tc>
          <w:tcPr>
            <w:tcW w:w="0" w:type="auto"/>
          </w:tcPr>
          <w:p w14:paraId="222BB804" w14:textId="29FF4418" w:rsidR="00240CF3" w:rsidRPr="00C36EE8" w:rsidRDefault="00240CF3" w:rsidP="00240CF3">
            <w:pPr>
              <w:jc w:val="right"/>
              <w:rPr>
                <w:sz w:val="22"/>
                <w:szCs w:val="22"/>
              </w:rPr>
            </w:pPr>
            <w:r>
              <w:rPr>
                <w:rFonts w:cs="Calibri"/>
                <w:color w:val="000000"/>
                <w:sz w:val="22"/>
                <w:szCs w:val="22"/>
                <w:lang w:val="ga"/>
              </w:rPr>
              <w:t>3922</w:t>
            </w:r>
          </w:p>
        </w:tc>
        <w:tc>
          <w:tcPr>
            <w:tcW w:w="0" w:type="auto"/>
          </w:tcPr>
          <w:p w14:paraId="023F471A" w14:textId="72C8B2E4" w:rsidR="00240CF3" w:rsidRPr="00C36EE8" w:rsidRDefault="00240CF3" w:rsidP="00240CF3">
            <w:pPr>
              <w:jc w:val="right"/>
              <w:rPr>
                <w:sz w:val="22"/>
                <w:szCs w:val="22"/>
              </w:rPr>
            </w:pPr>
            <w:r>
              <w:rPr>
                <w:rFonts w:cs="Calibri"/>
                <w:color w:val="000000"/>
                <w:sz w:val="22"/>
                <w:szCs w:val="22"/>
                <w:lang w:val="ga"/>
              </w:rPr>
              <w:t>166</w:t>
            </w:r>
          </w:p>
        </w:tc>
        <w:tc>
          <w:tcPr>
            <w:tcW w:w="0" w:type="auto"/>
          </w:tcPr>
          <w:p w14:paraId="50975529" w14:textId="6A734336" w:rsidR="00240CF3" w:rsidRPr="00C36EE8" w:rsidRDefault="00240CF3" w:rsidP="00240CF3">
            <w:pPr>
              <w:jc w:val="right"/>
              <w:rPr>
                <w:sz w:val="22"/>
                <w:szCs w:val="22"/>
              </w:rPr>
            </w:pPr>
            <w:r>
              <w:rPr>
                <w:rFonts w:cs="Calibri"/>
                <w:color w:val="000000"/>
                <w:sz w:val="22"/>
                <w:szCs w:val="22"/>
                <w:lang w:val="ga"/>
              </w:rPr>
              <w:t>4.2%</w:t>
            </w:r>
          </w:p>
        </w:tc>
      </w:tr>
      <w:tr w:rsidR="00240CF3" w:rsidRPr="00C36EE8" w14:paraId="1F2A44B9" w14:textId="77777777" w:rsidTr="00E57050">
        <w:tc>
          <w:tcPr>
            <w:tcW w:w="2478" w:type="dxa"/>
          </w:tcPr>
          <w:p w14:paraId="2E5BD7B7" w14:textId="015E2CCD" w:rsidR="00240CF3" w:rsidRPr="00C36EE8" w:rsidRDefault="00240CF3" w:rsidP="00240CF3">
            <w:pPr>
              <w:rPr>
                <w:sz w:val="22"/>
                <w:szCs w:val="22"/>
              </w:rPr>
            </w:pPr>
            <w:r>
              <w:rPr>
                <w:rFonts w:cs="Calibri"/>
                <w:color w:val="000000"/>
                <w:sz w:val="22"/>
                <w:szCs w:val="22"/>
                <w:lang w:val="ga"/>
              </w:rPr>
              <w:t xml:space="preserve">An Roinn Leanaí, Comhionannais, Míchumais, Lánpháirtíochta agus Óige </w:t>
            </w:r>
          </w:p>
        </w:tc>
        <w:tc>
          <w:tcPr>
            <w:tcW w:w="0" w:type="auto"/>
          </w:tcPr>
          <w:p w14:paraId="146F4F91" w14:textId="7F7C221E" w:rsidR="00240CF3" w:rsidRPr="00C36EE8" w:rsidRDefault="00240CF3" w:rsidP="00240CF3">
            <w:pPr>
              <w:pStyle w:val="TableCell"/>
              <w:jc w:val="right"/>
              <w:rPr>
                <w:sz w:val="22"/>
                <w:szCs w:val="22"/>
              </w:rPr>
            </w:pPr>
            <w:r>
              <w:rPr>
                <w:rFonts w:cs="Calibri"/>
                <w:color w:val="000000"/>
                <w:sz w:val="22"/>
                <w:szCs w:val="22"/>
                <w:lang w:val="ga"/>
              </w:rPr>
              <w:t>494</w:t>
            </w:r>
          </w:p>
        </w:tc>
        <w:tc>
          <w:tcPr>
            <w:tcW w:w="0" w:type="auto"/>
          </w:tcPr>
          <w:p w14:paraId="0D4C171D" w14:textId="21F998A3" w:rsidR="00240CF3" w:rsidRPr="00C36EE8" w:rsidRDefault="00240CF3" w:rsidP="00240CF3">
            <w:pPr>
              <w:pStyle w:val="TableCell"/>
              <w:jc w:val="right"/>
              <w:rPr>
                <w:sz w:val="22"/>
                <w:szCs w:val="22"/>
              </w:rPr>
            </w:pPr>
            <w:r>
              <w:rPr>
                <w:rFonts w:cs="Calibri"/>
                <w:color w:val="000000"/>
                <w:sz w:val="22"/>
                <w:szCs w:val="22"/>
                <w:lang w:val="ga"/>
              </w:rPr>
              <w:t>43</w:t>
            </w:r>
          </w:p>
        </w:tc>
        <w:tc>
          <w:tcPr>
            <w:tcW w:w="0" w:type="auto"/>
          </w:tcPr>
          <w:p w14:paraId="3B1F782C" w14:textId="569C9890" w:rsidR="00240CF3" w:rsidRPr="00C36EE8" w:rsidRDefault="00240CF3" w:rsidP="00240CF3">
            <w:pPr>
              <w:pStyle w:val="TableCell"/>
              <w:jc w:val="right"/>
              <w:rPr>
                <w:sz w:val="22"/>
                <w:szCs w:val="22"/>
              </w:rPr>
            </w:pPr>
            <w:r>
              <w:rPr>
                <w:rFonts w:cs="Calibri"/>
                <w:color w:val="000000"/>
                <w:sz w:val="22"/>
                <w:szCs w:val="22"/>
                <w:lang w:val="ga"/>
              </w:rPr>
              <w:t>8.7%</w:t>
            </w:r>
          </w:p>
        </w:tc>
        <w:tc>
          <w:tcPr>
            <w:tcW w:w="0" w:type="auto"/>
          </w:tcPr>
          <w:p w14:paraId="4151F225" w14:textId="40E420B7" w:rsidR="00240CF3" w:rsidRPr="00C36EE8" w:rsidRDefault="00240CF3" w:rsidP="00240CF3">
            <w:pPr>
              <w:jc w:val="right"/>
              <w:rPr>
                <w:sz w:val="22"/>
                <w:szCs w:val="22"/>
              </w:rPr>
            </w:pPr>
            <w:r>
              <w:rPr>
                <w:rFonts w:cs="Calibri"/>
                <w:color w:val="000000"/>
                <w:sz w:val="22"/>
                <w:szCs w:val="22"/>
                <w:lang w:val="ga"/>
              </w:rPr>
              <w:t>617</w:t>
            </w:r>
          </w:p>
        </w:tc>
        <w:tc>
          <w:tcPr>
            <w:tcW w:w="0" w:type="auto"/>
          </w:tcPr>
          <w:p w14:paraId="7FC35E30" w14:textId="1883D196" w:rsidR="00240CF3" w:rsidRPr="00C36EE8" w:rsidRDefault="00240CF3" w:rsidP="00240CF3">
            <w:pPr>
              <w:jc w:val="right"/>
              <w:rPr>
                <w:sz w:val="22"/>
                <w:szCs w:val="22"/>
              </w:rPr>
            </w:pPr>
            <w:r>
              <w:rPr>
                <w:rFonts w:cs="Calibri"/>
                <w:color w:val="000000"/>
                <w:sz w:val="22"/>
                <w:szCs w:val="22"/>
                <w:lang w:val="ga"/>
              </w:rPr>
              <w:t>60</w:t>
            </w:r>
          </w:p>
        </w:tc>
        <w:tc>
          <w:tcPr>
            <w:tcW w:w="0" w:type="auto"/>
          </w:tcPr>
          <w:p w14:paraId="05015519" w14:textId="62E66D52" w:rsidR="00240CF3" w:rsidRPr="00C36EE8" w:rsidRDefault="00240CF3" w:rsidP="00240CF3">
            <w:pPr>
              <w:jc w:val="right"/>
              <w:rPr>
                <w:sz w:val="22"/>
                <w:szCs w:val="22"/>
              </w:rPr>
            </w:pPr>
            <w:r>
              <w:rPr>
                <w:rFonts w:cs="Calibri"/>
                <w:color w:val="000000"/>
                <w:sz w:val="22"/>
                <w:szCs w:val="22"/>
                <w:lang w:val="ga"/>
              </w:rPr>
              <w:t>9.7%</w:t>
            </w:r>
          </w:p>
        </w:tc>
      </w:tr>
      <w:tr w:rsidR="00240CF3" w:rsidRPr="00C36EE8" w14:paraId="44073D63" w14:textId="77777777" w:rsidTr="00E57050">
        <w:tc>
          <w:tcPr>
            <w:tcW w:w="2478" w:type="dxa"/>
          </w:tcPr>
          <w:p w14:paraId="339B403B" w14:textId="14E95691" w:rsidR="00240CF3" w:rsidRPr="00C36EE8" w:rsidRDefault="00240CF3" w:rsidP="00240CF3">
            <w:pPr>
              <w:rPr>
                <w:sz w:val="22"/>
                <w:szCs w:val="22"/>
              </w:rPr>
            </w:pPr>
            <w:r>
              <w:rPr>
                <w:rFonts w:cs="Calibri"/>
                <w:color w:val="000000"/>
                <w:sz w:val="22"/>
                <w:szCs w:val="22"/>
                <w:lang w:val="ga"/>
              </w:rPr>
              <w:t>An Roinn Cosanta</w:t>
            </w:r>
          </w:p>
        </w:tc>
        <w:tc>
          <w:tcPr>
            <w:tcW w:w="0" w:type="auto"/>
          </w:tcPr>
          <w:p w14:paraId="65FBD4CC" w14:textId="1B38D3A2" w:rsidR="00240CF3" w:rsidRPr="00C36EE8" w:rsidRDefault="00240CF3" w:rsidP="00240CF3">
            <w:pPr>
              <w:pStyle w:val="TableCell"/>
              <w:jc w:val="right"/>
              <w:rPr>
                <w:sz w:val="22"/>
                <w:szCs w:val="22"/>
              </w:rPr>
            </w:pPr>
            <w:r>
              <w:rPr>
                <w:rFonts w:cs="Calibri"/>
                <w:color w:val="000000"/>
                <w:sz w:val="22"/>
                <w:szCs w:val="22"/>
                <w:lang w:val="ga"/>
              </w:rPr>
              <w:t>386</w:t>
            </w:r>
          </w:p>
        </w:tc>
        <w:tc>
          <w:tcPr>
            <w:tcW w:w="0" w:type="auto"/>
          </w:tcPr>
          <w:p w14:paraId="091F8D40" w14:textId="3484AB23" w:rsidR="00240CF3" w:rsidRPr="00C36EE8" w:rsidRDefault="00240CF3" w:rsidP="00240CF3">
            <w:pPr>
              <w:pStyle w:val="TableCell"/>
              <w:jc w:val="right"/>
              <w:rPr>
                <w:sz w:val="22"/>
                <w:szCs w:val="22"/>
              </w:rPr>
            </w:pPr>
            <w:r>
              <w:rPr>
                <w:rFonts w:cs="Calibri"/>
                <w:color w:val="000000"/>
                <w:sz w:val="22"/>
                <w:szCs w:val="22"/>
                <w:lang w:val="ga"/>
              </w:rPr>
              <w:t>18</w:t>
            </w:r>
          </w:p>
        </w:tc>
        <w:tc>
          <w:tcPr>
            <w:tcW w:w="0" w:type="auto"/>
          </w:tcPr>
          <w:p w14:paraId="1A7A7C63" w14:textId="634698E9" w:rsidR="00240CF3" w:rsidRPr="00C36EE8" w:rsidRDefault="00240CF3" w:rsidP="00240CF3">
            <w:pPr>
              <w:pStyle w:val="TableCell"/>
              <w:jc w:val="right"/>
              <w:rPr>
                <w:sz w:val="22"/>
                <w:szCs w:val="22"/>
              </w:rPr>
            </w:pPr>
            <w:r>
              <w:rPr>
                <w:rFonts w:cs="Calibri"/>
                <w:color w:val="000000"/>
                <w:sz w:val="22"/>
                <w:szCs w:val="22"/>
                <w:lang w:val="ga"/>
              </w:rPr>
              <w:t>4.7%</w:t>
            </w:r>
          </w:p>
        </w:tc>
        <w:tc>
          <w:tcPr>
            <w:tcW w:w="0" w:type="auto"/>
          </w:tcPr>
          <w:p w14:paraId="680294EA" w14:textId="0AC7D7B6" w:rsidR="00240CF3" w:rsidRPr="00C36EE8" w:rsidRDefault="00240CF3" w:rsidP="00240CF3">
            <w:pPr>
              <w:jc w:val="right"/>
              <w:rPr>
                <w:sz w:val="22"/>
                <w:szCs w:val="22"/>
              </w:rPr>
            </w:pPr>
            <w:r>
              <w:rPr>
                <w:rFonts w:cs="Calibri"/>
                <w:color w:val="000000"/>
                <w:sz w:val="22"/>
                <w:szCs w:val="22"/>
                <w:lang w:val="ga"/>
              </w:rPr>
              <w:t>395</w:t>
            </w:r>
          </w:p>
        </w:tc>
        <w:tc>
          <w:tcPr>
            <w:tcW w:w="0" w:type="auto"/>
          </w:tcPr>
          <w:p w14:paraId="4617C2A1" w14:textId="140C2B9B" w:rsidR="00240CF3" w:rsidRPr="00C36EE8" w:rsidRDefault="00240CF3" w:rsidP="00240CF3">
            <w:pPr>
              <w:jc w:val="right"/>
              <w:rPr>
                <w:sz w:val="22"/>
                <w:szCs w:val="22"/>
              </w:rPr>
            </w:pPr>
            <w:r>
              <w:rPr>
                <w:rFonts w:cs="Calibri"/>
                <w:color w:val="000000"/>
                <w:sz w:val="22"/>
                <w:szCs w:val="22"/>
                <w:lang w:val="ga"/>
              </w:rPr>
              <w:t>17</w:t>
            </w:r>
          </w:p>
        </w:tc>
        <w:tc>
          <w:tcPr>
            <w:tcW w:w="0" w:type="auto"/>
          </w:tcPr>
          <w:p w14:paraId="18926A5D" w14:textId="3CFCC28C" w:rsidR="00240CF3" w:rsidRPr="00C36EE8" w:rsidRDefault="00240CF3" w:rsidP="00240CF3">
            <w:pPr>
              <w:jc w:val="right"/>
              <w:rPr>
                <w:sz w:val="22"/>
                <w:szCs w:val="22"/>
              </w:rPr>
            </w:pPr>
            <w:r>
              <w:rPr>
                <w:rFonts w:cs="Calibri"/>
                <w:color w:val="000000"/>
                <w:sz w:val="22"/>
                <w:szCs w:val="22"/>
                <w:lang w:val="ga"/>
              </w:rPr>
              <w:t>4.3%</w:t>
            </w:r>
          </w:p>
        </w:tc>
      </w:tr>
      <w:tr w:rsidR="00240CF3" w:rsidRPr="00C36EE8" w14:paraId="0AB8FCD8" w14:textId="77777777" w:rsidTr="00E57050">
        <w:tc>
          <w:tcPr>
            <w:tcW w:w="2478" w:type="dxa"/>
          </w:tcPr>
          <w:p w14:paraId="393C0B16" w14:textId="56AAC4F4" w:rsidR="00240CF3" w:rsidRPr="00C36EE8" w:rsidRDefault="00240CF3" w:rsidP="00240CF3">
            <w:pPr>
              <w:rPr>
                <w:sz w:val="22"/>
                <w:szCs w:val="22"/>
              </w:rPr>
            </w:pPr>
            <w:r>
              <w:rPr>
                <w:rFonts w:cs="Calibri"/>
                <w:color w:val="000000"/>
                <w:sz w:val="22"/>
                <w:szCs w:val="22"/>
                <w:lang w:val="ga"/>
              </w:rPr>
              <w:t>An Roinn Cosanta - Fostaithe is Sibhialtaigh</w:t>
            </w:r>
          </w:p>
        </w:tc>
        <w:tc>
          <w:tcPr>
            <w:tcW w:w="0" w:type="auto"/>
          </w:tcPr>
          <w:p w14:paraId="4F820B81" w14:textId="1021FA14" w:rsidR="00240CF3" w:rsidRPr="00C36EE8" w:rsidRDefault="00240CF3" w:rsidP="00240CF3">
            <w:pPr>
              <w:pStyle w:val="TableCell"/>
              <w:jc w:val="right"/>
              <w:rPr>
                <w:sz w:val="22"/>
                <w:szCs w:val="22"/>
              </w:rPr>
            </w:pPr>
            <w:r>
              <w:rPr>
                <w:rFonts w:cs="Calibri"/>
                <w:color w:val="000000"/>
                <w:sz w:val="22"/>
                <w:szCs w:val="22"/>
                <w:lang w:val="ga"/>
              </w:rPr>
              <w:t>451</w:t>
            </w:r>
          </w:p>
        </w:tc>
        <w:tc>
          <w:tcPr>
            <w:tcW w:w="0" w:type="auto"/>
          </w:tcPr>
          <w:p w14:paraId="4B003CC3" w14:textId="0A2C42D6" w:rsidR="00240CF3" w:rsidRPr="00C36EE8" w:rsidRDefault="00240CF3" w:rsidP="00240CF3">
            <w:pPr>
              <w:pStyle w:val="TableCell"/>
              <w:jc w:val="right"/>
              <w:rPr>
                <w:sz w:val="22"/>
                <w:szCs w:val="22"/>
              </w:rPr>
            </w:pPr>
            <w:r>
              <w:rPr>
                <w:rFonts w:cs="Calibri"/>
                <w:color w:val="000000"/>
                <w:sz w:val="22"/>
                <w:szCs w:val="22"/>
                <w:lang w:val="ga"/>
              </w:rPr>
              <w:t>28</w:t>
            </w:r>
          </w:p>
        </w:tc>
        <w:tc>
          <w:tcPr>
            <w:tcW w:w="0" w:type="auto"/>
          </w:tcPr>
          <w:p w14:paraId="6327EA11" w14:textId="098353D2" w:rsidR="00240CF3" w:rsidRPr="00C36EE8" w:rsidRDefault="00240CF3" w:rsidP="00240CF3">
            <w:pPr>
              <w:pStyle w:val="TableCell"/>
              <w:jc w:val="right"/>
              <w:rPr>
                <w:sz w:val="22"/>
                <w:szCs w:val="22"/>
              </w:rPr>
            </w:pPr>
            <w:r>
              <w:rPr>
                <w:rFonts w:cs="Calibri"/>
                <w:color w:val="000000"/>
                <w:sz w:val="22"/>
                <w:szCs w:val="22"/>
                <w:lang w:val="ga"/>
              </w:rPr>
              <w:t>6.2%</w:t>
            </w:r>
          </w:p>
        </w:tc>
        <w:tc>
          <w:tcPr>
            <w:tcW w:w="0" w:type="auto"/>
          </w:tcPr>
          <w:p w14:paraId="0D4B773B" w14:textId="2FAB22AE" w:rsidR="00240CF3" w:rsidRPr="00C36EE8" w:rsidRDefault="00240CF3" w:rsidP="00240CF3">
            <w:pPr>
              <w:jc w:val="right"/>
              <w:rPr>
                <w:sz w:val="22"/>
                <w:szCs w:val="22"/>
              </w:rPr>
            </w:pPr>
            <w:r>
              <w:rPr>
                <w:rFonts w:cs="Calibri"/>
                <w:color w:val="000000"/>
                <w:sz w:val="22"/>
                <w:szCs w:val="22"/>
                <w:lang w:val="ga"/>
              </w:rPr>
              <w:t>424</w:t>
            </w:r>
          </w:p>
        </w:tc>
        <w:tc>
          <w:tcPr>
            <w:tcW w:w="0" w:type="auto"/>
          </w:tcPr>
          <w:p w14:paraId="2329B8E0" w14:textId="31F1910E" w:rsidR="00240CF3" w:rsidRPr="00C36EE8" w:rsidRDefault="00240CF3" w:rsidP="00240CF3">
            <w:pPr>
              <w:jc w:val="right"/>
              <w:rPr>
                <w:sz w:val="22"/>
                <w:szCs w:val="22"/>
              </w:rPr>
            </w:pPr>
            <w:r>
              <w:rPr>
                <w:rFonts w:cs="Calibri"/>
                <w:color w:val="000000"/>
                <w:sz w:val="22"/>
                <w:szCs w:val="22"/>
                <w:lang w:val="ga"/>
              </w:rPr>
              <w:t>28</w:t>
            </w:r>
          </w:p>
        </w:tc>
        <w:tc>
          <w:tcPr>
            <w:tcW w:w="0" w:type="auto"/>
          </w:tcPr>
          <w:p w14:paraId="12A623D2" w14:textId="47C053F1" w:rsidR="00240CF3" w:rsidRPr="00C36EE8" w:rsidRDefault="00240CF3" w:rsidP="00240CF3">
            <w:pPr>
              <w:jc w:val="right"/>
              <w:rPr>
                <w:sz w:val="22"/>
                <w:szCs w:val="22"/>
              </w:rPr>
            </w:pPr>
            <w:r>
              <w:rPr>
                <w:rFonts w:cs="Calibri"/>
                <w:color w:val="000000"/>
                <w:sz w:val="22"/>
                <w:szCs w:val="22"/>
                <w:lang w:val="ga"/>
              </w:rPr>
              <w:t>6.6%</w:t>
            </w:r>
          </w:p>
        </w:tc>
      </w:tr>
      <w:tr w:rsidR="00240CF3" w:rsidRPr="00C36EE8" w14:paraId="25FB28D5" w14:textId="77777777" w:rsidTr="00E57050">
        <w:tc>
          <w:tcPr>
            <w:tcW w:w="2478" w:type="dxa"/>
          </w:tcPr>
          <w:p w14:paraId="042150E1" w14:textId="7052A688" w:rsidR="00240CF3" w:rsidRPr="00C36EE8" w:rsidRDefault="00240CF3" w:rsidP="00240CF3">
            <w:pPr>
              <w:rPr>
                <w:sz w:val="22"/>
                <w:szCs w:val="22"/>
              </w:rPr>
            </w:pPr>
            <w:r>
              <w:rPr>
                <w:rFonts w:cs="Calibri"/>
                <w:color w:val="000000"/>
                <w:sz w:val="22"/>
                <w:szCs w:val="22"/>
                <w:lang w:val="ga"/>
              </w:rPr>
              <w:t>An Roinn Oideachais</w:t>
            </w:r>
          </w:p>
        </w:tc>
        <w:tc>
          <w:tcPr>
            <w:tcW w:w="0" w:type="auto"/>
          </w:tcPr>
          <w:p w14:paraId="0D286FAE" w14:textId="619C1F24" w:rsidR="00240CF3" w:rsidRPr="00C36EE8" w:rsidRDefault="00240CF3" w:rsidP="00240CF3">
            <w:pPr>
              <w:pStyle w:val="TableCell"/>
              <w:jc w:val="right"/>
              <w:rPr>
                <w:sz w:val="22"/>
                <w:szCs w:val="22"/>
              </w:rPr>
            </w:pPr>
            <w:r>
              <w:rPr>
                <w:rFonts w:cs="Calibri"/>
                <w:color w:val="000000"/>
                <w:sz w:val="22"/>
                <w:szCs w:val="22"/>
                <w:lang w:val="ga"/>
              </w:rPr>
              <w:t>1,569</w:t>
            </w:r>
          </w:p>
        </w:tc>
        <w:tc>
          <w:tcPr>
            <w:tcW w:w="0" w:type="auto"/>
          </w:tcPr>
          <w:p w14:paraId="63511291" w14:textId="308CA2BD" w:rsidR="00240CF3" w:rsidRPr="00C36EE8" w:rsidRDefault="00240CF3" w:rsidP="00240CF3">
            <w:pPr>
              <w:pStyle w:val="TableCell"/>
              <w:jc w:val="right"/>
              <w:rPr>
                <w:sz w:val="22"/>
                <w:szCs w:val="22"/>
              </w:rPr>
            </w:pPr>
            <w:r>
              <w:rPr>
                <w:rFonts w:cs="Calibri"/>
                <w:color w:val="000000"/>
                <w:sz w:val="22"/>
                <w:szCs w:val="22"/>
                <w:lang w:val="ga"/>
              </w:rPr>
              <w:t>48</w:t>
            </w:r>
          </w:p>
        </w:tc>
        <w:tc>
          <w:tcPr>
            <w:tcW w:w="0" w:type="auto"/>
          </w:tcPr>
          <w:p w14:paraId="384232E5" w14:textId="63B0E48B" w:rsidR="00240CF3" w:rsidRPr="00C36EE8" w:rsidRDefault="00240CF3" w:rsidP="00240CF3">
            <w:pPr>
              <w:pStyle w:val="TableCell"/>
              <w:jc w:val="right"/>
              <w:rPr>
                <w:sz w:val="22"/>
                <w:szCs w:val="22"/>
              </w:rPr>
            </w:pPr>
            <w:r>
              <w:rPr>
                <w:rFonts w:cs="Calibri"/>
                <w:color w:val="000000"/>
                <w:sz w:val="22"/>
                <w:szCs w:val="22"/>
                <w:lang w:val="ga"/>
              </w:rPr>
              <w:t>3.1%</w:t>
            </w:r>
          </w:p>
        </w:tc>
        <w:tc>
          <w:tcPr>
            <w:tcW w:w="0" w:type="auto"/>
          </w:tcPr>
          <w:p w14:paraId="5EA75C72" w14:textId="535E4494" w:rsidR="00240CF3" w:rsidRPr="00C36EE8" w:rsidRDefault="00240CF3" w:rsidP="00240CF3">
            <w:pPr>
              <w:jc w:val="right"/>
              <w:rPr>
                <w:sz w:val="22"/>
                <w:szCs w:val="22"/>
              </w:rPr>
            </w:pPr>
            <w:r>
              <w:rPr>
                <w:rFonts w:cs="Calibri"/>
                <w:color w:val="000000"/>
                <w:sz w:val="22"/>
                <w:szCs w:val="22"/>
                <w:lang w:val="ga"/>
              </w:rPr>
              <w:t>1712</w:t>
            </w:r>
          </w:p>
        </w:tc>
        <w:tc>
          <w:tcPr>
            <w:tcW w:w="0" w:type="auto"/>
          </w:tcPr>
          <w:p w14:paraId="559278C6" w14:textId="1B56A553" w:rsidR="00240CF3" w:rsidRPr="00C36EE8" w:rsidRDefault="00240CF3" w:rsidP="00240CF3">
            <w:pPr>
              <w:jc w:val="right"/>
              <w:rPr>
                <w:sz w:val="22"/>
                <w:szCs w:val="22"/>
              </w:rPr>
            </w:pPr>
            <w:r>
              <w:rPr>
                <w:rFonts w:cs="Calibri"/>
                <w:color w:val="000000"/>
                <w:sz w:val="22"/>
                <w:szCs w:val="22"/>
                <w:lang w:val="ga"/>
              </w:rPr>
              <w:t>80</w:t>
            </w:r>
          </w:p>
        </w:tc>
        <w:tc>
          <w:tcPr>
            <w:tcW w:w="0" w:type="auto"/>
          </w:tcPr>
          <w:p w14:paraId="6F302B54" w14:textId="386131A6" w:rsidR="00240CF3" w:rsidRPr="00C36EE8" w:rsidRDefault="00240CF3" w:rsidP="00240CF3">
            <w:pPr>
              <w:jc w:val="right"/>
              <w:rPr>
                <w:sz w:val="22"/>
                <w:szCs w:val="22"/>
              </w:rPr>
            </w:pPr>
            <w:r>
              <w:rPr>
                <w:rFonts w:cs="Calibri"/>
                <w:color w:val="000000"/>
                <w:sz w:val="22"/>
                <w:szCs w:val="22"/>
                <w:lang w:val="ga"/>
              </w:rPr>
              <w:t>4.7%</w:t>
            </w:r>
          </w:p>
        </w:tc>
      </w:tr>
      <w:tr w:rsidR="00240CF3" w:rsidRPr="00C36EE8" w14:paraId="384F82A5" w14:textId="77777777" w:rsidTr="00E57050">
        <w:tc>
          <w:tcPr>
            <w:tcW w:w="2478" w:type="dxa"/>
          </w:tcPr>
          <w:p w14:paraId="3D180929" w14:textId="2DCBA87E" w:rsidR="00240CF3" w:rsidRPr="00C36EE8" w:rsidRDefault="00240CF3" w:rsidP="00240CF3">
            <w:pPr>
              <w:rPr>
                <w:sz w:val="22"/>
                <w:szCs w:val="22"/>
              </w:rPr>
            </w:pPr>
            <w:r>
              <w:rPr>
                <w:rFonts w:cs="Calibri"/>
                <w:color w:val="000000"/>
                <w:sz w:val="22"/>
                <w:szCs w:val="22"/>
                <w:lang w:val="ga"/>
              </w:rPr>
              <w:t xml:space="preserve">An Roinn Fiontar, Trádála agus Fostaíochta </w:t>
            </w:r>
          </w:p>
        </w:tc>
        <w:tc>
          <w:tcPr>
            <w:tcW w:w="0" w:type="auto"/>
          </w:tcPr>
          <w:p w14:paraId="5E2451D2" w14:textId="73AB2905" w:rsidR="00240CF3" w:rsidRPr="00C36EE8" w:rsidRDefault="00240CF3" w:rsidP="00240CF3">
            <w:pPr>
              <w:pStyle w:val="TableCell"/>
              <w:jc w:val="right"/>
              <w:rPr>
                <w:rFonts w:cs="Arial"/>
                <w:sz w:val="22"/>
                <w:szCs w:val="22"/>
              </w:rPr>
            </w:pPr>
            <w:r>
              <w:rPr>
                <w:rFonts w:cs="Calibri"/>
                <w:color w:val="000000"/>
                <w:sz w:val="22"/>
                <w:szCs w:val="22"/>
                <w:lang w:val="ga"/>
              </w:rPr>
              <w:t>960</w:t>
            </w:r>
          </w:p>
        </w:tc>
        <w:tc>
          <w:tcPr>
            <w:tcW w:w="0" w:type="auto"/>
          </w:tcPr>
          <w:p w14:paraId="3263BCA8" w14:textId="3C68C2D7" w:rsidR="00240CF3" w:rsidRPr="00C36EE8" w:rsidRDefault="00240CF3" w:rsidP="00240CF3">
            <w:pPr>
              <w:pStyle w:val="TableCell"/>
              <w:jc w:val="right"/>
              <w:rPr>
                <w:rFonts w:cs="Arial"/>
                <w:sz w:val="22"/>
                <w:szCs w:val="22"/>
              </w:rPr>
            </w:pPr>
            <w:r>
              <w:rPr>
                <w:rFonts w:cs="Calibri"/>
                <w:color w:val="000000"/>
                <w:sz w:val="22"/>
                <w:szCs w:val="22"/>
                <w:lang w:val="ga"/>
              </w:rPr>
              <w:t>78</w:t>
            </w:r>
          </w:p>
        </w:tc>
        <w:tc>
          <w:tcPr>
            <w:tcW w:w="0" w:type="auto"/>
          </w:tcPr>
          <w:p w14:paraId="37494AEE" w14:textId="2F232DFE" w:rsidR="00240CF3" w:rsidRPr="00C36EE8" w:rsidRDefault="00240CF3" w:rsidP="00240CF3">
            <w:pPr>
              <w:pStyle w:val="TableCell"/>
              <w:jc w:val="right"/>
              <w:rPr>
                <w:rFonts w:cs="Arial"/>
                <w:sz w:val="22"/>
                <w:szCs w:val="22"/>
              </w:rPr>
            </w:pPr>
            <w:r>
              <w:rPr>
                <w:rFonts w:cs="Calibri"/>
                <w:color w:val="000000"/>
                <w:sz w:val="22"/>
                <w:szCs w:val="22"/>
                <w:lang w:val="ga"/>
              </w:rPr>
              <w:t>8.1%</w:t>
            </w:r>
          </w:p>
        </w:tc>
        <w:tc>
          <w:tcPr>
            <w:tcW w:w="0" w:type="auto"/>
          </w:tcPr>
          <w:p w14:paraId="11CC5465" w14:textId="6279B3A9" w:rsidR="00240CF3" w:rsidRPr="00C36EE8" w:rsidRDefault="00240CF3" w:rsidP="00240CF3">
            <w:pPr>
              <w:jc w:val="right"/>
              <w:rPr>
                <w:sz w:val="22"/>
                <w:szCs w:val="22"/>
              </w:rPr>
            </w:pPr>
            <w:r>
              <w:rPr>
                <w:rFonts w:cs="Calibri"/>
                <w:color w:val="000000"/>
                <w:sz w:val="22"/>
                <w:szCs w:val="22"/>
                <w:lang w:val="ga"/>
              </w:rPr>
              <w:t>970</w:t>
            </w:r>
          </w:p>
        </w:tc>
        <w:tc>
          <w:tcPr>
            <w:tcW w:w="0" w:type="auto"/>
          </w:tcPr>
          <w:p w14:paraId="66CE688D" w14:textId="66110F75" w:rsidR="00240CF3" w:rsidRPr="00C36EE8" w:rsidRDefault="00240CF3" w:rsidP="00240CF3">
            <w:pPr>
              <w:jc w:val="right"/>
              <w:rPr>
                <w:sz w:val="22"/>
                <w:szCs w:val="22"/>
              </w:rPr>
            </w:pPr>
            <w:r>
              <w:rPr>
                <w:rFonts w:cs="Calibri"/>
                <w:color w:val="000000"/>
                <w:sz w:val="22"/>
                <w:szCs w:val="22"/>
                <w:lang w:val="ga"/>
              </w:rPr>
              <w:t>68</w:t>
            </w:r>
          </w:p>
        </w:tc>
        <w:tc>
          <w:tcPr>
            <w:tcW w:w="0" w:type="auto"/>
          </w:tcPr>
          <w:p w14:paraId="178DDC77" w14:textId="03BA72C4" w:rsidR="00240CF3" w:rsidRPr="00C36EE8" w:rsidRDefault="00240CF3" w:rsidP="00240CF3">
            <w:pPr>
              <w:jc w:val="right"/>
              <w:rPr>
                <w:sz w:val="22"/>
                <w:szCs w:val="22"/>
              </w:rPr>
            </w:pPr>
            <w:r>
              <w:rPr>
                <w:rFonts w:cs="Calibri"/>
                <w:color w:val="000000"/>
                <w:sz w:val="22"/>
                <w:szCs w:val="22"/>
                <w:lang w:val="ga"/>
              </w:rPr>
              <w:t>7.0%</w:t>
            </w:r>
          </w:p>
        </w:tc>
      </w:tr>
      <w:tr w:rsidR="00240CF3" w:rsidRPr="00C36EE8" w14:paraId="062C590F" w14:textId="77777777" w:rsidTr="00E57050">
        <w:tc>
          <w:tcPr>
            <w:tcW w:w="2478" w:type="dxa"/>
          </w:tcPr>
          <w:p w14:paraId="54E2719D" w14:textId="790BB1A0" w:rsidR="00240CF3" w:rsidRPr="00C36EE8" w:rsidRDefault="00240CF3" w:rsidP="00240CF3">
            <w:pPr>
              <w:rPr>
                <w:sz w:val="22"/>
                <w:szCs w:val="22"/>
              </w:rPr>
            </w:pPr>
            <w:r>
              <w:rPr>
                <w:rFonts w:cs="Calibri"/>
                <w:color w:val="000000"/>
                <w:sz w:val="22"/>
                <w:szCs w:val="22"/>
                <w:lang w:val="ga"/>
              </w:rPr>
              <w:t>An Roinn Airgeadais</w:t>
            </w:r>
          </w:p>
        </w:tc>
        <w:tc>
          <w:tcPr>
            <w:tcW w:w="0" w:type="auto"/>
          </w:tcPr>
          <w:p w14:paraId="0E2D6410" w14:textId="165201AC" w:rsidR="00240CF3" w:rsidRPr="00C36EE8" w:rsidRDefault="00240CF3" w:rsidP="00240CF3">
            <w:pPr>
              <w:pStyle w:val="TableCell"/>
              <w:jc w:val="right"/>
              <w:rPr>
                <w:rFonts w:cs="Arial"/>
                <w:sz w:val="22"/>
                <w:szCs w:val="22"/>
              </w:rPr>
            </w:pPr>
            <w:r>
              <w:rPr>
                <w:rFonts w:cs="Calibri"/>
                <w:color w:val="000000"/>
                <w:sz w:val="22"/>
                <w:szCs w:val="22"/>
                <w:lang w:val="ga"/>
              </w:rPr>
              <w:t>331</w:t>
            </w:r>
          </w:p>
        </w:tc>
        <w:tc>
          <w:tcPr>
            <w:tcW w:w="0" w:type="auto"/>
          </w:tcPr>
          <w:p w14:paraId="7E646CFC" w14:textId="7DFC7024" w:rsidR="00240CF3" w:rsidRPr="00C36EE8" w:rsidRDefault="00240CF3" w:rsidP="00240CF3">
            <w:pPr>
              <w:pStyle w:val="TableCell"/>
              <w:jc w:val="right"/>
              <w:rPr>
                <w:rFonts w:cs="Arial"/>
                <w:sz w:val="22"/>
                <w:szCs w:val="22"/>
              </w:rPr>
            </w:pPr>
            <w:r>
              <w:rPr>
                <w:rFonts w:cs="Calibri"/>
                <w:color w:val="000000"/>
                <w:sz w:val="22"/>
                <w:szCs w:val="22"/>
                <w:lang w:val="ga"/>
              </w:rPr>
              <w:t>16</w:t>
            </w:r>
          </w:p>
        </w:tc>
        <w:tc>
          <w:tcPr>
            <w:tcW w:w="0" w:type="auto"/>
          </w:tcPr>
          <w:p w14:paraId="6DB60212" w14:textId="032A199E" w:rsidR="00240CF3" w:rsidRPr="00C36EE8" w:rsidRDefault="00240CF3" w:rsidP="00240CF3">
            <w:pPr>
              <w:pStyle w:val="TableCell"/>
              <w:jc w:val="right"/>
              <w:rPr>
                <w:rFonts w:cs="Arial"/>
                <w:sz w:val="22"/>
                <w:szCs w:val="22"/>
              </w:rPr>
            </w:pPr>
            <w:r>
              <w:rPr>
                <w:rFonts w:cs="Calibri"/>
                <w:color w:val="000000"/>
                <w:sz w:val="22"/>
                <w:szCs w:val="22"/>
                <w:lang w:val="ga"/>
              </w:rPr>
              <w:t>4.8%</w:t>
            </w:r>
          </w:p>
        </w:tc>
        <w:tc>
          <w:tcPr>
            <w:tcW w:w="0" w:type="auto"/>
          </w:tcPr>
          <w:p w14:paraId="7A7A568F" w14:textId="71EE48B0" w:rsidR="00240CF3" w:rsidRPr="00C36EE8" w:rsidRDefault="00240CF3" w:rsidP="00240CF3">
            <w:pPr>
              <w:jc w:val="right"/>
              <w:rPr>
                <w:sz w:val="22"/>
                <w:szCs w:val="22"/>
              </w:rPr>
            </w:pPr>
            <w:r>
              <w:rPr>
                <w:rFonts w:cs="Calibri"/>
                <w:color w:val="000000"/>
                <w:sz w:val="22"/>
                <w:szCs w:val="22"/>
                <w:lang w:val="ga"/>
              </w:rPr>
              <w:t>313</w:t>
            </w:r>
          </w:p>
        </w:tc>
        <w:tc>
          <w:tcPr>
            <w:tcW w:w="0" w:type="auto"/>
          </w:tcPr>
          <w:p w14:paraId="4257AD0D" w14:textId="378ADF16" w:rsidR="00240CF3" w:rsidRPr="00C36EE8" w:rsidRDefault="00240CF3" w:rsidP="00240CF3">
            <w:pPr>
              <w:jc w:val="right"/>
              <w:rPr>
                <w:sz w:val="22"/>
                <w:szCs w:val="22"/>
              </w:rPr>
            </w:pPr>
            <w:r>
              <w:rPr>
                <w:rFonts w:cs="Calibri"/>
                <w:color w:val="000000"/>
                <w:sz w:val="22"/>
                <w:szCs w:val="22"/>
                <w:lang w:val="ga"/>
              </w:rPr>
              <w:t>18</w:t>
            </w:r>
          </w:p>
        </w:tc>
        <w:tc>
          <w:tcPr>
            <w:tcW w:w="0" w:type="auto"/>
          </w:tcPr>
          <w:p w14:paraId="3896A45D" w14:textId="22D18B4B" w:rsidR="00240CF3" w:rsidRPr="00C36EE8" w:rsidRDefault="00240CF3" w:rsidP="00240CF3">
            <w:pPr>
              <w:jc w:val="right"/>
              <w:rPr>
                <w:sz w:val="22"/>
                <w:szCs w:val="22"/>
              </w:rPr>
            </w:pPr>
            <w:r>
              <w:rPr>
                <w:rFonts w:cs="Calibri"/>
                <w:color w:val="000000"/>
                <w:sz w:val="22"/>
                <w:szCs w:val="22"/>
                <w:lang w:val="ga"/>
              </w:rPr>
              <w:t>5.8%</w:t>
            </w:r>
          </w:p>
        </w:tc>
      </w:tr>
      <w:tr w:rsidR="00240CF3" w:rsidRPr="00C36EE8" w14:paraId="6C680A50" w14:textId="77777777" w:rsidTr="00E57050">
        <w:tc>
          <w:tcPr>
            <w:tcW w:w="2478" w:type="dxa"/>
          </w:tcPr>
          <w:p w14:paraId="2BE4F429" w14:textId="50AA4EBF" w:rsidR="00240CF3" w:rsidRPr="00C36EE8" w:rsidRDefault="00240CF3" w:rsidP="00240CF3">
            <w:pPr>
              <w:rPr>
                <w:sz w:val="22"/>
                <w:szCs w:val="22"/>
              </w:rPr>
            </w:pPr>
            <w:bookmarkStart w:id="69" w:name="_Hlk145921262"/>
            <w:r>
              <w:rPr>
                <w:rFonts w:cs="Calibri"/>
                <w:color w:val="000000"/>
                <w:sz w:val="22"/>
                <w:szCs w:val="22"/>
                <w:lang w:val="ga"/>
              </w:rPr>
              <w:t>An Roinn Gnóthaí Eachtracha</w:t>
            </w:r>
          </w:p>
        </w:tc>
        <w:tc>
          <w:tcPr>
            <w:tcW w:w="0" w:type="auto"/>
          </w:tcPr>
          <w:p w14:paraId="0977921A" w14:textId="1541C2E3" w:rsidR="00240CF3" w:rsidRPr="00C36EE8" w:rsidRDefault="00240CF3" w:rsidP="00240CF3">
            <w:pPr>
              <w:pStyle w:val="TableCell"/>
              <w:jc w:val="right"/>
              <w:rPr>
                <w:rFonts w:cs="Arial"/>
                <w:sz w:val="22"/>
                <w:szCs w:val="22"/>
              </w:rPr>
            </w:pPr>
            <w:r>
              <w:rPr>
                <w:rFonts w:cs="Calibri"/>
                <w:color w:val="000000"/>
                <w:sz w:val="22"/>
                <w:szCs w:val="22"/>
                <w:lang w:val="ga"/>
              </w:rPr>
              <w:t>1,849</w:t>
            </w:r>
          </w:p>
        </w:tc>
        <w:tc>
          <w:tcPr>
            <w:tcW w:w="0" w:type="auto"/>
          </w:tcPr>
          <w:p w14:paraId="4B2CB4AE" w14:textId="68C0999B" w:rsidR="00240CF3" w:rsidRPr="00C36EE8" w:rsidRDefault="00240CF3" w:rsidP="00240CF3">
            <w:pPr>
              <w:pStyle w:val="TableCell"/>
              <w:jc w:val="right"/>
              <w:rPr>
                <w:rFonts w:cs="Arial"/>
                <w:sz w:val="22"/>
                <w:szCs w:val="22"/>
              </w:rPr>
            </w:pPr>
            <w:r>
              <w:rPr>
                <w:rFonts w:cs="Calibri"/>
                <w:color w:val="000000"/>
                <w:sz w:val="22"/>
                <w:szCs w:val="22"/>
                <w:lang w:val="ga"/>
              </w:rPr>
              <w:t>123</w:t>
            </w:r>
          </w:p>
        </w:tc>
        <w:tc>
          <w:tcPr>
            <w:tcW w:w="0" w:type="auto"/>
          </w:tcPr>
          <w:p w14:paraId="0D1C4AC2" w14:textId="6D6E4131" w:rsidR="00240CF3" w:rsidRPr="00C36EE8" w:rsidRDefault="00240CF3" w:rsidP="00240CF3">
            <w:pPr>
              <w:pStyle w:val="TableCell"/>
              <w:jc w:val="right"/>
              <w:rPr>
                <w:rFonts w:cs="Arial"/>
                <w:sz w:val="22"/>
                <w:szCs w:val="22"/>
              </w:rPr>
            </w:pPr>
            <w:r>
              <w:rPr>
                <w:rFonts w:cs="Calibri"/>
                <w:color w:val="000000"/>
                <w:sz w:val="22"/>
                <w:szCs w:val="22"/>
                <w:lang w:val="ga"/>
              </w:rPr>
              <w:t>6.7%</w:t>
            </w:r>
          </w:p>
        </w:tc>
        <w:tc>
          <w:tcPr>
            <w:tcW w:w="0" w:type="auto"/>
          </w:tcPr>
          <w:p w14:paraId="116CBC43" w14:textId="5D677029" w:rsidR="00240CF3" w:rsidRPr="00C36EE8" w:rsidRDefault="00240CF3" w:rsidP="00240CF3">
            <w:pPr>
              <w:jc w:val="right"/>
              <w:rPr>
                <w:sz w:val="22"/>
                <w:szCs w:val="22"/>
              </w:rPr>
            </w:pPr>
            <w:r>
              <w:rPr>
                <w:rFonts w:cs="Calibri"/>
                <w:color w:val="000000"/>
                <w:sz w:val="22"/>
                <w:szCs w:val="22"/>
                <w:lang w:val="ga"/>
              </w:rPr>
              <w:t>2010</w:t>
            </w:r>
          </w:p>
        </w:tc>
        <w:tc>
          <w:tcPr>
            <w:tcW w:w="0" w:type="auto"/>
          </w:tcPr>
          <w:p w14:paraId="137F0A45" w14:textId="659D11D4" w:rsidR="00240CF3" w:rsidRPr="00C36EE8" w:rsidRDefault="00240CF3" w:rsidP="00240CF3">
            <w:pPr>
              <w:jc w:val="right"/>
              <w:rPr>
                <w:sz w:val="22"/>
                <w:szCs w:val="22"/>
              </w:rPr>
            </w:pPr>
            <w:r>
              <w:rPr>
                <w:rFonts w:cs="Calibri"/>
                <w:color w:val="000000"/>
                <w:sz w:val="22"/>
                <w:szCs w:val="22"/>
                <w:lang w:val="ga"/>
              </w:rPr>
              <w:t>159</w:t>
            </w:r>
          </w:p>
        </w:tc>
        <w:tc>
          <w:tcPr>
            <w:tcW w:w="0" w:type="auto"/>
          </w:tcPr>
          <w:p w14:paraId="0BB9A7D3" w14:textId="5BD977AA" w:rsidR="00240CF3" w:rsidRPr="00C36EE8" w:rsidRDefault="00240CF3" w:rsidP="00240CF3">
            <w:pPr>
              <w:jc w:val="right"/>
              <w:rPr>
                <w:sz w:val="22"/>
                <w:szCs w:val="22"/>
              </w:rPr>
            </w:pPr>
            <w:r>
              <w:rPr>
                <w:rFonts w:cs="Calibri"/>
                <w:color w:val="000000"/>
                <w:sz w:val="22"/>
                <w:szCs w:val="22"/>
                <w:lang w:val="ga"/>
              </w:rPr>
              <w:t>7.9%</w:t>
            </w:r>
          </w:p>
        </w:tc>
      </w:tr>
      <w:bookmarkEnd w:id="69"/>
      <w:tr w:rsidR="00240CF3" w:rsidRPr="00611BF3" w14:paraId="005D16EB" w14:textId="77777777" w:rsidTr="00E57050">
        <w:tc>
          <w:tcPr>
            <w:tcW w:w="2478" w:type="dxa"/>
          </w:tcPr>
          <w:p w14:paraId="7BE27615" w14:textId="309BC689" w:rsidR="00240CF3" w:rsidRPr="00C36EE8" w:rsidRDefault="00240CF3" w:rsidP="00240CF3">
            <w:pPr>
              <w:rPr>
                <w:sz w:val="22"/>
                <w:szCs w:val="22"/>
              </w:rPr>
            </w:pPr>
            <w:r>
              <w:rPr>
                <w:rFonts w:cs="Calibri"/>
                <w:color w:val="000000"/>
                <w:sz w:val="22"/>
                <w:szCs w:val="22"/>
                <w:lang w:val="ga"/>
              </w:rPr>
              <w:t>An Roinn Breisoideachais agus Ardoideachais, Taighde, Nuálaíochta agus Eolaíochta</w:t>
            </w:r>
          </w:p>
        </w:tc>
        <w:tc>
          <w:tcPr>
            <w:tcW w:w="0" w:type="auto"/>
          </w:tcPr>
          <w:p w14:paraId="39D8F3B9" w14:textId="459669FA" w:rsidR="00240CF3" w:rsidRPr="00C36EE8" w:rsidRDefault="00240CF3" w:rsidP="00240CF3">
            <w:pPr>
              <w:pStyle w:val="TableCell"/>
              <w:jc w:val="right"/>
              <w:rPr>
                <w:rFonts w:cs="Arial"/>
                <w:sz w:val="22"/>
                <w:szCs w:val="22"/>
              </w:rPr>
            </w:pPr>
            <w:r>
              <w:rPr>
                <w:rFonts w:cs="Calibri"/>
                <w:color w:val="000000"/>
                <w:sz w:val="22"/>
                <w:szCs w:val="22"/>
                <w:lang w:val="ga"/>
              </w:rPr>
              <w:t>200</w:t>
            </w:r>
          </w:p>
        </w:tc>
        <w:tc>
          <w:tcPr>
            <w:tcW w:w="0" w:type="auto"/>
          </w:tcPr>
          <w:p w14:paraId="530ACFDB" w14:textId="7A43C20E" w:rsidR="00240CF3" w:rsidRPr="00C36EE8" w:rsidRDefault="00240CF3" w:rsidP="00240CF3">
            <w:pPr>
              <w:pStyle w:val="TableCell"/>
              <w:jc w:val="right"/>
              <w:rPr>
                <w:rFonts w:cs="Arial"/>
                <w:sz w:val="22"/>
                <w:szCs w:val="22"/>
              </w:rPr>
            </w:pPr>
            <w:r>
              <w:rPr>
                <w:rFonts w:cs="Calibri"/>
                <w:color w:val="000000"/>
                <w:sz w:val="22"/>
                <w:szCs w:val="22"/>
                <w:lang w:val="ga"/>
              </w:rPr>
              <w:t>6</w:t>
            </w:r>
          </w:p>
        </w:tc>
        <w:tc>
          <w:tcPr>
            <w:tcW w:w="0" w:type="auto"/>
          </w:tcPr>
          <w:p w14:paraId="60D4E19E" w14:textId="6EC0462F" w:rsidR="00240CF3" w:rsidRPr="00C36EE8" w:rsidRDefault="00240CF3" w:rsidP="00240CF3">
            <w:pPr>
              <w:pStyle w:val="TableCell"/>
              <w:jc w:val="right"/>
              <w:rPr>
                <w:rFonts w:cs="Arial"/>
                <w:sz w:val="22"/>
                <w:szCs w:val="22"/>
              </w:rPr>
            </w:pPr>
            <w:r>
              <w:rPr>
                <w:rFonts w:cs="Calibri"/>
                <w:color w:val="000000"/>
                <w:sz w:val="22"/>
                <w:szCs w:val="22"/>
                <w:lang w:val="ga"/>
              </w:rPr>
              <w:t>3.0%</w:t>
            </w:r>
          </w:p>
        </w:tc>
        <w:tc>
          <w:tcPr>
            <w:tcW w:w="0" w:type="auto"/>
          </w:tcPr>
          <w:p w14:paraId="61E05B2A" w14:textId="6446C835" w:rsidR="00240CF3" w:rsidRPr="00C36EE8" w:rsidRDefault="00240CF3" w:rsidP="00240CF3">
            <w:pPr>
              <w:jc w:val="right"/>
              <w:rPr>
                <w:sz w:val="22"/>
                <w:szCs w:val="22"/>
              </w:rPr>
            </w:pPr>
            <w:r>
              <w:rPr>
                <w:rFonts w:cs="Calibri"/>
                <w:color w:val="000000"/>
                <w:sz w:val="22"/>
                <w:szCs w:val="22"/>
                <w:lang w:val="ga"/>
              </w:rPr>
              <w:t>242</w:t>
            </w:r>
          </w:p>
        </w:tc>
        <w:tc>
          <w:tcPr>
            <w:tcW w:w="0" w:type="auto"/>
          </w:tcPr>
          <w:p w14:paraId="77164241" w14:textId="55C1CCC1" w:rsidR="00240CF3" w:rsidRPr="00C36EE8" w:rsidRDefault="00240CF3" w:rsidP="00240CF3">
            <w:pPr>
              <w:jc w:val="right"/>
              <w:rPr>
                <w:sz w:val="22"/>
                <w:szCs w:val="22"/>
              </w:rPr>
            </w:pPr>
            <w:r>
              <w:rPr>
                <w:rFonts w:cs="Calibri"/>
                <w:color w:val="000000"/>
                <w:sz w:val="22"/>
                <w:szCs w:val="22"/>
                <w:lang w:val="ga"/>
              </w:rPr>
              <w:t>24</w:t>
            </w:r>
          </w:p>
        </w:tc>
        <w:tc>
          <w:tcPr>
            <w:tcW w:w="0" w:type="auto"/>
          </w:tcPr>
          <w:p w14:paraId="2BF8BC50" w14:textId="40D0902C" w:rsidR="00240CF3" w:rsidRPr="00C36EE8" w:rsidRDefault="00240CF3" w:rsidP="00240CF3">
            <w:pPr>
              <w:jc w:val="right"/>
              <w:rPr>
                <w:sz w:val="22"/>
                <w:szCs w:val="22"/>
              </w:rPr>
            </w:pPr>
            <w:r>
              <w:rPr>
                <w:rFonts w:cs="Calibri"/>
                <w:color w:val="000000"/>
                <w:sz w:val="22"/>
                <w:szCs w:val="22"/>
                <w:lang w:val="ga"/>
              </w:rPr>
              <w:t>9.9%</w:t>
            </w:r>
          </w:p>
        </w:tc>
      </w:tr>
      <w:tr w:rsidR="00240CF3" w:rsidRPr="00C36EE8" w14:paraId="09883B85" w14:textId="77777777" w:rsidTr="00E57050">
        <w:tc>
          <w:tcPr>
            <w:tcW w:w="2478" w:type="dxa"/>
          </w:tcPr>
          <w:p w14:paraId="290CF4AA" w14:textId="631C44BE" w:rsidR="00240CF3" w:rsidRPr="00C36EE8" w:rsidRDefault="00240CF3" w:rsidP="00240CF3">
            <w:pPr>
              <w:rPr>
                <w:sz w:val="22"/>
                <w:szCs w:val="22"/>
              </w:rPr>
            </w:pPr>
            <w:r>
              <w:rPr>
                <w:rFonts w:cs="Calibri"/>
                <w:color w:val="000000"/>
                <w:sz w:val="22"/>
                <w:szCs w:val="22"/>
                <w:lang w:val="ga"/>
              </w:rPr>
              <w:lastRenderedPageBreak/>
              <w:t>An Roinn Sláinte</w:t>
            </w:r>
          </w:p>
        </w:tc>
        <w:tc>
          <w:tcPr>
            <w:tcW w:w="0" w:type="auto"/>
          </w:tcPr>
          <w:p w14:paraId="7112EA8F" w14:textId="082970E5" w:rsidR="00240CF3" w:rsidRPr="00C36EE8" w:rsidRDefault="00240CF3" w:rsidP="00240CF3">
            <w:pPr>
              <w:pStyle w:val="TableCell"/>
              <w:jc w:val="right"/>
              <w:rPr>
                <w:rFonts w:cs="Arial"/>
                <w:sz w:val="22"/>
                <w:szCs w:val="22"/>
              </w:rPr>
            </w:pPr>
            <w:r>
              <w:rPr>
                <w:rFonts w:cs="Calibri"/>
                <w:color w:val="000000"/>
                <w:sz w:val="22"/>
                <w:szCs w:val="22"/>
                <w:lang w:val="ga"/>
              </w:rPr>
              <w:t>691</w:t>
            </w:r>
          </w:p>
        </w:tc>
        <w:tc>
          <w:tcPr>
            <w:tcW w:w="0" w:type="auto"/>
          </w:tcPr>
          <w:p w14:paraId="7DBD50C1" w14:textId="08227DBE" w:rsidR="00240CF3" w:rsidRPr="00C36EE8" w:rsidRDefault="00240CF3" w:rsidP="00240CF3">
            <w:pPr>
              <w:pStyle w:val="TableCell"/>
              <w:jc w:val="right"/>
              <w:rPr>
                <w:rFonts w:cs="Arial"/>
                <w:sz w:val="22"/>
                <w:szCs w:val="22"/>
              </w:rPr>
            </w:pPr>
            <w:r>
              <w:rPr>
                <w:rFonts w:cs="Calibri"/>
                <w:color w:val="000000"/>
                <w:sz w:val="22"/>
                <w:szCs w:val="22"/>
                <w:lang w:val="ga"/>
              </w:rPr>
              <w:t>52</w:t>
            </w:r>
          </w:p>
        </w:tc>
        <w:tc>
          <w:tcPr>
            <w:tcW w:w="0" w:type="auto"/>
          </w:tcPr>
          <w:p w14:paraId="62CFF007" w14:textId="3205A0A8" w:rsidR="00240CF3" w:rsidRPr="00C36EE8" w:rsidRDefault="00240CF3" w:rsidP="00240CF3">
            <w:pPr>
              <w:pStyle w:val="TableCell"/>
              <w:jc w:val="right"/>
              <w:rPr>
                <w:rFonts w:cs="Arial"/>
                <w:sz w:val="22"/>
                <w:szCs w:val="22"/>
              </w:rPr>
            </w:pPr>
            <w:r>
              <w:rPr>
                <w:rFonts w:cs="Calibri"/>
                <w:color w:val="000000"/>
                <w:sz w:val="22"/>
                <w:szCs w:val="22"/>
                <w:lang w:val="ga"/>
              </w:rPr>
              <w:t>7.5%</w:t>
            </w:r>
          </w:p>
        </w:tc>
        <w:tc>
          <w:tcPr>
            <w:tcW w:w="0" w:type="auto"/>
          </w:tcPr>
          <w:p w14:paraId="5E381661" w14:textId="57353DB7" w:rsidR="00240CF3" w:rsidRPr="00C36EE8" w:rsidRDefault="00240CF3" w:rsidP="00240CF3">
            <w:pPr>
              <w:jc w:val="right"/>
              <w:rPr>
                <w:sz w:val="22"/>
                <w:szCs w:val="22"/>
              </w:rPr>
            </w:pPr>
            <w:r>
              <w:rPr>
                <w:rFonts w:cs="Calibri"/>
                <w:color w:val="000000"/>
                <w:sz w:val="22"/>
                <w:szCs w:val="22"/>
                <w:lang w:val="ga"/>
              </w:rPr>
              <w:t>640</w:t>
            </w:r>
          </w:p>
        </w:tc>
        <w:tc>
          <w:tcPr>
            <w:tcW w:w="0" w:type="auto"/>
          </w:tcPr>
          <w:p w14:paraId="28BF7F46" w14:textId="06D8E0AF" w:rsidR="00240CF3" w:rsidRPr="00C36EE8" w:rsidRDefault="00240CF3" w:rsidP="00240CF3">
            <w:pPr>
              <w:jc w:val="right"/>
              <w:rPr>
                <w:sz w:val="22"/>
                <w:szCs w:val="22"/>
              </w:rPr>
            </w:pPr>
            <w:r>
              <w:rPr>
                <w:rFonts w:cs="Calibri"/>
                <w:color w:val="000000"/>
                <w:sz w:val="22"/>
                <w:szCs w:val="22"/>
                <w:lang w:val="ga"/>
              </w:rPr>
              <w:t>40</w:t>
            </w:r>
          </w:p>
        </w:tc>
        <w:tc>
          <w:tcPr>
            <w:tcW w:w="0" w:type="auto"/>
          </w:tcPr>
          <w:p w14:paraId="558279D1" w14:textId="1C37B28A" w:rsidR="00240CF3" w:rsidRPr="00C36EE8" w:rsidRDefault="00240CF3" w:rsidP="00240CF3">
            <w:pPr>
              <w:jc w:val="right"/>
              <w:rPr>
                <w:sz w:val="22"/>
                <w:szCs w:val="22"/>
              </w:rPr>
            </w:pPr>
            <w:r>
              <w:rPr>
                <w:rFonts w:cs="Calibri"/>
                <w:color w:val="000000"/>
                <w:sz w:val="22"/>
                <w:szCs w:val="22"/>
                <w:lang w:val="ga"/>
              </w:rPr>
              <w:t>6.3%</w:t>
            </w:r>
          </w:p>
        </w:tc>
      </w:tr>
      <w:tr w:rsidR="00240CF3" w:rsidRPr="00C36EE8" w14:paraId="437B51FB" w14:textId="77777777" w:rsidTr="00E57050">
        <w:tc>
          <w:tcPr>
            <w:tcW w:w="2478" w:type="dxa"/>
          </w:tcPr>
          <w:p w14:paraId="7130239A" w14:textId="4E861818" w:rsidR="00240CF3" w:rsidRPr="00C36EE8" w:rsidRDefault="00240CF3" w:rsidP="00240CF3">
            <w:pPr>
              <w:rPr>
                <w:sz w:val="22"/>
                <w:szCs w:val="22"/>
              </w:rPr>
            </w:pPr>
            <w:r>
              <w:rPr>
                <w:rFonts w:cs="Calibri"/>
                <w:color w:val="000000"/>
                <w:sz w:val="22"/>
                <w:szCs w:val="22"/>
                <w:lang w:val="ga"/>
              </w:rPr>
              <w:t>An Roinn Tithíochta, Rialtais Áitiúil agus Oidhreachta</w:t>
            </w:r>
          </w:p>
        </w:tc>
        <w:tc>
          <w:tcPr>
            <w:tcW w:w="0" w:type="auto"/>
          </w:tcPr>
          <w:p w14:paraId="5ED2B3EB" w14:textId="67E367E9" w:rsidR="00240CF3" w:rsidRPr="00C36EE8" w:rsidRDefault="00240CF3" w:rsidP="00240CF3">
            <w:pPr>
              <w:pStyle w:val="TableCell"/>
              <w:jc w:val="right"/>
              <w:rPr>
                <w:rFonts w:cs="Arial"/>
                <w:sz w:val="22"/>
                <w:szCs w:val="22"/>
              </w:rPr>
            </w:pPr>
            <w:r>
              <w:rPr>
                <w:rFonts w:cs="Calibri"/>
                <w:color w:val="000000"/>
                <w:sz w:val="22"/>
                <w:szCs w:val="22"/>
                <w:lang w:val="ga"/>
              </w:rPr>
              <w:t>1,409</w:t>
            </w:r>
          </w:p>
        </w:tc>
        <w:tc>
          <w:tcPr>
            <w:tcW w:w="0" w:type="auto"/>
          </w:tcPr>
          <w:p w14:paraId="544D2AA4" w14:textId="61AF6821" w:rsidR="00240CF3" w:rsidRPr="00C36EE8" w:rsidRDefault="00240CF3" w:rsidP="00240CF3">
            <w:pPr>
              <w:pStyle w:val="TableCell"/>
              <w:jc w:val="right"/>
              <w:rPr>
                <w:rFonts w:cs="Arial"/>
                <w:sz w:val="22"/>
                <w:szCs w:val="22"/>
              </w:rPr>
            </w:pPr>
            <w:r>
              <w:rPr>
                <w:rFonts w:cs="Calibri"/>
                <w:color w:val="000000"/>
                <w:sz w:val="22"/>
                <w:szCs w:val="22"/>
                <w:lang w:val="ga"/>
              </w:rPr>
              <w:t>108</w:t>
            </w:r>
          </w:p>
        </w:tc>
        <w:tc>
          <w:tcPr>
            <w:tcW w:w="0" w:type="auto"/>
          </w:tcPr>
          <w:p w14:paraId="2F69C17A" w14:textId="6173A499" w:rsidR="00240CF3" w:rsidRPr="00C36EE8" w:rsidRDefault="00240CF3" w:rsidP="00240CF3">
            <w:pPr>
              <w:pStyle w:val="TableCell"/>
              <w:jc w:val="right"/>
              <w:rPr>
                <w:rFonts w:cs="Arial"/>
                <w:sz w:val="22"/>
                <w:szCs w:val="22"/>
              </w:rPr>
            </w:pPr>
            <w:r>
              <w:rPr>
                <w:rFonts w:cs="Calibri"/>
                <w:color w:val="000000"/>
                <w:sz w:val="22"/>
                <w:szCs w:val="22"/>
                <w:lang w:val="ga"/>
              </w:rPr>
              <w:t>7.7%</w:t>
            </w:r>
          </w:p>
        </w:tc>
        <w:tc>
          <w:tcPr>
            <w:tcW w:w="0" w:type="auto"/>
          </w:tcPr>
          <w:p w14:paraId="07302E61" w14:textId="308D7278" w:rsidR="00240CF3" w:rsidRPr="00C36EE8" w:rsidRDefault="00240CF3" w:rsidP="00240CF3">
            <w:pPr>
              <w:jc w:val="right"/>
              <w:rPr>
                <w:sz w:val="22"/>
                <w:szCs w:val="22"/>
              </w:rPr>
            </w:pPr>
            <w:r>
              <w:rPr>
                <w:rFonts w:cs="Calibri"/>
                <w:color w:val="000000"/>
                <w:sz w:val="22"/>
                <w:szCs w:val="22"/>
                <w:lang w:val="ga"/>
              </w:rPr>
              <w:t>1604</w:t>
            </w:r>
          </w:p>
        </w:tc>
        <w:tc>
          <w:tcPr>
            <w:tcW w:w="0" w:type="auto"/>
          </w:tcPr>
          <w:p w14:paraId="5E6FF689" w14:textId="49304183" w:rsidR="00240CF3" w:rsidRPr="00C36EE8" w:rsidRDefault="00240CF3" w:rsidP="00240CF3">
            <w:pPr>
              <w:jc w:val="right"/>
              <w:rPr>
                <w:sz w:val="22"/>
                <w:szCs w:val="22"/>
              </w:rPr>
            </w:pPr>
            <w:r>
              <w:rPr>
                <w:rFonts w:cs="Calibri"/>
                <w:color w:val="000000"/>
                <w:sz w:val="22"/>
                <w:szCs w:val="22"/>
                <w:lang w:val="ga"/>
              </w:rPr>
              <w:t>101</w:t>
            </w:r>
          </w:p>
        </w:tc>
        <w:tc>
          <w:tcPr>
            <w:tcW w:w="0" w:type="auto"/>
          </w:tcPr>
          <w:p w14:paraId="0851C18F" w14:textId="1FC927B5" w:rsidR="00240CF3" w:rsidRPr="00C36EE8" w:rsidRDefault="00240CF3" w:rsidP="00240CF3">
            <w:pPr>
              <w:jc w:val="right"/>
              <w:rPr>
                <w:sz w:val="22"/>
                <w:szCs w:val="22"/>
              </w:rPr>
            </w:pPr>
            <w:r>
              <w:rPr>
                <w:rFonts w:cs="Calibri"/>
                <w:color w:val="000000"/>
                <w:sz w:val="22"/>
                <w:szCs w:val="22"/>
                <w:lang w:val="ga"/>
              </w:rPr>
              <w:t>6.3%</w:t>
            </w:r>
          </w:p>
        </w:tc>
      </w:tr>
      <w:tr w:rsidR="00240CF3" w:rsidRPr="00C36EE8" w14:paraId="69D38BC9" w14:textId="77777777" w:rsidTr="00E57050">
        <w:tc>
          <w:tcPr>
            <w:tcW w:w="2478" w:type="dxa"/>
          </w:tcPr>
          <w:p w14:paraId="508437D7" w14:textId="09574037" w:rsidR="00240CF3" w:rsidRPr="00C36EE8" w:rsidRDefault="00240CF3" w:rsidP="00240CF3">
            <w:pPr>
              <w:rPr>
                <w:sz w:val="22"/>
                <w:szCs w:val="22"/>
              </w:rPr>
            </w:pPr>
            <w:r>
              <w:rPr>
                <w:rFonts w:cs="Calibri"/>
                <w:color w:val="000000"/>
                <w:sz w:val="22"/>
                <w:szCs w:val="22"/>
                <w:lang w:val="ga"/>
              </w:rPr>
              <w:t>An Roinn Dlí agus Cirt</w:t>
            </w:r>
          </w:p>
        </w:tc>
        <w:tc>
          <w:tcPr>
            <w:tcW w:w="0" w:type="auto"/>
          </w:tcPr>
          <w:p w14:paraId="7B5F05C0" w14:textId="07608615" w:rsidR="00240CF3" w:rsidRPr="00C36EE8" w:rsidRDefault="00240CF3" w:rsidP="00240CF3">
            <w:pPr>
              <w:pStyle w:val="TableCell"/>
              <w:jc w:val="right"/>
              <w:rPr>
                <w:rFonts w:cs="Arial"/>
                <w:sz w:val="22"/>
                <w:szCs w:val="22"/>
              </w:rPr>
            </w:pPr>
            <w:r>
              <w:rPr>
                <w:rFonts w:cs="Calibri"/>
                <w:color w:val="000000"/>
                <w:sz w:val="22"/>
                <w:szCs w:val="22"/>
                <w:lang w:val="ga"/>
              </w:rPr>
              <w:t>2,425</w:t>
            </w:r>
          </w:p>
        </w:tc>
        <w:tc>
          <w:tcPr>
            <w:tcW w:w="0" w:type="auto"/>
          </w:tcPr>
          <w:p w14:paraId="076C7E01" w14:textId="50BD341E" w:rsidR="00240CF3" w:rsidRPr="00C36EE8" w:rsidRDefault="00240CF3" w:rsidP="00240CF3">
            <w:pPr>
              <w:pStyle w:val="TableCell"/>
              <w:jc w:val="right"/>
              <w:rPr>
                <w:rFonts w:cs="Arial"/>
                <w:sz w:val="22"/>
                <w:szCs w:val="22"/>
              </w:rPr>
            </w:pPr>
            <w:r>
              <w:rPr>
                <w:rFonts w:cs="Calibri"/>
                <w:color w:val="000000"/>
                <w:sz w:val="22"/>
                <w:szCs w:val="22"/>
                <w:lang w:val="ga"/>
              </w:rPr>
              <w:t>216</w:t>
            </w:r>
          </w:p>
        </w:tc>
        <w:tc>
          <w:tcPr>
            <w:tcW w:w="0" w:type="auto"/>
          </w:tcPr>
          <w:p w14:paraId="682AAB87" w14:textId="673DC4E0" w:rsidR="00240CF3" w:rsidRPr="00C36EE8" w:rsidRDefault="00240CF3" w:rsidP="00240CF3">
            <w:pPr>
              <w:pStyle w:val="TableCell"/>
              <w:jc w:val="right"/>
              <w:rPr>
                <w:rFonts w:cs="Arial"/>
                <w:sz w:val="22"/>
                <w:szCs w:val="22"/>
              </w:rPr>
            </w:pPr>
            <w:r>
              <w:rPr>
                <w:rFonts w:cs="Calibri"/>
                <w:color w:val="000000"/>
                <w:sz w:val="22"/>
                <w:szCs w:val="22"/>
                <w:lang w:val="ga"/>
              </w:rPr>
              <w:t>8.9%</w:t>
            </w:r>
          </w:p>
        </w:tc>
        <w:tc>
          <w:tcPr>
            <w:tcW w:w="0" w:type="auto"/>
          </w:tcPr>
          <w:p w14:paraId="4803389A" w14:textId="3D6D2908" w:rsidR="00240CF3" w:rsidRPr="00C36EE8" w:rsidRDefault="00240CF3" w:rsidP="00240CF3">
            <w:pPr>
              <w:jc w:val="right"/>
              <w:rPr>
                <w:sz w:val="22"/>
                <w:szCs w:val="22"/>
              </w:rPr>
            </w:pPr>
            <w:r>
              <w:rPr>
                <w:rFonts w:cs="Calibri"/>
                <w:color w:val="000000"/>
                <w:sz w:val="22"/>
                <w:szCs w:val="22"/>
                <w:lang w:val="ga"/>
              </w:rPr>
              <w:t>2522</w:t>
            </w:r>
          </w:p>
        </w:tc>
        <w:tc>
          <w:tcPr>
            <w:tcW w:w="0" w:type="auto"/>
          </w:tcPr>
          <w:p w14:paraId="3E9F4EA0" w14:textId="5B4E114F" w:rsidR="00240CF3" w:rsidRPr="00C36EE8" w:rsidRDefault="00240CF3" w:rsidP="00240CF3">
            <w:pPr>
              <w:jc w:val="right"/>
              <w:rPr>
                <w:sz w:val="22"/>
                <w:szCs w:val="22"/>
              </w:rPr>
            </w:pPr>
            <w:r>
              <w:rPr>
                <w:rFonts w:cs="Calibri"/>
                <w:color w:val="000000"/>
                <w:sz w:val="22"/>
                <w:szCs w:val="22"/>
                <w:lang w:val="ga"/>
              </w:rPr>
              <w:t>220</w:t>
            </w:r>
          </w:p>
        </w:tc>
        <w:tc>
          <w:tcPr>
            <w:tcW w:w="0" w:type="auto"/>
          </w:tcPr>
          <w:p w14:paraId="0098326F" w14:textId="030520DA" w:rsidR="00240CF3" w:rsidRPr="00C36EE8" w:rsidRDefault="00240CF3" w:rsidP="00240CF3">
            <w:pPr>
              <w:jc w:val="right"/>
              <w:rPr>
                <w:sz w:val="22"/>
                <w:szCs w:val="22"/>
              </w:rPr>
            </w:pPr>
            <w:r>
              <w:rPr>
                <w:rFonts w:cs="Calibri"/>
                <w:color w:val="000000"/>
                <w:sz w:val="22"/>
                <w:szCs w:val="22"/>
                <w:lang w:val="ga"/>
              </w:rPr>
              <w:t>8.7%</w:t>
            </w:r>
          </w:p>
        </w:tc>
      </w:tr>
      <w:tr w:rsidR="00240CF3" w:rsidRPr="00C36EE8" w14:paraId="76565765" w14:textId="77777777" w:rsidTr="00E57050">
        <w:tc>
          <w:tcPr>
            <w:tcW w:w="2478" w:type="dxa"/>
          </w:tcPr>
          <w:p w14:paraId="2449010C" w14:textId="73473C3E" w:rsidR="00240CF3" w:rsidRPr="00C36EE8" w:rsidRDefault="00240CF3" w:rsidP="00240CF3">
            <w:pPr>
              <w:rPr>
                <w:sz w:val="22"/>
                <w:szCs w:val="22"/>
              </w:rPr>
            </w:pPr>
            <w:r>
              <w:rPr>
                <w:rFonts w:cs="Calibri"/>
                <w:color w:val="000000"/>
                <w:sz w:val="22"/>
                <w:szCs w:val="22"/>
                <w:lang w:val="ga"/>
              </w:rPr>
              <w:t>An Roinn Caiteachais Phoiblí agus Athchóirithe</w:t>
            </w:r>
          </w:p>
        </w:tc>
        <w:tc>
          <w:tcPr>
            <w:tcW w:w="0" w:type="auto"/>
          </w:tcPr>
          <w:p w14:paraId="1FB9F63D" w14:textId="492B576C" w:rsidR="00240CF3" w:rsidRPr="00C36EE8" w:rsidRDefault="00240CF3" w:rsidP="00240CF3">
            <w:pPr>
              <w:pStyle w:val="TableCell"/>
              <w:jc w:val="right"/>
              <w:rPr>
                <w:rFonts w:cs="Arial"/>
                <w:sz w:val="22"/>
                <w:szCs w:val="22"/>
              </w:rPr>
            </w:pPr>
            <w:r>
              <w:rPr>
                <w:rFonts w:cs="Calibri"/>
                <w:color w:val="000000"/>
                <w:sz w:val="22"/>
                <w:szCs w:val="22"/>
                <w:lang w:val="ga"/>
              </w:rPr>
              <w:t>452</w:t>
            </w:r>
          </w:p>
        </w:tc>
        <w:tc>
          <w:tcPr>
            <w:tcW w:w="0" w:type="auto"/>
          </w:tcPr>
          <w:p w14:paraId="3C284393" w14:textId="1DFDCC8B" w:rsidR="00240CF3" w:rsidRPr="00C36EE8" w:rsidRDefault="00240CF3" w:rsidP="00240CF3">
            <w:pPr>
              <w:pStyle w:val="TableCell"/>
              <w:jc w:val="right"/>
              <w:rPr>
                <w:rFonts w:cs="Arial"/>
                <w:sz w:val="22"/>
                <w:szCs w:val="22"/>
              </w:rPr>
            </w:pPr>
            <w:r>
              <w:rPr>
                <w:rFonts w:cs="Calibri"/>
                <w:color w:val="000000"/>
                <w:sz w:val="22"/>
                <w:szCs w:val="22"/>
                <w:lang w:val="ga"/>
              </w:rPr>
              <w:t>17</w:t>
            </w:r>
          </w:p>
        </w:tc>
        <w:tc>
          <w:tcPr>
            <w:tcW w:w="0" w:type="auto"/>
          </w:tcPr>
          <w:p w14:paraId="6FB527D4" w14:textId="13AF7213" w:rsidR="00240CF3" w:rsidRPr="00C36EE8" w:rsidRDefault="00240CF3" w:rsidP="00240CF3">
            <w:pPr>
              <w:pStyle w:val="TableCell"/>
              <w:jc w:val="right"/>
              <w:rPr>
                <w:rFonts w:cs="Arial"/>
                <w:sz w:val="22"/>
                <w:szCs w:val="22"/>
              </w:rPr>
            </w:pPr>
            <w:r>
              <w:rPr>
                <w:rFonts w:cs="Calibri"/>
                <w:color w:val="000000"/>
                <w:sz w:val="22"/>
                <w:szCs w:val="22"/>
                <w:lang w:val="ga"/>
              </w:rPr>
              <w:t>3.8%</w:t>
            </w:r>
          </w:p>
        </w:tc>
        <w:tc>
          <w:tcPr>
            <w:tcW w:w="0" w:type="auto"/>
          </w:tcPr>
          <w:p w14:paraId="13C5F085" w14:textId="1FCBDDAB" w:rsidR="00240CF3" w:rsidRPr="00C36EE8" w:rsidRDefault="00240CF3" w:rsidP="00240CF3">
            <w:pPr>
              <w:jc w:val="right"/>
              <w:rPr>
                <w:sz w:val="22"/>
                <w:szCs w:val="22"/>
              </w:rPr>
            </w:pPr>
            <w:r>
              <w:rPr>
                <w:rFonts w:cs="Calibri"/>
                <w:color w:val="000000"/>
                <w:sz w:val="22"/>
                <w:szCs w:val="22"/>
                <w:lang w:val="ga"/>
              </w:rPr>
              <w:t>454</w:t>
            </w:r>
          </w:p>
        </w:tc>
        <w:tc>
          <w:tcPr>
            <w:tcW w:w="0" w:type="auto"/>
          </w:tcPr>
          <w:p w14:paraId="2BA8E593" w14:textId="5CFAF1EB" w:rsidR="00240CF3" w:rsidRPr="00C36EE8" w:rsidRDefault="00240CF3" w:rsidP="00240CF3">
            <w:pPr>
              <w:jc w:val="right"/>
              <w:rPr>
                <w:sz w:val="22"/>
                <w:szCs w:val="22"/>
              </w:rPr>
            </w:pPr>
            <w:r>
              <w:rPr>
                <w:rFonts w:cs="Calibri"/>
                <w:color w:val="000000"/>
                <w:sz w:val="22"/>
                <w:szCs w:val="22"/>
                <w:lang w:val="ga"/>
              </w:rPr>
              <w:t>21</w:t>
            </w:r>
          </w:p>
        </w:tc>
        <w:tc>
          <w:tcPr>
            <w:tcW w:w="0" w:type="auto"/>
          </w:tcPr>
          <w:p w14:paraId="097C0848" w14:textId="76C9F35B" w:rsidR="00240CF3" w:rsidRPr="00C36EE8" w:rsidRDefault="00240CF3" w:rsidP="00240CF3">
            <w:pPr>
              <w:jc w:val="right"/>
              <w:rPr>
                <w:sz w:val="22"/>
                <w:szCs w:val="22"/>
              </w:rPr>
            </w:pPr>
            <w:r>
              <w:rPr>
                <w:rFonts w:cs="Calibri"/>
                <w:color w:val="000000"/>
                <w:sz w:val="22"/>
                <w:szCs w:val="22"/>
                <w:lang w:val="ga"/>
              </w:rPr>
              <w:t>4.6%</w:t>
            </w:r>
          </w:p>
        </w:tc>
      </w:tr>
      <w:tr w:rsidR="00240CF3" w:rsidRPr="00C36EE8" w14:paraId="18B3D1FA" w14:textId="77777777" w:rsidTr="00E57050">
        <w:tc>
          <w:tcPr>
            <w:tcW w:w="2478" w:type="dxa"/>
          </w:tcPr>
          <w:p w14:paraId="0B2D2317" w14:textId="0EDF148E" w:rsidR="00240CF3" w:rsidRPr="00C36EE8" w:rsidRDefault="00240CF3" w:rsidP="00240CF3">
            <w:pPr>
              <w:rPr>
                <w:sz w:val="22"/>
                <w:szCs w:val="22"/>
              </w:rPr>
            </w:pPr>
            <w:r>
              <w:rPr>
                <w:rFonts w:cs="Calibri"/>
                <w:color w:val="000000"/>
                <w:sz w:val="22"/>
                <w:szCs w:val="22"/>
                <w:lang w:val="ga"/>
              </w:rPr>
              <w:t>An Roinn Forbartha Tuaithe agus Pobail</w:t>
            </w:r>
          </w:p>
        </w:tc>
        <w:tc>
          <w:tcPr>
            <w:tcW w:w="0" w:type="auto"/>
          </w:tcPr>
          <w:p w14:paraId="5DA7F09C" w14:textId="4B9894B3" w:rsidR="00240CF3" w:rsidRPr="00C36EE8" w:rsidRDefault="00240CF3" w:rsidP="00240CF3">
            <w:pPr>
              <w:pStyle w:val="TableCell"/>
              <w:jc w:val="right"/>
              <w:rPr>
                <w:rFonts w:cs="Arial"/>
                <w:sz w:val="22"/>
                <w:szCs w:val="22"/>
              </w:rPr>
            </w:pPr>
            <w:r>
              <w:rPr>
                <w:rFonts w:cs="Calibri"/>
                <w:color w:val="000000"/>
                <w:sz w:val="22"/>
                <w:szCs w:val="22"/>
                <w:lang w:val="ga"/>
              </w:rPr>
              <w:t>163</w:t>
            </w:r>
          </w:p>
        </w:tc>
        <w:tc>
          <w:tcPr>
            <w:tcW w:w="0" w:type="auto"/>
          </w:tcPr>
          <w:p w14:paraId="0EC686E9" w14:textId="47AB8C45" w:rsidR="00240CF3" w:rsidRPr="00C36EE8" w:rsidRDefault="00240CF3" w:rsidP="00240CF3">
            <w:pPr>
              <w:pStyle w:val="TableCell"/>
              <w:jc w:val="right"/>
              <w:rPr>
                <w:rFonts w:cs="Arial"/>
                <w:sz w:val="22"/>
                <w:szCs w:val="22"/>
              </w:rPr>
            </w:pPr>
            <w:r>
              <w:rPr>
                <w:rFonts w:cs="Calibri"/>
                <w:color w:val="000000"/>
                <w:sz w:val="22"/>
                <w:szCs w:val="22"/>
                <w:lang w:val="ga"/>
              </w:rPr>
              <w:t>13</w:t>
            </w:r>
          </w:p>
        </w:tc>
        <w:tc>
          <w:tcPr>
            <w:tcW w:w="0" w:type="auto"/>
          </w:tcPr>
          <w:p w14:paraId="7132643F" w14:textId="4361769C" w:rsidR="00240CF3" w:rsidRPr="00C36EE8" w:rsidRDefault="00240CF3" w:rsidP="00240CF3">
            <w:pPr>
              <w:pStyle w:val="TableCell"/>
              <w:jc w:val="right"/>
              <w:rPr>
                <w:rFonts w:cs="Arial"/>
                <w:sz w:val="22"/>
                <w:szCs w:val="22"/>
              </w:rPr>
            </w:pPr>
            <w:r>
              <w:rPr>
                <w:rFonts w:cs="Calibri"/>
                <w:color w:val="000000"/>
                <w:sz w:val="22"/>
                <w:szCs w:val="22"/>
                <w:lang w:val="ga"/>
              </w:rPr>
              <w:t>8.0%</w:t>
            </w:r>
          </w:p>
        </w:tc>
        <w:tc>
          <w:tcPr>
            <w:tcW w:w="0" w:type="auto"/>
          </w:tcPr>
          <w:p w14:paraId="6F18D0CF" w14:textId="77777777" w:rsidR="00240CF3" w:rsidRDefault="00240CF3" w:rsidP="00240CF3">
            <w:pPr>
              <w:spacing w:after="0"/>
              <w:jc w:val="right"/>
              <w:rPr>
                <w:rFonts w:cs="Calibri"/>
                <w:color w:val="000000"/>
                <w:sz w:val="22"/>
                <w:szCs w:val="22"/>
              </w:rPr>
            </w:pPr>
            <w:r>
              <w:rPr>
                <w:rFonts w:cs="Calibri"/>
                <w:color w:val="000000"/>
                <w:sz w:val="22"/>
                <w:szCs w:val="22"/>
                <w:lang w:val="ga"/>
              </w:rPr>
              <w:t>170</w:t>
            </w:r>
          </w:p>
          <w:p w14:paraId="353CA94B" w14:textId="654DB72C" w:rsidR="00240CF3" w:rsidRPr="00C36EE8" w:rsidRDefault="00240CF3" w:rsidP="00240CF3">
            <w:pPr>
              <w:jc w:val="right"/>
              <w:rPr>
                <w:sz w:val="22"/>
                <w:szCs w:val="22"/>
              </w:rPr>
            </w:pPr>
          </w:p>
        </w:tc>
        <w:tc>
          <w:tcPr>
            <w:tcW w:w="0" w:type="auto"/>
          </w:tcPr>
          <w:p w14:paraId="3DB75F13" w14:textId="77777777" w:rsidR="00240CF3" w:rsidRDefault="00240CF3" w:rsidP="00240CF3">
            <w:pPr>
              <w:spacing w:after="0"/>
              <w:jc w:val="right"/>
              <w:rPr>
                <w:rFonts w:cs="Calibri"/>
                <w:color w:val="000000"/>
                <w:sz w:val="22"/>
                <w:szCs w:val="22"/>
              </w:rPr>
            </w:pPr>
            <w:r>
              <w:rPr>
                <w:rFonts w:cs="Calibri"/>
                <w:color w:val="000000"/>
                <w:sz w:val="22"/>
                <w:szCs w:val="22"/>
                <w:lang w:val="ga"/>
              </w:rPr>
              <w:t>17</w:t>
            </w:r>
          </w:p>
          <w:p w14:paraId="73376501" w14:textId="01C0DE87" w:rsidR="00240CF3" w:rsidRPr="00C36EE8" w:rsidRDefault="00240CF3" w:rsidP="00240CF3">
            <w:pPr>
              <w:jc w:val="right"/>
              <w:rPr>
                <w:sz w:val="22"/>
                <w:szCs w:val="22"/>
              </w:rPr>
            </w:pPr>
          </w:p>
        </w:tc>
        <w:tc>
          <w:tcPr>
            <w:tcW w:w="0" w:type="auto"/>
          </w:tcPr>
          <w:p w14:paraId="5CC55E7F" w14:textId="77777777" w:rsidR="00240CF3" w:rsidRDefault="00240CF3" w:rsidP="00240CF3">
            <w:pPr>
              <w:spacing w:after="0"/>
              <w:jc w:val="right"/>
              <w:rPr>
                <w:rFonts w:cs="Calibri"/>
                <w:color w:val="000000"/>
                <w:sz w:val="22"/>
                <w:szCs w:val="22"/>
              </w:rPr>
            </w:pPr>
            <w:r>
              <w:rPr>
                <w:rFonts w:cs="Calibri"/>
                <w:color w:val="000000"/>
                <w:sz w:val="22"/>
                <w:szCs w:val="22"/>
                <w:lang w:val="ga"/>
              </w:rPr>
              <w:t>10.0%</w:t>
            </w:r>
          </w:p>
          <w:p w14:paraId="2F2AD17F" w14:textId="026C7846" w:rsidR="00240CF3" w:rsidRPr="00C36EE8" w:rsidRDefault="00240CF3" w:rsidP="00240CF3">
            <w:pPr>
              <w:jc w:val="right"/>
              <w:rPr>
                <w:sz w:val="22"/>
                <w:szCs w:val="22"/>
              </w:rPr>
            </w:pPr>
          </w:p>
        </w:tc>
      </w:tr>
      <w:tr w:rsidR="00240CF3" w:rsidRPr="00C36EE8" w14:paraId="11D687F1" w14:textId="77777777" w:rsidTr="00E57050">
        <w:tc>
          <w:tcPr>
            <w:tcW w:w="2478" w:type="dxa"/>
          </w:tcPr>
          <w:p w14:paraId="371AA368" w14:textId="1F245325" w:rsidR="00240CF3" w:rsidRPr="00C36EE8" w:rsidRDefault="00240CF3" w:rsidP="00240CF3">
            <w:pPr>
              <w:rPr>
                <w:sz w:val="22"/>
                <w:szCs w:val="22"/>
              </w:rPr>
            </w:pPr>
            <w:r>
              <w:rPr>
                <w:rFonts w:cs="Calibri"/>
                <w:color w:val="000000"/>
                <w:sz w:val="22"/>
                <w:szCs w:val="22"/>
                <w:lang w:val="ga"/>
              </w:rPr>
              <w:t>An Roinn Coimirce Sóisialaí</w:t>
            </w:r>
          </w:p>
        </w:tc>
        <w:tc>
          <w:tcPr>
            <w:tcW w:w="0" w:type="auto"/>
          </w:tcPr>
          <w:p w14:paraId="13FBABA5" w14:textId="3CB474D5" w:rsidR="00240CF3" w:rsidRPr="00C36EE8" w:rsidRDefault="00240CF3" w:rsidP="00240CF3">
            <w:pPr>
              <w:pStyle w:val="TableCell"/>
              <w:jc w:val="right"/>
              <w:rPr>
                <w:rFonts w:cs="Arial"/>
                <w:sz w:val="22"/>
                <w:szCs w:val="22"/>
              </w:rPr>
            </w:pPr>
            <w:r>
              <w:rPr>
                <w:rFonts w:cs="Calibri"/>
                <w:color w:val="000000"/>
                <w:sz w:val="22"/>
                <w:szCs w:val="22"/>
                <w:lang w:val="ga"/>
              </w:rPr>
              <w:t>6,719</w:t>
            </w:r>
          </w:p>
        </w:tc>
        <w:tc>
          <w:tcPr>
            <w:tcW w:w="0" w:type="auto"/>
          </w:tcPr>
          <w:p w14:paraId="38F48AC5" w14:textId="0E8DDF28" w:rsidR="00240CF3" w:rsidRPr="00C36EE8" w:rsidRDefault="00240CF3" w:rsidP="00240CF3">
            <w:pPr>
              <w:pStyle w:val="TableCell"/>
              <w:jc w:val="right"/>
              <w:rPr>
                <w:rFonts w:cs="Arial"/>
                <w:sz w:val="22"/>
                <w:szCs w:val="22"/>
              </w:rPr>
            </w:pPr>
            <w:r>
              <w:rPr>
                <w:rFonts w:cs="Calibri"/>
                <w:color w:val="000000"/>
                <w:sz w:val="22"/>
                <w:szCs w:val="22"/>
                <w:lang w:val="ga"/>
              </w:rPr>
              <w:t>440</w:t>
            </w:r>
          </w:p>
        </w:tc>
        <w:tc>
          <w:tcPr>
            <w:tcW w:w="0" w:type="auto"/>
          </w:tcPr>
          <w:p w14:paraId="187C7964" w14:textId="45C342F2" w:rsidR="00240CF3" w:rsidRPr="00C36EE8" w:rsidRDefault="00240CF3" w:rsidP="00240CF3">
            <w:pPr>
              <w:pStyle w:val="TableCell"/>
              <w:jc w:val="right"/>
              <w:rPr>
                <w:rFonts w:cs="Arial"/>
                <w:sz w:val="22"/>
                <w:szCs w:val="22"/>
              </w:rPr>
            </w:pPr>
            <w:r>
              <w:rPr>
                <w:rFonts w:cs="Calibri"/>
                <w:color w:val="000000"/>
                <w:sz w:val="22"/>
                <w:szCs w:val="22"/>
                <w:lang w:val="ga"/>
              </w:rPr>
              <w:t>6.5%</w:t>
            </w:r>
          </w:p>
        </w:tc>
        <w:tc>
          <w:tcPr>
            <w:tcW w:w="0" w:type="auto"/>
          </w:tcPr>
          <w:p w14:paraId="7A49B24A" w14:textId="3387A711" w:rsidR="00240CF3" w:rsidRPr="00C36EE8" w:rsidRDefault="00240CF3" w:rsidP="00240CF3">
            <w:pPr>
              <w:jc w:val="right"/>
              <w:rPr>
                <w:sz w:val="22"/>
                <w:szCs w:val="22"/>
              </w:rPr>
            </w:pPr>
            <w:r>
              <w:rPr>
                <w:rFonts w:cs="Calibri"/>
                <w:color w:val="000000"/>
                <w:sz w:val="22"/>
                <w:szCs w:val="22"/>
                <w:lang w:val="ga"/>
              </w:rPr>
              <w:t>6860</w:t>
            </w:r>
          </w:p>
        </w:tc>
        <w:tc>
          <w:tcPr>
            <w:tcW w:w="0" w:type="auto"/>
          </w:tcPr>
          <w:p w14:paraId="7849AD3A" w14:textId="1D4AA896" w:rsidR="00240CF3" w:rsidRPr="00C36EE8" w:rsidRDefault="00240CF3" w:rsidP="00240CF3">
            <w:pPr>
              <w:jc w:val="right"/>
              <w:rPr>
                <w:sz w:val="22"/>
                <w:szCs w:val="22"/>
              </w:rPr>
            </w:pPr>
            <w:r>
              <w:rPr>
                <w:rFonts w:cs="Calibri"/>
                <w:color w:val="000000"/>
                <w:sz w:val="22"/>
                <w:szCs w:val="22"/>
                <w:lang w:val="ga"/>
              </w:rPr>
              <w:t>367</w:t>
            </w:r>
          </w:p>
        </w:tc>
        <w:tc>
          <w:tcPr>
            <w:tcW w:w="0" w:type="auto"/>
          </w:tcPr>
          <w:p w14:paraId="3D877D16" w14:textId="490E2797" w:rsidR="00240CF3" w:rsidRPr="00C36EE8" w:rsidRDefault="00240CF3" w:rsidP="00240CF3">
            <w:pPr>
              <w:jc w:val="right"/>
              <w:rPr>
                <w:sz w:val="22"/>
                <w:szCs w:val="22"/>
              </w:rPr>
            </w:pPr>
            <w:r>
              <w:rPr>
                <w:rFonts w:cs="Calibri"/>
                <w:color w:val="000000"/>
                <w:sz w:val="22"/>
                <w:szCs w:val="22"/>
                <w:lang w:val="ga"/>
              </w:rPr>
              <w:t>5.3%</w:t>
            </w:r>
          </w:p>
        </w:tc>
      </w:tr>
      <w:tr w:rsidR="00240CF3" w:rsidRPr="00C36EE8" w14:paraId="5641A843" w14:textId="77777777" w:rsidTr="00E57050">
        <w:tc>
          <w:tcPr>
            <w:tcW w:w="2478" w:type="dxa"/>
          </w:tcPr>
          <w:p w14:paraId="70ED93FF" w14:textId="4F9677D3" w:rsidR="00240CF3" w:rsidRPr="00C36EE8" w:rsidRDefault="00240CF3" w:rsidP="00240CF3">
            <w:pPr>
              <w:rPr>
                <w:sz w:val="22"/>
                <w:szCs w:val="22"/>
              </w:rPr>
            </w:pPr>
            <w:r>
              <w:rPr>
                <w:rFonts w:cs="Calibri"/>
                <w:color w:val="000000"/>
                <w:sz w:val="22"/>
                <w:szCs w:val="22"/>
                <w:lang w:val="ga"/>
              </w:rPr>
              <w:t>An Roinn Comhshaoil, Aeráide agus Cumarsáide</w:t>
            </w:r>
          </w:p>
        </w:tc>
        <w:tc>
          <w:tcPr>
            <w:tcW w:w="0" w:type="auto"/>
          </w:tcPr>
          <w:p w14:paraId="65537EE4" w14:textId="746900FC" w:rsidR="00240CF3" w:rsidRPr="00C36EE8" w:rsidRDefault="00240CF3" w:rsidP="00240CF3">
            <w:pPr>
              <w:pStyle w:val="TableCell"/>
              <w:jc w:val="right"/>
              <w:rPr>
                <w:rFonts w:cs="Arial"/>
                <w:sz w:val="22"/>
                <w:szCs w:val="22"/>
              </w:rPr>
            </w:pPr>
            <w:r>
              <w:rPr>
                <w:rFonts w:cs="Calibri"/>
                <w:color w:val="000000"/>
                <w:sz w:val="22"/>
                <w:szCs w:val="22"/>
                <w:lang w:val="ga"/>
              </w:rPr>
              <w:t>447</w:t>
            </w:r>
          </w:p>
        </w:tc>
        <w:tc>
          <w:tcPr>
            <w:tcW w:w="0" w:type="auto"/>
          </w:tcPr>
          <w:p w14:paraId="4F37E857" w14:textId="724ADF7E" w:rsidR="00240CF3" w:rsidRPr="00C36EE8" w:rsidRDefault="00240CF3" w:rsidP="00240CF3">
            <w:pPr>
              <w:pStyle w:val="TableCell"/>
              <w:jc w:val="right"/>
              <w:rPr>
                <w:rFonts w:cs="Arial"/>
                <w:sz w:val="22"/>
                <w:szCs w:val="22"/>
              </w:rPr>
            </w:pPr>
            <w:r>
              <w:rPr>
                <w:rFonts w:cs="Calibri"/>
                <w:color w:val="000000"/>
                <w:sz w:val="22"/>
                <w:szCs w:val="22"/>
                <w:lang w:val="ga"/>
              </w:rPr>
              <w:t>17</w:t>
            </w:r>
          </w:p>
        </w:tc>
        <w:tc>
          <w:tcPr>
            <w:tcW w:w="0" w:type="auto"/>
          </w:tcPr>
          <w:p w14:paraId="2ED92095" w14:textId="13EFAFB6" w:rsidR="00240CF3" w:rsidRPr="00C36EE8" w:rsidRDefault="00240CF3" w:rsidP="00240CF3">
            <w:pPr>
              <w:pStyle w:val="TableCell"/>
              <w:jc w:val="right"/>
              <w:rPr>
                <w:rFonts w:cs="Arial"/>
                <w:sz w:val="22"/>
                <w:szCs w:val="22"/>
              </w:rPr>
            </w:pPr>
            <w:r>
              <w:rPr>
                <w:rFonts w:cs="Calibri"/>
                <w:color w:val="000000"/>
                <w:sz w:val="22"/>
                <w:szCs w:val="22"/>
                <w:lang w:val="ga"/>
              </w:rPr>
              <w:t>3.8%</w:t>
            </w:r>
          </w:p>
        </w:tc>
        <w:tc>
          <w:tcPr>
            <w:tcW w:w="0" w:type="auto"/>
          </w:tcPr>
          <w:p w14:paraId="5AC3B8D6" w14:textId="76210B9E" w:rsidR="00240CF3" w:rsidRPr="00C36EE8" w:rsidRDefault="00240CF3" w:rsidP="00240CF3">
            <w:pPr>
              <w:jc w:val="right"/>
              <w:rPr>
                <w:sz w:val="22"/>
                <w:szCs w:val="22"/>
              </w:rPr>
            </w:pPr>
            <w:r>
              <w:rPr>
                <w:rFonts w:cs="Calibri"/>
                <w:color w:val="000000"/>
                <w:sz w:val="22"/>
                <w:szCs w:val="22"/>
                <w:lang w:val="ga"/>
              </w:rPr>
              <w:t>546</w:t>
            </w:r>
          </w:p>
        </w:tc>
        <w:tc>
          <w:tcPr>
            <w:tcW w:w="0" w:type="auto"/>
          </w:tcPr>
          <w:p w14:paraId="2196D93D" w14:textId="54325669" w:rsidR="00240CF3" w:rsidRPr="00C36EE8" w:rsidRDefault="00240CF3" w:rsidP="00240CF3">
            <w:pPr>
              <w:jc w:val="right"/>
              <w:rPr>
                <w:sz w:val="22"/>
                <w:szCs w:val="22"/>
              </w:rPr>
            </w:pPr>
            <w:r>
              <w:rPr>
                <w:rFonts w:cs="Calibri"/>
                <w:color w:val="000000"/>
                <w:sz w:val="22"/>
                <w:szCs w:val="22"/>
                <w:lang w:val="ga"/>
              </w:rPr>
              <w:t>31</w:t>
            </w:r>
          </w:p>
        </w:tc>
        <w:tc>
          <w:tcPr>
            <w:tcW w:w="0" w:type="auto"/>
          </w:tcPr>
          <w:p w14:paraId="3318B76D" w14:textId="3F11A552" w:rsidR="00240CF3" w:rsidRPr="00C36EE8" w:rsidRDefault="00240CF3" w:rsidP="00240CF3">
            <w:pPr>
              <w:jc w:val="right"/>
              <w:rPr>
                <w:sz w:val="22"/>
                <w:szCs w:val="22"/>
              </w:rPr>
            </w:pPr>
            <w:r>
              <w:rPr>
                <w:rFonts w:cs="Calibri"/>
                <w:color w:val="000000"/>
                <w:sz w:val="22"/>
                <w:szCs w:val="22"/>
                <w:lang w:val="ga"/>
              </w:rPr>
              <w:t>5.7%</w:t>
            </w:r>
          </w:p>
        </w:tc>
      </w:tr>
      <w:tr w:rsidR="00240CF3" w:rsidRPr="00C36EE8" w14:paraId="5D4674EB" w14:textId="77777777" w:rsidTr="00E57050">
        <w:tc>
          <w:tcPr>
            <w:tcW w:w="2478" w:type="dxa"/>
          </w:tcPr>
          <w:p w14:paraId="525CA19E" w14:textId="5A7FBB22" w:rsidR="00240CF3" w:rsidRPr="00C36EE8" w:rsidRDefault="00240CF3" w:rsidP="00240CF3">
            <w:pPr>
              <w:rPr>
                <w:sz w:val="22"/>
                <w:szCs w:val="22"/>
              </w:rPr>
            </w:pPr>
            <w:r>
              <w:rPr>
                <w:rFonts w:cs="Calibri"/>
                <w:color w:val="000000"/>
                <w:sz w:val="22"/>
                <w:szCs w:val="22"/>
                <w:lang w:val="ga"/>
              </w:rPr>
              <w:t>Roinn an Taoisigh</w:t>
            </w:r>
          </w:p>
        </w:tc>
        <w:tc>
          <w:tcPr>
            <w:tcW w:w="0" w:type="auto"/>
          </w:tcPr>
          <w:p w14:paraId="46B0FDCB" w14:textId="1467105E" w:rsidR="00240CF3" w:rsidRPr="00C36EE8" w:rsidRDefault="00240CF3" w:rsidP="00240CF3">
            <w:pPr>
              <w:pStyle w:val="TableCell"/>
              <w:jc w:val="right"/>
              <w:rPr>
                <w:rFonts w:cs="Arial"/>
                <w:sz w:val="22"/>
                <w:szCs w:val="22"/>
              </w:rPr>
            </w:pPr>
            <w:r>
              <w:rPr>
                <w:rFonts w:cs="Calibri"/>
                <w:color w:val="000000"/>
                <w:sz w:val="22"/>
                <w:szCs w:val="22"/>
                <w:lang w:val="ga"/>
              </w:rPr>
              <w:t>240</w:t>
            </w:r>
          </w:p>
        </w:tc>
        <w:tc>
          <w:tcPr>
            <w:tcW w:w="0" w:type="auto"/>
          </w:tcPr>
          <w:p w14:paraId="0F0534F5" w14:textId="7AC49188" w:rsidR="00240CF3" w:rsidRPr="00C36EE8" w:rsidRDefault="00240CF3" w:rsidP="00240CF3">
            <w:pPr>
              <w:pStyle w:val="TableCell"/>
              <w:jc w:val="right"/>
              <w:rPr>
                <w:rFonts w:cs="Arial"/>
                <w:sz w:val="22"/>
                <w:szCs w:val="22"/>
              </w:rPr>
            </w:pPr>
            <w:r>
              <w:rPr>
                <w:rFonts w:cs="Calibri"/>
                <w:color w:val="000000"/>
                <w:sz w:val="22"/>
                <w:szCs w:val="22"/>
                <w:lang w:val="ga"/>
              </w:rPr>
              <w:t>8</w:t>
            </w:r>
          </w:p>
        </w:tc>
        <w:tc>
          <w:tcPr>
            <w:tcW w:w="0" w:type="auto"/>
          </w:tcPr>
          <w:p w14:paraId="55CD572C" w14:textId="1ED933BB" w:rsidR="00240CF3" w:rsidRPr="00C36EE8" w:rsidRDefault="00240CF3" w:rsidP="00240CF3">
            <w:pPr>
              <w:pStyle w:val="TableCell"/>
              <w:jc w:val="right"/>
              <w:rPr>
                <w:rFonts w:cs="Arial"/>
                <w:sz w:val="22"/>
                <w:szCs w:val="22"/>
              </w:rPr>
            </w:pPr>
            <w:r>
              <w:rPr>
                <w:rFonts w:cs="Calibri"/>
                <w:color w:val="000000"/>
                <w:sz w:val="22"/>
                <w:szCs w:val="22"/>
                <w:lang w:val="ga"/>
              </w:rPr>
              <w:t>3.3%</w:t>
            </w:r>
          </w:p>
        </w:tc>
        <w:tc>
          <w:tcPr>
            <w:tcW w:w="0" w:type="auto"/>
          </w:tcPr>
          <w:p w14:paraId="4196075B" w14:textId="6CC7A16F" w:rsidR="00240CF3" w:rsidRPr="00C36EE8" w:rsidRDefault="00240CF3" w:rsidP="00240CF3">
            <w:pPr>
              <w:jc w:val="right"/>
              <w:rPr>
                <w:sz w:val="22"/>
                <w:szCs w:val="22"/>
              </w:rPr>
            </w:pPr>
            <w:r>
              <w:rPr>
                <w:rFonts w:cs="Calibri"/>
                <w:color w:val="000000"/>
                <w:sz w:val="22"/>
                <w:szCs w:val="22"/>
                <w:lang w:val="ga"/>
              </w:rPr>
              <w:t>238</w:t>
            </w:r>
          </w:p>
        </w:tc>
        <w:tc>
          <w:tcPr>
            <w:tcW w:w="0" w:type="auto"/>
          </w:tcPr>
          <w:p w14:paraId="33A4F5C4" w14:textId="2A29E4C5" w:rsidR="00240CF3" w:rsidRPr="00C36EE8" w:rsidRDefault="00240CF3" w:rsidP="00240CF3">
            <w:pPr>
              <w:jc w:val="right"/>
              <w:rPr>
                <w:sz w:val="22"/>
                <w:szCs w:val="22"/>
              </w:rPr>
            </w:pPr>
            <w:r>
              <w:rPr>
                <w:rFonts w:cs="Calibri"/>
                <w:color w:val="000000"/>
                <w:sz w:val="22"/>
                <w:szCs w:val="22"/>
                <w:lang w:val="ga"/>
              </w:rPr>
              <w:t>20</w:t>
            </w:r>
          </w:p>
        </w:tc>
        <w:tc>
          <w:tcPr>
            <w:tcW w:w="0" w:type="auto"/>
          </w:tcPr>
          <w:p w14:paraId="5A753386" w14:textId="23000FFC" w:rsidR="00240CF3" w:rsidRPr="00C36EE8" w:rsidRDefault="00240CF3" w:rsidP="00240CF3">
            <w:pPr>
              <w:jc w:val="right"/>
              <w:rPr>
                <w:sz w:val="22"/>
                <w:szCs w:val="22"/>
              </w:rPr>
            </w:pPr>
            <w:r>
              <w:rPr>
                <w:rFonts w:cs="Calibri"/>
                <w:color w:val="000000"/>
                <w:sz w:val="22"/>
                <w:szCs w:val="22"/>
                <w:lang w:val="ga"/>
              </w:rPr>
              <w:t>8.4%</w:t>
            </w:r>
          </w:p>
        </w:tc>
      </w:tr>
      <w:tr w:rsidR="00240CF3" w:rsidRPr="00C36EE8" w14:paraId="4784EDD3" w14:textId="77777777" w:rsidTr="00E57050">
        <w:tc>
          <w:tcPr>
            <w:tcW w:w="2478" w:type="dxa"/>
          </w:tcPr>
          <w:p w14:paraId="22B1DB67" w14:textId="713AED40" w:rsidR="00240CF3" w:rsidRPr="00C36EE8" w:rsidRDefault="00240CF3" w:rsidP="00240CF3">
            <w:pPr>
              <w:rPr>
                <w:sz w:val="22"/>
                <w:szCs w:val="22"/>
              </w:rPr>
            </w:pPr>
            <w:r>
              <w:rPr>
                <w:rFonts w:cs="Calibri"/>
                <w:color w:val="000000"/>
                <w:sz w:val="22"/>
                <w:szCs w:val="22"/>
                <w:lang w:val="ga"/>
              </w:rPr>
              <w:t xml:space="preserve">An Roinn Turasóireachta, Cultúir, Ealaíon, Gaeltachta, Spóirt agus Meán </w:t>
            </w:r>
          </w:p>
        </w:tc>
        <w:tc>
          <w:tcPr>
            <w:tcW w:w="0" w:type="auto"/>
          </w:tcPr>
          <w:p w14:paraId="1C3ACC32" w14:textId="2473EEFB" w:rsidR="00240CF3" w:rsidRPr="00C36EE8" w:rsidRDefault="00240CF3" w:rsidP="00240CF3">
            <w:pPr>
              <w:pStyle w:val="TableCell"/>
              <w:jc w:val="right"/>
              <w:rPr>
                <w:rFonts w:cs="Arial"/>
                <w:sz w:val="22"/>
                <w:szCs w:val="22"/>
              </w:rPr>
            </w:pPr>
            <w:r>
              <w:rPr>
                <w:rFonts w:cs="Calibri"/>
                <w:color w:val="000000"/>
                <w:sz w:val="22"/>
                <w:szCs w:val="22"/>
                <w:lang w:val="ga"/>
              </w:rPr>
              <w:t>370</w:t>
            </w:r>
          </w:p>
        </w:tc>
        <w:tc>
          <w:tcPr>
            <w:tcW w:w="0" w:type="auto"/>
          </w:tcPr>
          <w:p w14:paraId="16B86279" w14:textId="4186B3D4" w:rsidR="00240CF3" w:rsidRPr="00C36EE8" w:rsidRDefault="00240CF3" w:rsidP="00240CF3">
            <w:pPr>
              <w:pStyle w:val="TableCell"/>
              <w:jc w:val="right"/>
              <w:rPr>
                <w:rFonts w:cs="Arial"/>
                <w:sz w:val="22"/>
                <w:szCs w:val="22"/>
              </w:rPr>
            </w:pPr>
            <w:r>
              <w:rPr>
                <w:rFonts w:cs="Calibri"/>
                <w:color w:val="000000"/>
                <w:sz w:val="22"/>
                <w:szCs w:val="22"/>
                <w:lang w:val="ga"/>
              </w:rPr>
              <w:t>40</w:t>
            </w:r>
          </w:p>
        </w:tc>
        <w:tc>
          <w:tcPr>
            <w:tcW w:w="0" w:type="auto"/>
          </w:tcPr>
          <w:p w14:paraId="3AA67A4C" w14:textId="08A4580F" w:rsidR="00240CF3" w:rsidRPr="00C36EE8" w:rsidRDefault="00240CF3" w:rsidP="00240CF3">
            <w:pPr>
              <w:pStyle w:val="TableCell"/>
              <w:jc w:val="right"/>
              <w:rPr>
                <w:rFonts w:cs="Arial"/>
                <w:sz w:val="22"/>
                <w:szCs w:val="22"/>
              </w:rPr>
            </w:pPr>
            <w:r>
              <w:rPr>
                <w:rFonts w:cs="Calibri"/>
                <w:color w:val="000000"/>
                <w:sz w:val="22"/>
                <w:szCs w:val="22"/>
                <w:lang w:val="ga"/>
              </w:rPr>
              <w:t>10.8%</w:t>
            </w:r>
          </w:p>
        </w:tc>
        <w:tc>
          <w:tcPr>
            <w:tcW w:w="0" w:type="auto"/>
          </w:tcPr>
          <w:p w14:paraId="1FAE943F" w14:textId="41891509" w:rsidR="00240CF3" w:rsidRPr="00C36EE8" w:rsidRDefault="00240CF3" w:rsidP="00240CF3">
            <w:pPr>
              <w:jc w:val="right"/>
              <w:rPr>
                <w:sz w:val="22"/>
                <w:szCs w:val="22"/>
              </w:rPr>
            </w:pPr>
            <w:r>
              <w:rPr>
                <w:rFonts w:cs="Calibri"/>
                <w:color w:val="000000"/>
                <w:sz w:val="22"/>
                <w:szCs w:val="22"/>
                <w:lang w:val="ga"/>
              </w:rPr>
              <w:t>404</w:t>
            </w:r>
          </w:p>
        </w:tc>
        <w:tc>
          <w:tcPr>
            <w:tcW w:w="0" w:type="auto"/>
          </w:tcPr>
          <w:p w14:paraId="0779F82D" w14:textId="243A1F40" w:rsidR="00240CF3" w:rsidRPr="00C36EE8" w:rsidRDefault="00240CF3" w:rsidP="00240CF3">
            <w:pPr>
              <w:jc w:val="right"/>
              <w:rPr>
                <w:sz w:val="22"/>
                <w:szCs w:val="22"/>
              </w:rPr>
            </w:pPr>
            <w:r>
              <w:rPr>
                <w:rFonts w:cs="Calibri"/>
                <w:color w:val="000000"/>
                <w:sz w:val="22"/>
                <w:szCs w:val="22"/>
                <w:lang w:val="ga"/>
              </w:rPr>
              <w:t>33</w:t>
            </w:r>
          </w:p>
        </w:tc>
        <w:tc>
          <w:tcPr>
            <w:tcW w:w="0" w:type="auto"/>
          </w:tcPr>
          <w:p w14:paraId="6D328E2B" w14:textId="5471FE2D" w:rsidR="00240CF3" w:rsidRPr="00C36EE8" w:rsidRDefault="00240CF3" w:rsidP="00240CF3">
            <w:pPr>
              <w:jc w:val="right"/>
              <w:rPr>
                <w:sz w:val="22"/>
                <w:szCs w:val="22"/>
              </w:rPr>
            </w:pPr>
            <w:r>
              <w:rPr>
                <w:rFonts w:cs="Calibri"/>
                <w:color w:val="000000"/>
                <w:sz w:val="22"/>
                <w:szCs w:val="22"/>
                <w:lang w:val="ga"/>
              </w:rPr>
              <w:t>8.2%</w:t>
            </w:r>
          </w:p>
        </w:tc>
      </w:tr>
      <w:tr w:rsidR="00240CF3" w:rsidRPr="00C36EE8" w14:paraId="697B0CB7" w14:textId="77777777" w:rsidTr="00E57050">
        <w:tc>
          <w:tcPr>
            <w:tcW w:w="2478" w:type="dxa"/>
          </w:tcPr>
          <w:p w14:paraId="0E3AED31" w14:textId="3DC6DEF1" w:rsidR="00240CF3" w:rsidRPr="00C36EE8" w:rsidRDefault="00240CF3" w:rsidP="00240CF3">
            <w:pPr>
              <w:rPr>
                <w:sz w:val="22"/>
                <w:szCs w:val="22"/>
              </w:rPr>
            </w:pPr>
            <w:r>
              <w:rPr>
                <w:rFonts w:cs="Calibri"/>
                <w:color w:val="000000"/>
                <w:sz w:val="22"/>
                <w:szCs w:val="22"/>
                <w:lang w:val="ga"/>
              </w:rPr>
              <w:t>An Roinn Iompair</w:t>
            </w:r>
          </w:p>
        </w:tc>
        <w:tc>
          <w:tcPr>
            <w:tcW w:w="0" w:type="auto"/>
          </w:tcPr>
          <w:p w14:paraId="05AA2BC6" w14:textId="6C12C8B5" w:rsidR="00240CF3" w:rsidRPr="00C36EE8" w:rsidRDefault="00240CF3" w:rsidP="00240CF3">
            <w:pPr>
              <w:pStyle w:val="TableCell"/>
              <w:jc w:val="right"/>
              <w:rPr>
                <w:rFonts w:cs="Arial"/>
                <w:sz w:val="22"/>
                <w:szCs w:val="22"/>
              </w:rPr>
            </w:pPr>
            <w:r>
              <w:rPr>
                <w:rFonts w:cs="Calibri"/>
                <w:color w:val="000000"/>
                <w:sz w:val="22"/>
                <w:szCs w:val="22"/>
                <w:lang w:val="ga"/>
              </w:rPr>
              <w:t>566</w:t>
            </w:r>
          </w:p>
        </w:tc>
        <w:tc>
          <w:tcPr>
            <w:tcW w:w="0" w:type="auto"/>
          </w:tcPr>
          <w:p w14:paraId="6C5DFC88" w14:textId="5E1EEFD1" w:rsidR="00240CF3" w:rsidRPr="00C36EE8" w:rsidRDefault="00240CF3" w:rsidP="00240CF3">
            <w:pPr>
              <w:pStyle w:val="TableCell"/>
              <w:jc w:val="right"/>
              <w:rPr>
                <w:rFonts w:cs="Arial"/>
                <w:sz w:val="22"/>
                <w:szCs w:val="22"/>
              </w:rPr>
            </w:pPr>
            <w:r>
              <w:rPr>
                <w:rFonts w:cs="Calibri"/>
                <w:color w:val="000000"/>
                <w:sz w:val="22"/>
                <w:szCs w:val="22"/>
                <w:lang w:val="ga"/>
              </w:rPr>
              <w:t>17</w:t>
            </w:r>
          </w:p>
        </w:tc>
        <w:tc>
          <w:tcPr>
            <w:tcW w:w="0" w:type="auto"/>
          </w:tcPr>
          <w:p w14:paraId="6CADD0AF" w14:textId="16741575" w:rsidR="00240CF3" w:rsidRPr="00C36EE8" w:rsidRDefault="00240CF3" w:rsidP="00240CF3">
            <w:pPr>
              <w:pStyle w:val="TableCell"/>
              <w:jc w:val="right"/>
              <w:rPr>
                <w:rFonts w:cs="Arial"/>
                <w:sz w:val="22"/>
                <w:szCs w:val="22"/>
              </w:rPr>
            </w:pPr>
            <w:r>
              <w:rPr>
                <w:rFonts w:cs="Calibri"/>
                <w:color w:val="000000"/>
                <w:sz w:val="22"/>
                <w:szCs w:val="22"/>
                <w:lang w:val="ga"/>
              </w:rPr>
              <w:t>3.0%</w:t>
            </w:r>
          </w:p>
        </w:tc>
        <w:tc>
          <w:tcPr>
            <w:tcW w:w="0" w:type="auto"/>
          </w:tcPr>
          <w:p w14:paraId="632BBD56" w14:textId="42F8E1E5" w:rsidR="00240CF3" w:rsidRPr="00C36EE8" w:rsidRDefault="00240CF3" w:rsidP="00240CF3">
            <w:pPr>
              <w:jc w:val="right"/>
              <w:rPr>
                <w:sz w:val="22"/>
                <w:szCs w:val="22"/>
              </w:rPr>
            </w:pPr>
            <w:r>
              <w:rPr>
                <w:rFonts w:cs="Calibri"/>
                <w:color w:val="000000"/>
                <w:sz w:val="22"/>
                <w:szCs w:val="22"/>
                <w:lang w:val="ga"/>
              </w:rPr>
              <w:t>596</w:t>
            </w:r>
          </w:p>
        </w:tc>
        <w:tc>
          <w:tcPr>
            <w:tcW w:w="0" w:type="auto"/>
          </w:tcPr>
          <w:p w14:paraId="200B7E83" w14:textId="64CDB13D" w:rsidR="00240CF3" w:rsidRPr="00C36EE8" w:rsidRDefault="00240CF3" w:rsidP="00240CF3">
            <w:pPr>
              <w:jc w:val="right"/>
              <w:rPr>
                <w:sz w:val="22"/>
                <w:szCs w:val="22"/>
              </w:rPr>
            </w:pPr>
            <w:r>
              <w:rPr>
                <w:rFonts w:cs="Calibri"/>
                <w:color w:val="000000"/>
                <w:sz w:val="22"/>
                <w:szCs w:val="22"/>
                <w:lang w:val="ga"/>
              </w:rPr>
              <w:t>19</w:t>
            </w:r>
          </w:p>
        </w:tc>
        <w:tc>
          <w:tcPr>
            <w:tcW w:w="0" w:type="auto"/>
          </w:tcPr>
          <w:p w14:paraId="74011B23" w14:textId="3430F710" w:rsidR="00240CF3" w:rsidRPr="00C36EE8" w:rsidRDefault="00240CF3" w:rsidP="00240CF3">
            <w:pPr>
              <w:jc w:val="right"/>
              <w:rPr>
                <w:sz w:val="22"/>
                <w:szCs w:val="22"/>
              </w:rPr>
            </w:pPr>
            <w:r>
              <w:rPr>
                <w:rFonts w:cs="Calibri"/>
                <w:color w:val="000000"/>
                <w:sz w:val="22"/>
                <w:szCs w:val="22"/>
                <w:lang w:val="ga"/>
              </w:rPr>
              <w:t>3.2%</w:t>
            </w:r>
          </w:p>
        </w:tc>
      </w:tr>
      <w:tr w:rsidR="00240CF3" w:rsidRPr="00C36EE8" w14:paraId="1188EB47" w14:textId="77777777" w:rsidTr="00E57050">
        <w:trPr>
          <w:trHeight w:val="583"/>
        </w:trPr>
        <w:tc>
          <w:tcPr>
            <w:tcW w:w="2478" w:type="dxa"/>
          </w:tcPr>
          <w:p w14:paraId="4689B125" w14:textId="0288E46A" w:rsidR="00240CF3" w:rsidRPr="00C36EE8" w:rsidRDefault="00240CF3" w:rsidP="00240CF3">
            <w:pPr>
              <w:rPr>
                <w:rFonts w:cs="Arial"/>
                <w:b/>
                <w:sz w:val="22"/>
                <w:szCs w:val="22"/>
              </w:rPr>
            </w:pPr>
            <w:r>
              <w:rPr>
                <w:rFonts w:cs="Arial"/>
                <w:b/>
                <w:bCs/>
                <w:sz w:val="22"/>
                <w:szCs w:val="22"/>
                <w:lang w:val="ga"/>
              </w:rPr>
              <w:t>Mór-Iomlán</w:t>
            </w:r>
          </w:p>
        </w:tc>
        <w:tc>
          <w:tcPr>
            <w:tcW w:w="0" w:type="auto"/>
          </w:tcPr>
          <w:p w14:paraId="7E67D58F" w14:textId="77777777" w:rsidR="00240CF3" w:rsidRPr="00C36EE8" w:rsidRDefault="00240CF3" w:rsidP="00240CF3">
            <w:pPr>
              <w:spacing w:after="0"/>
              <w:jc w:val="right"/>
              <w:rPr>
                <w:rFonts w:cs="Calibri"/>
                <w:b/>
                <w:bCs/>
                <w:color w:val="000000"/>
                <w:sz w:val="22"/>
                <w:szCs w:val="22"/>
              </w:rPr>
            </w:pPr>
            <w:r>
              <w:rPr>
                <w:rFonts w:cs="Calibri"/>
                <w:b/>
                <w:bCs/>
                <w:color w:val="000000"/>
                <w:sz w:val="22"/>
                <w:szCs w:val="22"/>
                <w:lang w:val="ga"/>
              </w:rPr>
              <w:t>23,590</w:t>
            </w:r>
          </w:p>
          <w:p w14:paraId="2B5DA864" w14:textId="57390C78" w:rsidR="00240CF3" w:rsidRPr="00C36EE8" w:rsidRDefault="00240CF3" w:rsidP="00240CF3">
            <w:pPr>
              <w:pStyle w:val="TableCell"/>
              <w:jc w:val="right"/>
              <w:rPr>
                <w:rFonts w:cs="Arial"/>
                <w:sz w:val="22"/>
                <w:szCs w:val="22"/>
              </w:rPr>
            </w:pPr>
          </w:p>
        </w:tc>
        <w:tc>
          <w:tcPr>
            <w:tcW w:w="0" w:type="auto"/>
          </w:tcPr>
          <w:p w14:paraId="7078C7A8" w14:textId="77777777" w:rsidR="00240CF3" w:rsidRPr="00C36EE8" w:rsidRDefault="00240CF3" w:rsidP="00240CF3">
            <w:pPr>
              <w:spacing w:after="0"/>
              <w:jc w:val="right"/>
              <w:rPr>
                <w:rFonts w:cs="Calibri"/>
                <w:b/>
                <w:bCs/>
                <w:color w:val="000000"/>
                <w:sz w:val="22"/>
                <w:szCs w:val="22"/>
              </w:rPr>
            </w:pPr>
            <w:r>
              <w:rPr>
                <w:rFonts w:cs="Calibri"/>
                <w:b/>
                <w:bCs/>
                <w:color w:val="000000"/>
                <w:sz w:val="22"/>
                <w:szCs w:val="22"/>
                <w:lang w:val="ga"/>
              </w:rPr>
              <w:t>1,427</w:t>
            </w:r>
          </w:p>
          <w:p w14:paraId="4311D6E6" w14:textId="4CE3B8E5" w:rsidR="00240CF3" w:rsidRPr="00C36EE8" w:rsidRDefault="00240CF3" w:rsidP="00240CF3">
            <w:pPr>
              <w:spacing w:after="0"/>
              <w:jc w:val="right"/>
              <w:rPr>
                <w:rFonts w:cs="Arial"/>
                <w:sz w:val="22"/>
                <w:szCs w:val="22"/>
              </w:rPr>
            </w:pPr>
          </w:p>
        </w:tc>
        <w:tc>
          <w:tcPr>
            <w:tcW w:w="0" w:type="auto"/>
          </w:tcPr>
          <w:p w14:paraId="649069D8" w14:textId="77777777" w:rsidR="00240CF3" w:rsidRPr="00C36EE8" w:rsidRDefault="00240CF3" w:rsidP="00240CF3">
            <w:pPr>
              <w:spacing w:after="0"/>
              <w:jc w:val="right"/>
              <w:rPr>
                <w:rFonts w:cs="Calibri"/>
                <w:b/>
                <w:bCs/>
                <w:color w:val="000000"/>
                <w:sz w:val="22"/>
                <w:szCs w:val="22"/>
              </w:rPr>
            </w:pPr>
            <w:r>
              <w:rPr>
                <w:rFonts w:cs="Calibri"/>
                <w:b/>
                <w:bCs/>
                <w:color w:val="000000"/>
                <w:sz w:val="22"/>
                <w:szCs w:val="22"/>
                <w:lang w:val="ga"/>
              </w:rPr>
              <w:t>6.0%</w:t>
            </w:r>
          </w:p>
          <w:p w14:paraId="1E6E15D7" w14:textId="22C8775A" w:rsidR="00240CF3" w:rsidRPr="00C36EE8" w:rsidRDefault="00240CF3" w:rsidP="00240CF3">
            <w:pPr>
              <w:pStyle w:val="TableCell"/>
              <w:jc w:val="right"/>
              <w:rPr>
                <w:rFonts w:cs="Arial"/>
                <w:sz w:val="22"/>
                <w:szCs w:val="22"/>
              </w:rPr>
            </w:pPr>
          </w:p>
        </w:tc>
        <w:tc>
          <w:tcPr>
            <w:tcW w:w="0" w:type="auto"/>
          </w:tcPr>
          <w:p w14:paraId="5EBD2EDB" w14:textId="77777777" w:rsidR="00240CF3" w:rsidRDefault="00240CF3" w:rsidP="00240CF3">
            <w:pPr>
              <w:spacing w:after="0"/>
              <w:jc w:val="right"/>
              <w:rPr>
                <w:rFonts w:cs="Calibri"/>
                <w:b/>
                <w:bCs/>
                <w:color w:val="000000"/>
                <w:sz w:val="22"/>
                <w:szCs w:val="22"/>
              </w:rPr>
            </w:pPr>
            <w:r>
              <w:rPr>
                <w:rFonts w:cs="Calibri"/>
                <w:b/>
                <w:bCs/>
                <w:color w:val="000000"/>
                <w:sz w:val="22"/>
                <w:szCs w:val="22"/>
                <w:lang w:val="ga"/>
              </w:rPr>
              <w:t>24639</w:t>
            </w:r>
          </w:p>
          <w:p w14:paraId="00489C3F" w14:textId="77777777" w:rsidR="00240CF3" w:rsidRPr="00C36EE8" w:rsidRDefault="00240CF3" w:rsidP="00240CF3">
            <w:pPr>
              <w:pStyle w:val="TableCell"/>
              <w:jc w:val="right"/>
              <w:rPr>
                <w:b/>
                <w:sz w:val="22"/>
                <w:szCs w:val="22"/>
              </w:rPr>
            </w:pPr>
          </w:p>
        </w:tc>
        <w:tc>
          <w:tcPr>
            <w:tcW w:w="0" w:type="auto"/>
          </w:tcPr>
          <w:p w14:paraId="7C9EC6C5" w14:textId="42156CF1" w:rsidR="00240CF3" w:rsidRPr="00C36EE8" w:rsidRDefault="00240CF3" w:rsidP="00240CF3">
            <w:pPr>
              <w:pStyle w:val="TableCell"/>
              <w:jc w:val="right"/>
              <w:rPr>
                <w:b/>
                <w:sz w:val="22"/>
                <w:szCs w:val="22"/>
              </w:rPr>
            </w:pPr>
            <w:r>
              <w:rPr>
                <w:rFonts w:cs="Calibri"/>
                <w:b/>
                <w:bCs/>
                <w:color w:val="000000"/>
                <w:sz w:val="22"/>
                <w:szCs w:val="22"/>
                <w:lang w:val="ga"/>
              </w:rPr>
              <w:t>1489</w:t>
            </w:r>
          </w:p>
        </w:tc>
        <w:tc>
          <w:tcPr>
            <w:tcW w:w="0" w:type="auto"/>
          </w:tcPr>
          <w:p w14:paraId="061A1113" w14:textId="77777777" w:rsidR="00240CF3" w:rsidRDefault="00240CF3" w:rsidP="00240CF3">
            <w:pPr>
              <w:spacing w:after="0"/>
              <w:jc w:val="right"/>
              <w:rPr>
                <w:rFonts w:cs="Calibri"/>
                <w:b/>
                <w:bCs/>
                <w:color w:val="000000"/>
                <w:sz w:val="22"/>
                <w:szCs w:val="22"/>
              </w:rPr>
            </w:pPr>
            <w:r>
              <w:rPr>
                <w:rFonts w:cs="Calibri"/>
                <w:b/>
                <w:bCs/>
                <w:color w:val="000000"/>
                <w:sz w:val="22"/>
                <w:szCs w:val="22"/>
                <w:lang w:val="ga"/>
              </w:rPr>
              <w:t>6.0%</w:t>
            </w:r>
          </w:p>
          <w:p w14:paraId="723C6202" w14:textId="77777777" w:rsidR="00240CF3" w:rsidRPr="00C36EE8" w:rsidRDefault="00240CF3" w:rsidP="00240CF3">
            <w:pPr>
              <w:pStyle w:val="TableCell"/>
              <w:jc w:val="right"/>
              <w:rPr>
                <w:b/>
                <w:sz w:val="22"/>
                <w:szCs w:val="22"/>
              </w:rPr>
            </w:pPr>
          </w:p>
        </w:tc>
      </w:tr>
    </w:tbl>
    <w:p w14:paraId="11C24871" w14:textId="7CB0A648" w:rsidR="000B0FE6" w:rsidRPr="00611BF3" w:rsidRDefault="000B0FE6" w:rsidP="00B72A0D">
      <w:pPr>
        <w:rPr>
          <w:highlight w:val="green"/>
        </w:rPr>
      </w:pPr>
      <w:r>
        <w:rPr>
          <w:highlight w:val="green"/>
          <w:lang w:val="ga"/>
        </w:rPr>
        <w:br w:type="page"/>
      </w:r>
    </w:p>
    <w:p w14:paraId="011794A5" w14:textId="07DCB031" w:rsidR="000D5C5D" w:rsidRPr="00FE243A" w:rsidRDefault="00973B13" w:rsidP="00D2484D">
      <w:pPr>
        <w:pStyle w:val="Heading1"/>
      </w:pPr>
      <w:bookmarkStart w:id="70" w:name="_Toc147910086"/>
      <w:r>
        <w:rPr>
          <w:bCs/>
          <w:lang w:val="ga"/>
        </w:rPr>
        <w:lastRenderedPageBreak/>
        <w:t>Aguisín B – Comhlachtaí poiblí</w:t>
      </w:r>
      <w:bookmarkEnd w:id="70"/>
    </w:p>
    <w:p w14:paraId="7AEBF6B3" w14:textId="59C3792C" w:rsidR="008A0762" w:rsidRPr="00FE243A" w:rsidRDefault="008A0762" w:rsidP="00DA2B08"/>
    <w:p w14:paraId="04AFE297" w14:textId="6777376A" w:rsidR="001624B2" w:rsidRPr="00FE243A" w:rsidRDefault="008A0762" w:rsidP="001624B2">
      <w:pPr>
        <w:pStyle w:val="Heading2"/>
        <w:jc w:val="center"/>
        <w:rPr>
          <w:color w:val="000000" w:themeColor="text1"/>
        </w:rPr>
      </w:pPr>
      <w:bookmarkStart w:id="71" w:name="_Toc147910087"/>
      <w:r>
        <w:rPr>
          <w:bCs/>
          <w:color w:val="000000" w:themeColor="text1"/>
          <w:lang w:val="ga"/>
        </w:rPr>
        <w:t>An Roinn Talmhaíochta, Bia agus Mara</w:t>
      </w:r>
      <w:bookmarkEnd w:id="71"/>
    </w:p>
    <w:tbl>
      <w:tblPr>
        <w:tblStyle w:val="TableGrid1"/>
        <w:tblpPr w:leftFromText="180" w:rightFromText="180" w:vertAnchor="text" w:horzAnchor="page" w:tblpX="511" w:tblpY="241"/>
        <w:tblW w:w="11467" w:type="dxa"/>
        <w:tblLayout w:type="fixed"/>
        <w:tblLook w:val="0020" w:firstRow="1" w:lastRow="0" w:firstColumn="0" w:lastColumn="0" w:noHBand="0" w:noVBand="0"/>
      </w:tblPr>
      <w:tblGrid>
        <w:gridCol w:w="2253"/>
        <w:gridCol w:w="1843"/>
        <w:gridCol w:w="1559"/>
        <w:gridCol w:w="1560"/>
        <w:gridCol w:w="1275"/>
        <w:gridCol w:w="1418"/>
        <w:gridCol w:w="1559"/>
      </w:tblGrid>
      <w:tr w:rsidR="00D2484D" w:rsidRPr="00611BF3" w14:paraId="5294944E" w14:textId="77777777" w:rsidTr="00E57050">
        <w:tc>
          <w:tcPr>
            <w:tcW w:w="2253" w:type="dxa"/>
          </w:tcPr>
          <w:p w14:paraId="26C5C848" w14:textId="77777777" w:rsidR="00D2484D" w:rsidRPr="00FE243A" w:rsidRDefault="00D2484D" w:rsidP="00D2484D">
            <w:pPr>
              <w:pStyle w:val="TableHead"/>
              <w:rPr>
                <w:sz w:val="22"/>
                <w:szCs w:val="22"/>
              </w:rPr>
            </w:pPr>
            <w:r>
              <w:rPr>
                <w:bCs/>
                <w:sz w:val="22"/>
                <w:szCs w:val="22"/>
                <w:lang w:val="ga"/>
              </w:rPr>
              <w:t>Comhlacht Poiblí</w:t>
            </w:r>
          </w:p>
        </w:tc>
        <w:tc>
          <w:tcPr>
            <w:tcW w:w="1843" w:type="dxa"/>
          </w:tcPr>
          <w:p w14:paraId="4AC5F411" w14:textId="77777777" w:rsidR="00F516FE" w:rsidRPr="00FE243A" w:rsidRDefault="00D2484D" w:rsidP="00D2484D">
            <w:pPr>
              <w:pStyle w:val="TableHead"/>
              <w:rPr>
                <w:sz w:val="22"/>
                <w:szCs w:val="22"/>
              </w:rPr>
            </w:pPr>
            <w:r>
              <w:rPr>
                <w:bCs/>
                <w:sz w:val="22"/>
                <w:szCs w:val="22"/>
                <w:lang w:val="ga"/>
              </w:rPr>
              <w:t xml:space="preserve">An líon </w:t>
            </w:r>
          </w:p>
          <w:p w14:paraId="01D47D4C" w14:textId="77777777" w:rsidR="00F516FE" w:rsidRPr="00FE243A" w:rsidRDefault="00D2484D" w:rsidP="00D2484D">
            <w:pPr>
              <w:pStyle w:val="TableHead"/>
              <w:rPr>
                <w:sz w:val="22"/>
                <w:szCs w:val="22"/>
              </w:rPr>
            </w:pPr>
            <w:r>
              <w:rPr>
                <w:bCs/>
                <w:sz w:val="22"/>
                <w:szCs w:val="22"/>
                <w:lang w:val="ga"/>
              </w:rPr>
              <w:t xml:space="preserve">iomlán </w:t>
            </w:r>
          </w:p>
          <w:p w14:paraId="5EB3A691" w14:textId="77777777" w:rsidR="00F516FE" w:rsidRPr="00FE243A" w:rsidRDefault="00D2484D" w:rsidP="00D2484D">
            <w:pPr>
              <w:pStyle w:val="TableHead"/>
              <w:rPr>
                <w:sz w:val="22"/>
                <w:szCs w:val="22"/>
              </w:rPr>
            </w:pPr>
            <w:r>
              <w:rPr>
                <w:bCs/>
                <w:sz w:val="22"/>
                <w:szCs w:val="22"/>
                <w:lang w:val="ga"/>
              </w:rPr>
              <w:t xml:space="preserve">fostaithe </w:t>
            </w:r>
          </w:p>
          <w:p w14:paraId="0CA13FA3" w14:textId="2AC84CE6" w:rsidR="00D2484D" w:rsidRPr="00FE243A" w:rsidRDefault="00D2484D" w:rsidP="00D2484D">
            <w:pPr>
              <w:pStyle w:val="TableHead"/>
              <w:rPr>
                <w:sz w:val="22"/>
                <w:szCs w:val="22"/>
              </w:rPr>
            </w:pPr>
            <w:r>
              <w:rPr>
                <w:bCs/>
                <w:sz w:val="22"/>
                <w:szCs w:val="22"/>
                <w:lang w:val="ga"/>
              </w:rPr>
              <w:t>2021</w:t>
            </w:r>
          </w:p>
        </w:tc>
        <w:tc>
          <w:tcPr>
            <w:tcW w:w="1559" w:type="dxa"/>
          </w:tcPr>
          <w:p w14:paraId="2112FCA6" w14:textId="77777777" w:rsidR="00D2484D" w:rsidRPr="00FE243A" w:rsidRDefault="00D2484D" w:rsidP="00D2484D">
            <w:pPr>
              <w:pStyle w:val="TableHead"/>
              <w:rPr>
                <w:sz w:val="22"/>
                <w:szCs w:val="22"/>
              </w:rPr>
            </w:pPr>
            <w:r>
              <w:rPr>
                <w:bCs/>
                <w:sz w:val="22"/>
                <w:szCs w:val="22"/>
                <w:lang w:val="ga"/>
              </w:rPr>
              <w:t xml:space="preserve">An líon fostaithe a thuairiscigh míchumas </w:t>
            </w:r>
          </w:p>
          <w:p w14:paraId="70733B20" w14:textId="29CF4E9A" w:rsidR="00D2484D" w:rsidRPr="00FE243A" w:rsidRDefault="00D2484D" w:rsidP="00D2484D">
            <w:pPr>
              <w:pStyle w:val="TableHead"/>
              <w:rPr>
                <w:sz w:val="22"/>
                <w:szCs w:val="22"/>
              </w:rPr>
            </w:pPr>
            <w:r>
              <w:rPr>
                <w:bCs/>
                <w:sz w:val="22"/>
                <w:szCs w:val="22"/>
                <w:lang w:val="ga"/>
              </w:rPr>
              <w:t>2021</w:t>
            </w:r>
          </w:p>
        </w:tc>
        <w:tc>
          <w:tcPr>
            <w:tcW w:w="1560" w:type="dxa"/>
          </w:tcPr>
          <w:p w14:paraId="0FB03E21" w14:textId="77777777" w:rsidR="00D2484D" w:rsidRPr="00FE243A" w:rsidRDefault="00D2484D" w:rsidP="00D2484D">
            <w:pPr>
              <w:pStyle w:val="TableHead"/>
              <w:rPr>
                <w:sz w:val="22"/>
                <w:szCs w:val="22"/>
              </w:rPr>
            </w:pPr>
            <w:r>
              <w:rPr>
                <w:bCs/>
                <w:sz w:val="22"/>
                <w:szCs w:val="22"/>
                <w:lang w:val="ga"/>
              </w:rPr>
              <w:t>An % d’fhostaithe a thuairiscigh</w:t>
            </w:r>
          </w:p>
          <w:p w14:paraId="774C2312" w14:textId="5C6D4276" w:rsidR="00D2484D" w:rsidRPr="00FE243A" w:rsidRDefault="00D2484D" w:rsidP="00D2484D">
            <w:pPr>
              <w:pStyle w:val="TableHead"/>
              <w:rPr>
                <w:sz w:val="22"/>
                <w:szCs w:val="22"/>
              </w:rPr>
            </w:pPr>
            <w:r>
              <w:rPr>
                <w:bCs/>
                <w:sz w:val="22"/>
                <w:szCs w:val="22"/>
                <w:lang w:val="ga"/>
              </w:rPr>
              <w:t>míchumas 2021</w:t>
            </w:r>
          </w:p>
        </w:tc>
        <w:tc>
          <w:tcPr>
            <w:tcW w:w="1275" w:type="dxa"/>
          </w:tcPr>
          <w:p w14:paraId="32DD95D9" w14:textId="77777777" w:rsidR="006C3820" w:rsidRPr="00FE243A" w:rsidRDefault="00D2484D" w:rsidP="00D2484D">
            <w:pPr>
              <w:pStyle w:val="TableHead"/>
              <w:rPr>
                <w:sz w:val="22"/>
                <w:szCs w:val="22"/>
              </w:rPr>
            </w:pPr>
            <w:r>
              <w:rPr>
                <w:bCs/>
                <w:sz w:val="22"/>
                <w:szCs w:val="22"/>
                <w:lang w:val="ga"/>
              </w:rPr>
              <w:t xml:space="preserve">An líon iomlán </w:t>
            </w:r>
          </w:p>
          <w:p w14:paraId="3EEA5463" w14:textId="48934496" w:rsidR="00D2484D" w:rsidRPr="00FE243A" w:rsidRDefault="00D2484D" w:rsidP="00D2484D">
            <w:pPr>
              <w:pStyle w:val="TableHead"/>
              <w:rPr>
                <w:sz w:val="22"/>
                <w:szCs w:val="22"/>
              </w:rPr>
            </w:pPr>
            <w:r>
              <w:rPr>
                <w:bCs/>
                <w:sz w:val="22"/>
                <w:szCs w:val="22"/>
                <w:lang w:val="ga"/>
              </w:rPr>
              <w:t>fostaithe 2022</w:t>
            </w:r>
          </w:p>
        </w:tc>
        <w:tc>
          <w:tcPr>
            <w:tcW w:w="1418" w:type="dxa"/>
          </w:tcPr>
          <w:p w14:paraId="3EB434B4" w14:textId="2B7BB381" w:rsidR="00D2484D" w:rsidRPr="00FE243A" w:rsidRDefault="009112F8" w:rsidP="00D2484D">
            <w:pPr>
              <w:pStyle w:val="TableHead"/>
              <w:rPr>
                <w:sz w:val="22"/>
                <w:szCs w:val="22"/>
              </w:rPr>
            </w:pPr>
            <w:r>
              <w:rPr>
                <w:bCs/>
                <w:sz w:val="22"/>
                <w:szCs w:val="22"/>
                <w:lang w:val="ga"/>
              </w:rPr>
              <w:t xml:space="preserve">An líon fostaithe a thuairiscigh míchumas </w:t>
            </w:r>
          </w:p>
          <w:p w14:paraId="2256B5F5" w14:textId="07CB3875" w:rsidR="00D2484D" w:rsidRPr="00FE243A" w:rsidRDefault="00D2484D" w:rsidP="00D2484D">
            <w:pPr>
              <w:pStyle w:val="TableHead"/>
              <w:rPr>
                <w:sz w:val="22"/>
                <w:szCs w:val="22"/>
              </w:rPr>
            </w:pPr>
            <w:r>
              <w:rPr>
                <w:bCs/>
                <w:sz w:val="22"/>
                <w:szCs w:val="22"/>
                <w:lang w:val="ga"/>
              </w:rPr>
              <w:t>2022</w:t>
            </w:r>
          </w:p>
        </w:tc>
        <w:tc>
          <w:tcPr>
            <w:tcW w:w="1559" w:type="dxa"/>
          </w:tcPr>
          <w:p w14:paraId="738F464D" w14:textId="0DEFCA70" w:rsidR="00D2484D" w:rsidRPr="00FE243A" w:rsidRDefault="00D2484D" w:rsidP="005C1532">
            <w:pPr>
              <w:pStyle w:val="TableHead"/>
              <w:rPr>
                <w:sz w:val="22"/>
                <w:szCs w:val="22"/>
              </w:rPr>
            </w:pPr>
            <w:r>
              <w:rPr>
                <w:bCs/>
                <w:sz w:val="22"/>
                <w:szCs w:val="22"/>
                <w:lang w:val="ga"/>
              </w:rPr>
              <w:t>An % d’fhostaithe a thuairiscigh</w:t>
            </w:r>
          </w:p>
          <w:p w14:paraId="5A88F10E" w14:textId="6146F0CF" w:rsidR="00D2484D" w:rsidRPr="00FE243A" w:rsidRDefault="00D2484D" w:rsidP="00D2484D">
            <w:pPr>
              <w:pStyle w:val="TableHead"/>
              <w:rPr>
                <w:sz w:val="24"/>
              </w:rPr>
            </w:pPr>
            <w:r>
              <w:rPr>
                <w:bCs/>
                <w:sz w:val="22"/>
                <w:szCs w:val="22"/>
                <w:lang w:val="ga"/>
              </w:rPr>
              <w:t>míchumas 2022</w:t>
            </w:r>
          </w:p>
        </w:tc>
      </w:tr>
      <w:tr w:rsidR="00D2484D" w:rsidRPr="00611BF3" w14:paraId="3BEAD1DB" w14:textId="77777777" w:rsidTr="00E57050">
        <w:tc>
          <w:tcPr>
            <w:tcW w:w="2253" w:type="dxa"/>
          </w:tcPr>
          <w:p w14:paraId="290A5598" w14:textId="77777777" w:rsidR="00D2484D" w:rsidRPr="00FE243A" w:rsidRDefault="00D2484D" w:rsidP="00D2484D">
            <w:pPr>
              <w:pStyle w:val="TableHead"/>
              <w:rPr>
                <w:b w:val="0"/>
                <w:sz w:val="22"/>
                <w:szCs w:val="22"/>
              </w:rPr>
            </w:pPr>
            <w:r>
              <w:rPr>
                <w:rFonts w:cs="Calibri"/>
                <w:b w:val="0"/>
                <w:color w:val="000000"/>
                <w:sz w:val="22"/>
                <w:szCs w:val="22"/>
                <w:lang w:val="ga"/>
              </w:rPr>
              <w:t>Bord Bia</w:t>
            </w:r>
          </w:p>
        </w:tc>
        <w:tc>
          <w:tcPr>
            <w:tcW w:w="1843" w:type="dxa"/>
          </w:tcPr>
          <w:p w14:paraId="13020726" w14:textId="77777777" w:rsidR="00FE243A" w:rsidRPr="00FE243A" w:rsidRDefault="00FE243A" w:rsidP="00FE243A">
            <w:pPr>
              <w:spacing w:after="0"/>
              <w:jc w:val="right"/>
              <w:rPr>
                <w:rFonts w:cs="Calibri"/>
                <w:color w:val="000000"/>
                <w:sz w:val="22"/>
                <w:szCs w:val="22"/>
              </w:rPr>
            </w:pPr>
            <w:r>
              <w:rPr>
                <w:rFonts w:cs="Calibri"/>
                <w:color w:val="000000"/>
                <w:sz w:val="22"/>
                <w:szCs w:val="22"/>
                <w:lang w:val="ga"/>
              </w:rPr>
              <w:t>150</w:t>
            </w:r>
          </w:p>
          <w:p w14:paraId="0C827938" w14:textId="67BFF796" w:rsidR="00D2484D" w:rsidRPr="00FE243A" w:rsidRDefault="00D2484D" w:rsidP="00D2484D">
            <w:pPr>
              <w:pStyle w:val="TableHead"/>
              <w:jc w:val="right"/>
              <w:rPr>
                <w:b w:val="0"/>
                <w:sz w:val="22"/>
                <w:szCs w:val="22"/>
              </w:rPr>
            </w:pPr>
          </w:p>
        </w:tc>
        <w:tc>
          <w:tcPr>
            <w:tcW w:w="1559" w:type="dxa"/>
          </w:tcPr>
          <w:p w14:paraId="04711A63" w14:textId="4B07D2D0" w:rsidR="00D2484D" w:rsidRPr="00FE243A" w:rsidRDefault="00FE243A" w:rsidP="00D2484D">
            <w:pPr>
              <w:pStyle w:val="TableHead"/>
              <w:jc w:val="right"/>
              <w:rPr>
                <w:b w:val="0"/>
                <w:sz w:val="22"/>
                <w:szCs w:val="22"/>
              </w:rPr>
            </w:pPr>
            <w:r>
              <w:rPr>
                <w:rFonts w:cs="Calibri"/>
                <w:b w:val="0"/>
                <w:color w:val="000000"/>
                <w:sz w:val="22"/>
                <w:szCs w:val="22"/>
                <w:lang w:val="ga"/>
              </w:rPr>
              <w:t>3</w:t>
            </w:r>
          </w:p>
        </w:tc>
        <w:tc>
          <w:tcPr>
            <w:tcW w:w="1560" w:type="dxa"/>
          </w:tcPr>
          <w:p w14:paraId="020DEE8F" w14:textId="4F93D8D2" w:rsidR="00D2484D" w:rsidRPr="00FE243A" w:rsidRDefault="00FE243A" w:rsidP="00D2484D">
            <w:pPr>
              <w:pStyle w:val="TableHead"/>
              <w:jc w:val="right"/>
              <w:rPr>
                <w:b w:val="0"/>
                <w:sz w:val="22"/>
                <w:szCs w:val="22"/>
              </w:rPr>
            </w:pPr>
            <w:r>
              <w:rPr>
                <w:rFonts w:cs="Calibri"/>
                <w:b w:val="0"/>
                <w:color w:val="000000"/>
                <w:sz w:val="22"/>
                <w:szCs w:val="22"/>
                <w:lang w:val="ga"/>
              </w:rPr>
              <w:t>2.0%</w:t>
            </w:r>
          </w:p>
        </w:tc>
        <w:tc>
          <w:tcPr>
            <w:tcW w:w="1275" w:type="dxa"/>
          </w:tcPr>
          <w:p w14:paraId="0F7B8895" w14:textId="77777777" w:rsidR="00FE243A" w:rsidRPr="00FE243A" w:rsidRDefault="00FE243A" w:rsidP="00FE243A">
            <w:pPr>
              <w:spacing w:after="0"/>
              <w:jc w:val="right"/>
              <w:rPr>
                <w:rFonts w:cs="Calibri"/>
                <w:color w:val="000000"/>
                <w:sz w:val="22"/>
                <w:szCs w:val="22"/>
              </w:rPr>
            </w:pPr>
            <w:r>
              <w:rPr>
                <w:rFonts w:cs="Calibri"/>
                <w:color w:val="000000"/>
                <w:sz w:val="22"/>
                <w:szCs w:val="22"/>
                <w:lang w:val="ga"/>
              </w:rPr>
              <w:t>144</w:t>
            </w:r>
          </w:p>
          <w:p w14:paraId="6B8585F7" w14:textId="79C8EB14" w:rsidR="00D2484D" w:rsidRPr="00FE243A" w:rsidRDefault="00D2484D" w:rsidP="00D2484D">
            <w:pPr>
              <w:jc w:val="right"/>
              <w:rPr>
                <w:sz w:val="22"/>
                <w:szCs w:val="22"/>
              </w:rPr>
            </w:pPr>
          </w:p>
        </w:tc>
        <w:tc>
          <w:tcPr>
            <w:tcW w:w="1418" w:type="dxa"/>
          </w:tcPr>
          <w:p w14:paraId="7C714067" w14:textId="062F61B0" w:rsidR="00D2484D" w:rsidRPr="00FE243A" w:rsidRDefault="00FE243A" w:rsidP="00D2484D">
            <w:pPr>
              <w:pStyle w:val="TableHead"/>
              <w:jc w:val="right"/>
              <w:rPr>
                <w:b w:val="0"/>
                <w:sz w:val="22"/>
                <w:szCs w:val="22"/>
              </w:rPr>
            </w:pPr>
            <w:r>
              <w:rPr>
                <w:b w:val="0"/>
                <w:sz w:val="22"/>
                <w:szCs w:val="22"/>
                <w:lang w:val="ga"/>
              </w:rPr>
              <w:t>2</w:t>
            </w:r>
          </w:p>
        </w:tc>
        <w:tc>
          <w:tcPr>
            <w:tcW w:w="1559" w:type="dxa"/>
          </w:tcPr>
          <w:p w14:paraId="39A3E21B" w14:textId="77777777" w:rsidR="00FE243A" w:rsidRPr="00FE243A" w:rsidRDefault="00FE243A" w:rsidP="00FE243A">
            <w:pPr>
              <w:spacing w:after="0"/>
              <w:jc w:val="right"/>
              <w:rPr>
                <w:rFonts w:cs="Calibri"/>
                <w:color w:val="000000"/>
                <w:sz w:val="22"/>
                <w:szCs w:val="22"/>
              </w:rPr>
            </w:pPr>
            <w:r>
              <w:rPr>
                <w:rFonts w:cs="Calibri"/>
                <w:color w:val="000000"/>
                <w:sz w:val="22"/>
                <w:szCs w:val="22"/>
                <w:lang w:val="ga"/>
              </w:rPr>
              <w:t>1.4%</w:t>
            </w:r>
          </w:p>
          <w:p w14:paraId="1FC0A0F0" w14:textId="51B7C0C1" w:rsidR="00D2484D" w:rsidRPr="00FE243A" w:rsidRDefault="00D2484D" w:rsidP="00D2484D">
            <w:pPr>
              <w:pStyle w:val="TableHead"/>
              <w:jc w:val="right"/>
              <w:rPr>
                <w:b w:val="0"/>
                <w:sz w:val="22"/>
                <w:szCs w:val="22"/>
              </w:rPr>
            </w:pPr>
          </w:p>
        </w:tc>
      </w:tr>
      <w:tr w:rsidR="00FE243A" w:rsidRPr="00611BF3" w14:paraId="65A3D5EE" w14:textId="77777777" w:rsidTr="00E57050">
        <w:tc>
          <w:tcPr>
            <w:tcW w:w="2253" w:type="dxa"/>
          </w:tcPr>
          <w:p w14:paraId="3A81A104" w14:textId="77777777" w:rsidR="00FE243A" w:rsidRPr="00FE243A" w:rsidRDefault="00FE243A" w:rsidP="00FE243A">
            <w:pPr>
              <w:pStyle w:val="TableHead"/>
              <w:rPr>
                <w:b w:val="0"/>
                <w:sz w:val="22"/>
                <w:szCs w:val="22"/>
              </w:rPr>
            </w:pPr>
            <w:r>
              <w:rPr>
                <w:rFonts w:cs="Calibri"/>
                <w:b w:val="0"/>
                <w:color w:val="000000"/>
                <w:sz w:val="22"/>
                <w:szCs w:val="22"/>
                <w:lang w:val="ga"/>
              </w:rPr>
              <w:t>Bord Iascaigh Mhara</w:t>
            </w:r>
          </w:p>
        </w:tc>
        <w:tc>
          <w:tcPr>
            <w:tcW w:w="1843" w:type="dxa"/>
          </w:tcPr>
          <w:p w14:paraId="1A0AE3DB" w14:textId="335F8D64" w:rsidR="00FE243A" w:rsidRPr="00FE243A" w:rsidRDefault="00FE243A" w:rsidP="00FE243A">
            <w:pPr>
              <w:pStyle w:val="TableHead"/>
              <w:jc w:val="right"/>
              <w:rPr>
                <w:b w:val="0"/>
                <w:bCs/>
                <w:sz w:val="22"/>
                <w:szCs w:val="22"/>
              </w:rPr>
            </w:pPr>
            <w:r>
              <w:rPr>
                <w:rFonts w:cs="Calibri"/>
                <w:b w:val="0"/>
                <w:color w:val="000000"/>
                <w:sz w:val="22"/>
                <w:szCs w:val="22"/>
                <w:lang w:val="ga"/>
              </w:rPr>
              <w:t>124</w:t>
            </w:r>
          </w:p>
        </w:tc>
        <w:tc>
          <w:tcPr>
            <w:tcW w:w="1559" w:type="dxa"/>
          </w:tcPr>
          <w:p w14:paraId="2ED41463" w14:textId="679F429D" w:rsidR="00FE243A" w:rsidRPr="00FE243A" w:rsidRDefault="00FE243A" w:rsidP="00FE243A">
            <w:pPr>
              <w:pStyle w:val="TableHead"/>
              <w:jc w:val="right"/>
              <w:rPr>
                <w:b w:val="0"/>
                <w:sz w:val="22"/>
                <w:szCs w:val="22"/>
              </w:rPr>
            </w:pPr>
            <w:r>
              <w:rPr>
                <w:rFonts w:cs="Calibri"/>
                <w:b w:val="0"/>
                <w:color w:val="000000"/>
                <w:sz w:val="22"/>
                <w:szCs w:val="22"/>
                <w:lang w:val="ga"/>
              </w:rPr>
              <w:t>14</w:t>
            </w:r>
          </w:p>
        </w:tc>
        <w:tc>
          <w:tcPr>
            <w:tcW w:w="1560" w:type="dxa"/>
          </w:tcPr>
          <w:p w14:paraId="191EECEA" w14:textId="6029F1D1" w:rsidR="00FE243A" w:rsidRPr="00FE243A" w:rsidRDefault="00FE243A" w:rsidP="00FE243A">
            <w:pPr>
              <w:pStyle w:val="TableHead"/>
              <w:jc w:val="right"/>
              <w:rPr>
                <w:b w:val="0"/>
                <w:sz w:val="22"/>
                <w:szCs w:val="22"/>
              </w:rPr>
            </w:pPr>
            <w:r>
              <w:rPr>
                <w:rFonts w:cs="Calibri"/>
                <w:b w:val="0"/>
                <w:color w:val="000000"/>
                <w:sz w:val="22"/>
                <w:szCs w:val="22"/>
                <w:lang w:val="ga"/>
              </w:rPr>
              <w:t>11.3%</w:t>
            </w:r>
          </w:p>
        </w:tc>
        <w:tc>
          <w:tcPr>
            <w:tcW w:w="1275" w:type="dxa"/>
          </w:tcPr>
          <w:p w14:paraId="0F32E1E6" w14:textId="77777777" w:rsidR="00FE243A" w:rsidRDefault="00FE243A" w:rsidP="00FE243A">
            <w:pPr>
              <w:spacing w:after="0"/>
              <w:jc w:val="right"/>
              <w:rPr>
                <w:rFonts w:cs="Calibri"/>
                <w:color w:val="000000"/>
                <w:sz w:val="22"/>
                <w:szCs w:val="22"/>
              </w:rPr>
            </w:pPr>
            <w:r>
              <w:rPr>
                <w:rFonts w:cs="Calibri"/>
                <w:color w:val="000000"/>
                <w:sz w:val="22"/>
                <w:szCs w:val="22"/>
                <w:lang w:val="ga"/>
              </w:rPr>
              <w:t>126</w:t>
            </w:r>
          </w:p>
          <w:p w14:paraId="52738368" w14:textId="00171B2D" w:rsidR="00FE243A" w:rsidRPr="00FE243A" w:rsidRDefault="00FE243A" w:rsidP="00FE243A">
            <w:pPr>
              <w:jc w:val="right"/>
              <w:rPr>
                <w:sz w:val="22"/>
                <w:szCs w:val="22"/>
              </w:rPr>
            </w:pPr>
          </w:p>
        </w:tc>
        <w:tc>
          <w:tcPr>
            <w:tcW w:w="1418" w:type="dxa"/>
          </w:tcPr>
          <w:p w14:paraId="5EF69FB9" w14:textId="77777777" w:rsidR="00FE243A" w:rsidRDefault="00FE243A" w:rsidP="00FE243A">
            <w:pPr>
              <w:spacing w:after="0"/>
              <w:jc w:val="right"/>
              <w:rPr>
                <w:rFonts w:cs="Calibri"/>
                <w:color w:val="000000"/>
                <w:sz w:val="22"/>
                <w:szCs w:val="22"/>
              </w:rPr>
            </w:pPr>
            <w:r>
              <w:rPr>
                <w:rFonts w:cs="Calibri"/>
                <w:color w:val="000000"/>
                <w:sz w:val="22"/>
                <w:szCs w:val="22"/>
                <w:lang w:val="ga"/>
              </w:rPr>
              <w:t>13</w:t>
            </w:r>
          </w:p>
          <w:p w14:paraId="348501AD" w14:textId="0535E822" w:rsidR="00FE243A" w:rsidRPr="00FE243A" w:rsidRDefault="00FE243A" w:rsidP="00FE243A">
            <w:pPr>
              <w:pStyle w:val="TableHead"/>
              <w:jc w:val="right"/>
              <w:rPr>
                <w:b w:val="0"/>
                <w:sz w:val="22"/>
                <w:szCs w:val="22"/>
              </w:rPr>
            </w:pPr>
          </w:p>
        </w:tc>
        <w:tc>
          <w:tcPr>
            <w:tcW w:w="1559" w:type="dxa"/>
          </w:tcPr>
          <w:p w14:paraId="71D54964" w14:textId="77777777" w:rsidR="00FE243A" w:rsidRDefault="00FE243A" w:rsidP="00FE243A">
            <w:pPr>
              <w:spacing w:after="0"/>
              <w:jc w:val="right"/>
              <w:rPr>
                <w:rFonts w:cs="Calibri"/>
                <w:color w:val="000000"/>
                <w:sz w:val="22"/>
                <w:szCs w:val="22"/>
              </w:rPr>
            </w:pPr>
            <w:r>
              <w:rPr>
                <w:rFonts w:cs="Calibri"/>
                <w:color w:val="000000"/>
                <w:sz w:val="22"/>
                <w:szCs w:val="22"/>
                <w:lang w:val="ga"/>
              </w:rPr>
              <w:t>10.3%</w:t>
            </w:r>
          </w:p>
          <w:p w14:paraId="6D9E1BF7" w14:textId="06946010" w:rsidR="00FE243A" w:rsidRPr="00FE243A" w:rsidRDefault="00FE243A" w:rsidP="00FE243A">
            <w:pPr>
              <w:pStyle w:val="TableHead"/>
              <w:jc w:val="right"/>
              <w:rPr>
                <w:b w:val="0"/>
                <w:sz w:val="22"/>
                <w:szCs w:val="22"/>
              </w:rPr>
            </w:pPr>
          </w:p>
        </w:tc>
      </w:tr>
      <w:tr w:rsidR="00FE243A" w:rsidRPr="00611BF3" w14:paraId="73B6A991" w14:textId="77777777" w:rsidTr="00E57050">
        <w:tc>
          <w:tcPr>
            <w:tcW w:w="2253" w:type="dxa"/>
          </w:tcPr>
          <w:p w14:paraId="5952E766" w14:textId="77777777" w:rsidR="00FE243A" w:rsidRPr="00FE243A" w:rsidRDefault="00FE243A" w:rsidP="00FE243A">
            <w:pPr>
              <w:pStyle w:val="TableHead"/>
              <w:rPr>
                <w:b w:val="0"/>
                <w:sz w:val="22"/>
                <w:szCs w:val="22"/>
              </w:rPr>
            </w:pPr>
            <w:r>
              <w:rPr>
                <w:rFonts w:cs="Calibri"/>
                <w:b w:val="0"/>
                <w:color w:val="000000"/>
                <w:sz w:val="22"/>
                <w:szCs w:val="22"/>
                <w:lang w:val="ga"/>
              </w:rPr>
              <w:t>Coillte</w:t>
            </w:r>
          </w:p>
        </w:tc>
        <w:tc>
          <w:tcPr>
            <w:tcW w:w="1843" w:type="dxa"/>
          </w:tcPr>
          <w:p w14:paraId="5C840906" w14:textId="5462DE96" w:rsidR="00FE243A" w:rsidRPr="00FE243A" w:rsidRDefault="00FE243A" w:rsidP="00FE243A">
            <w:pPr>
              <w:pStyle w:val="TableHead"/>
              <w:jc w:val="right"/>
              <w:rPr>
                <w:b w:val="0"/>
                <w:bCs/>
                <w:sz w:val="22"/>
                <w:szCs w:val="22"/>
              </w:rPr>
            </w:pPr>
            <w:r>
              <w:rPr>
                <w:rFonts w:cs="Calibri"/>
                <w:b w:val="0"/>
                <w:color w:val="000000"/>
                <w:sz w:val="22"/>
                <w:szCs w:val="22"/>
                <w:lang w:val="ga"/>
              </w:rPr>
              <w:t>444</w:t>
            </w:r>
          </w:p>
        </w:tc>
        <w:tc>
          <w:tcPr>
            <w:tcW w:w="1559" w:type="dxa"/>
          </w:tcPr>
          <w:p w14:paraId="505B0445" w14:textId="0ECB4E20" w:rsidR="00FE243A" w:rsidRPr="00FE243A" w:rsidRDefault="00FE243A" w:rsidP="00FE243A">
            <w:pPr>
              <w:pStyle w:val="TableHead"/>
              <w:jc w:val="right"/>
              <w:rPr>
                <w:b w:val="0"/>
                <w:sz w:val="22"/>
                <w:szCs w:val="22"/>
              </w:rPr>
            </w:pPr>
            <w:r>
              <w:rPr>
                <w:rFonts w:cs="Calibri"/>
                <w:b w:val="0"/>
                <w:color w:val="000000"/>
                <w:sz w:val="22"/>
                <w:szCs w:val="22"/>
                <w:lang w:val="ga"/>
              </w:rPr>
              <w:t>15</w:t>
            </w:r>
          </w:p>
        </w:tc>
        <w:tc>
          <w:tcPr>
            <w:tcW w:w="1560" w:type="dxa"/>
          </w:tcPr>
          <w:p w14:paraId="4EBFA3C8" w14:textId="4EFD2E2D" w:rsidR="00FE243A" w:rsidRPr="00FE243A" w:rsidRDefault="00FE243A" w:rsidP="00FE243A">
            <w:pPr>
              <w:pStyle w:val="TableHead"/>
              <w:jc w:val="right"/>
              <w:rPr>
                <w:b w:val="0"/>
                <w:sz w:val="22"/>
                <w:szCs w:val="22"/>
              </w:rPr>
            </w:pPr>
            <w:r>
              <w:rPr>
                <w:rFonts w:cs="Calibri"/>
                <w:b w:val="0"/>
                <w:color w:val="000000"/>
                <w:sz w:val="22"/>
                <w:szCs w:val="22"/>
                <w:lang w:val="ga"/>
              </w:rPr>
              <w:t>3.4%</w:t>
            </w:r>
          </w:p>
        </w:tc>
        <w:tc>
          <w:tcPr>
            <w:tcW w:w="1275" w:type="dxa"/>
          </w:tcPr>
          <w:p w14:paraId="681AD275" w14:textId="77777777" w:rsidR="00FE243A" w:rsidRDefault="00FE243A" w:rsidP="00FE243A">
            <w:pPr>
              <w:spacing w:after="0"/>
              <w:jc w:val="right"/>
              <w:rPr>
                <w:rFonts w:cs="Calibri"/>
                <w:color w:val="000000"/>
                <w:sz w:val="22"/>
                <w:szCs w:val="22"/>
              </w:rPr>
            </w:pPr>
            <w:r>
              <w:rPr>
                <w:rFonts w:cs="Calibri"/>
                <w:color w:val="000000"/>
                <w:sz w:val="22"/>
                <w:szCs w:val="22"/>
                <w:lang w:val="ga"/>
              </w:rPr>
              <w:t>460</w:t>
            </w:r>
          </w:p>
          <w:p w14:paraId="28FB0BE5" w14:textId="69110044" w:rsidR="00FE243A" w:rsidRPr="00FE243A" w:rsidRDefault="00FE243A" w:rsidP="00FE243A">
            <w:pPr>
              <w:jc w:val="right"/>
              <w:rPr>
                <w:sz w:val="22"/>
                <w:szCs w:val="22"/>
              </w:rPr>
            </w:pPr>
          </w:p>
        </w:tc>
        <w:tc>
          <w:tcPr>
            <w:tcW w:w="1418" w:type="dxa"/>
          </w:tcPr>
          <w:p w14:paraId="6FFBB9C4" w14:textId="77777777" w:rsidR="00FE243A" w:rsidRDefault="00FE243A" w:rsidP="00FE243A">
            <w:pPr>
              <w:spacing w:after="0"/>
              <w:jc w:val="right"/>
              <w:rPr>
                <w:rFonts w:cs="Calibri"/>
                <w:color w:val="000000"/>
                <w:sz w:val="22"/>
                <w:szCs w:val="22"/>
              </w:rPr>
            </w:pPr>
            <w:r>
              <w:rPr>
                <w:rFonts w:cs="Calibri"/>
                <w:color w:val="000000"/>
                <w:sz w:val="22"/>
                <w:szCs w:val="22"/>
                <w:lang w:val="ga"/>
              </w:rPr>
              <w:t>18</w:t>
            </w:r>
          </w:p>
          <w:p w14:paraId="42041AAC" w14:textId="17B72B9E" w:rsidR="00FE243A" w:rsidRPr="00FE243A" w:rsidRDefault="00FE243A" w:rsidP="00FE243A">
            <w:pPr>
              <w:pStyle w:val="TableHead"/>
              <w:jc w:val="right"/>
              <w:rPr>
                <w:b w:val="0"/>
                <w:sz w:val="22"/>
                <w:szCs w:val="22"/>
              </w:rPr>
            </w:pPr>
          </w:p>
        </w:tc>
        <w:tc>
          <w:tcPr>
            <w:tcW w:w="1559" w:type="dxa"/>
          </w:tcPr>
          <w:p w14:paraId="0C8FD727" w14:textId="77777777" w:rsidR="00FE243A" w:rsidRDefault="00FE243A" w:rsidP="00FE243A">
            <w:pPr>
              <w:spacing w:after="0"/>
              <w:jc w:val="right"/>
              <w:rPr>
                <w:rFonts w:cs="Calibri"/>
                <w:color w:val="000000"/>
                <w:sz w:val="22"/>
                <w:szCs w:val="22"/>
              </w:rPr>
            </w:pPr>
            <w:r>
              <w:rPr>
                <w:rFonts w:cs="Calibri"/>
                <w:color w:val="000000"/>
                <w:sz w:val="22"/>
                <w:szCs w:val="22"/>
                <w:lang w:val="ga"/>
              </w:rPr>
              <w:t>3.9%</w:t>
            </w:r>
          </w:p>
          <w:p w14:paraId="32800117" w14:textId="117A3104" w:rsidR="00FE243A" w:rsidRPr="00FE243A" w:rsidRDefault="00FE243A" w:rsidP="00FE243A">
            <w:pPr>
              <w:pStyle w:val="TableHead"/>
              <w:jc w:val="right"/>
              <w:rPr>
                <w:b w:val="0"/>
                <w:sz w:val="22"/>
                <w:szCs w:val="22"/>
              </w:rPr>
            </w:pPr>
          </w:p>
        </w:tc>
      </w:tr>
      <w:tr w:rsidR="00FE243A" w:rsidRPr="00611BF3" w14:paraId="27F49A04" w14:textId="77777777" w:rsidTr="00E57050">
        <w:tc>
          <w:tcPr>
            <w:tcW w:w="2253" w:type="dxa"/>
          </w:tcPr>
          <w:p w14:paraId="41941431" w14:textId="77777777" w:rsidR="00FE243A" w:rsidRPr="00FE243A" w:rsidRDefault="00FE243A" w:rsidP="00FE243A">
            <w:pPr>
              <w:pStyle w:val="TableHead"/>
              <w:rPr>
                <w:b w:val="0"/>
                <w:sz w:val="22"/>
                <w:szCs w:val="22"/>
              </w:rPr>
            </w:pPr>
            <w:r>
              <w:rPr>
                <w:rFonts w:cs="Calibri"/>
                <w:b w:val="0"/>
                <w:color w:val="000000"/>
                <w:sz w:val="22"/>
                <w:szCs w:val="22"/>
                <w:lang w:val="ga"/>
              </w:rPr>
              <w:t>Rásaíocht Capall Éireann</w:t>
            </w:r>
          </w:p>
        </w:tc>
        <w:tc>
          <w:tcPr>
            <w:tcW w:w="1843" w:type="dxa"/>
          </w:tcPr>
          <w:p w14:paraId="68D760A8" w14:textId="763124A0" w:rsidR="00FE243A" w:rsidRPr="00FE243A" w:rsidRDefault="00FE243A" w:rsidP="00FE243A">
            <w:pPr>
              <w:pStyle w:val="TableHead"/>
              <w:jc w:val="right"/>
              <w:rPr>
                <w:b w:val="0"/>
                <w:bCs/>
                <w:sz w:val="22"/>
                <w:szCs w:val="22"/>
              </w:rPr>
            </w:pPr>
            <w:r>
              <w:rPr>
                <w:rFonts w:cs="Calibri"/>
                <w:b w:val="0"/>
                <w:color w:val="000000"/>
                <w:sz w:val="22"/>
                <w:szCs w:val="22"/>
                <w:lang w:val="ga"/>
              </w:rPr>
              <w:t>225</w:t>
            </w:r>
          </w:p>
        </w:tc>
        <w:tc>
          <w:tcPr>
            <w:tcW w:w="1559" w:type="dxa"/>
          </w:tcPr>
          <w:p w14:paraId="29A40A77" w14:textId="6F7F4F01" w:rsidR="00FE243A" w:rsidRPr="00FE243A" w:rsidRDefault="00FE243A" w:rsidP="00FE243A">
            <w:pPr>
              <w:pStyle w:val="TableHead"/>
              <w:jc w:val="right"/>
              <w:rPr>
                <w:b w:val="0"/>
                <w:sz w:val="22"/>
                <w:szCs w:val="22"/>
              </w:rPr>
            </w:pPr>
            <w:r>
              <w:rPr>
                <w:rFonts w:cs="Calibri"/>
                <w:b w:val="0"/>
                <w:color w:val="000000"/>
                <w:sz w:val="22"/>
                <w:szCs w:val="22"/>
                <w:lang w:val="ga"/>
              </w:rPr>
              <w:t>8</w:t>
            </w:r>
          </w:p>
        </w:tc>
        <w:tc>
          <w:tcPr>
            <w:tcW w:w="1560" w:type="dxa"/>
          </w:tcPr>
          <w:p w14:paraId="15322D42" w14:textId="1DC31F1E" w:rsidR="00FE243A" w:rsidRPr="00FE243A" w:rsidRDefault="00FE243A" w:rsidP="00FE243A">
            <w:pPr>
              <w:pStyle w:val="TableHead"/>
              <w:jc w:val="right"/>
              <w:rPr>
                <w:b w:val="0"/>
                <w:sz w:val="22"/>
                <w:szCs w:val="22"/>
              </w:rPr>
            </w:pPr>
            <w:r>
              <w:rPr>
                <w:rFonts w:cs="Calibri"/>
                <w:b w:val="0"/>
                <w:color w:val="000000"/>
                <w:sz w:val="22"/>
                <w:szCs w:val="22"/>
                <w:lang w:val="ga"/>
              </w:rPr>
              <w:t>3.6%</w:t>
            </w:r>
          </w:p>
        </w:tc>
        <w:tc>
          <w:tcPr>
            <w:tcW w:w="1275" w:type="dxa"/>
          </w:tcPr>
          <w:p w14:paraId="57E1F892" w14:textId="77777777" w:rsidR="00FE243A" w:rsidRDefault="00FE243A" w:rsidP="00FE243A">
            <w:pPr>
              <w:spacing w:after="0"/>
              <w:jc w:val="right"/>
              <w:rPr>
                <w:rFonts w:cs="Calibri"/>
                <w:color w:val="000000"/>
                <w:sz w:val="22"/>
                <w:szCs w:val="22"/>
              </w:rPr>
            </w:pPr>
            <w:r>
              <w:rPr>
                <w:rFonts w:cs="Calibri"/>
                <w:color w:val="000000"/>
                <w:sz w:val="22"/>
                <w:szCs w:val="22"/>
                <w:lang w:val="ga"/>
              </w:rPr>
              <w:t>209</w:t>
            </w:r>
          </w:p>
          <w:p w14:paraId="40FEEF07" w14:textId="42592812" w:rsidR="00FE243A" w:rsidRPr="00FE243A" w:rsidRDefault="00FE243A" w:rsidP="00FE243A">
            <w:pPr>
              <w:jc w:val="right"/>
              <w:rPr>
                <w:sz w:val="22"/>
                <w:szCs w:val="22"/>
              </w:rPr>
            </w:pPr>
          </w:p>
        </w:tc>
        <w:tc>
          <w:tcPr>
            <w:tcW w:w="1418" w:type="dxa"/>
          </w:tcPr>
          <w:p w14:paraId="47114E66" w14:textId="77777777" w:rsidR="00FE243A" w:rsidRDefault="00FE243A" w:rsidP="00FE243A">
            <w:pPr>
              <w:spacing w:after="0"/>
              <w:jc w:val="right"/>
              <w:rPr>
                <w:rFonts w:cs="Calibri"/>
                <w:color w:val="000000"/>
                <w:sz w:val="22"/>
                <w:szCs w:val="22"/>
              </w:rPr>
            </w:pPr>
            <w:r>
              <w:rPr>
                <w:rFonts w:cs="Calibri"/>
                <w:color w:val="000000"/>
                <w:sz w:val="22"/>
                <w:szCs w:val="22"/>
                <w:lang w:val="ga"/>
              </w:rPr>
              <w:t>8</w:t>
            </w:r>
          </w:p>
          <w:p w14:paraId="0F24C646" w14:textId="6C277FA7" w:rsidR="00FE243A" w:rsidRPr="00FE243A" w:rsidRDefault="00FE243A" w:rsidP="00FE243A">
            <w:pPr>
              <w:pStyle w:val="TableHead"/>
              <w:jc w:val="right"/>
              <w:rPr>
                <w:b w:val="0"/>
                <w:sz w:val="22"/>
                <w:szCs w:val="22"/>
              </w:rPr>
            </w:pPr>
          </w:p>
        </w:tc>
        <w:tc>
          <w:tcPr>
            <w:tcW w:w="1559" w:type="dxa"/>
          </w:tcPr>
          <w:p w14:paraId="32C0704B" w14:textId="77777777" w:rsidR="00FE243A" w:rsidRDefault="00FE243A" w:rsidP="00FE243A">
            <w:pPr>
              <w:spacing w:after="0"/>
              <w:jc w:val="right"/>
              <w:rPr>
                <w:rFonts w:cs="Calibri"/>
                <w:color w:val="000000"/>
                <w:sz w:val="22"/>
                <w:szCs w:val="22"/>
              </w:rPr>
            </w:pPr>
            <w:r>
              <w:rPr>
                <w:rFonts w:cs="Calibri"/>
                <w:color w:val="000000"/>
                <w:sz w:val="22"/>
                <w:szCs w:val="22"/>
                <w:lang w:val="ga"/>
              </w:rPr>
              <w:t>3.8%</w:t>
            </w:r>
          </w:p>
          <w:p w14:paraId="10D72008" w14:textId="4C441D5E" w:rsidR="00FE243A" w:rsidRPr="00FE243A" w:rsidRDefault="00FE243A" w:rsidP="00FE243A">
            <w:pPr>
              <w:pStyle w:val="TableHead"/>
              <w:jc w:val="right"/>
              <w:rPr>
                <w:b w:val="0"/>
                <w:sz w:val="22"/>
                <w:szCs w:val="22"/>
              </w:rPr>
            </w:pPr>
          </w:p>
        </w:tc>
      </w:tr>
      <w:tr w:rsidR="00FE243A" w:rsidRPr="00611BF3" w14:paraId="2DC169FF" w14:textId="77777777" w:rsidTr="00E57050">
        <w:tc>
          <w:tcPr>
            <w:tcW w:w="2253" w:type="dxa"/>
          </w:tcPr>
          <w:p w14:paraId="6DC54D63" w14:textId="77777777" w:rsidR="00FE243A" w:rsidRPr="00FE243A" w:rsidRDefault="00FE243A" w:rsidP="00FE243A">
            <w:pPr>
              <w:pStyle w:val="TableHead"/>
              <w:rPr>
                <w:b w:val="0"/>
                <w:sz w:val="22"/>
                <w:szCs w:val="22"/>
              </w:rPr>
            </w:pPr>
            <w:r>
              <w:rPr>
                <w:rFonts w:cs="Calibri"/>
                <w:b w:val="0"/>
                <w:color w:val="000000"/>
                <w:sz w:val="22"/>
                <w:szCs w:val="22"/>
                <w:lang w:val="ga"/>
              </w:rPr>
              <w:t>Graí Náisiúnta na hÉireann</w:t>
            </w:r>
          </w:p>
        </w:tc>
        <w:tc>
          <w:tcPr>
            <w:tcW w:w="1843" w:type="dxa"/>
          </w:tcPr>
          <w:p w14:paraId="4536C92C" w14:textId="60BFCD06" w:rsidR="00FE243A" w:rsidRPr="00FE243A" w:rsidRDefault="00FE243A" w:rsidP="00FE243A">
            <w:pPr>
              <w:pStyle w:val="TableHead"/>
              <w:jc w:val="right"/>
              <w:rPr>
                <w:b w:val="0"/>
                <w:bCs/>
                <w:sz w:val="22"/>
                <w:szCs w:val="22"/>
              </w:rPr>
            </w:pPr>
            <w:r>
              <w:rPr>
                <w:rFonts w:cs="Calibri"/>
                <w:b w:val="0"/>
                <w:color w:val="000000"/>
                <w:sz w:val="22"/>
                <w:szCs w:val="22"/>
                <w:lang w:val="ga"/>
              </w:rPr>
              <w:t>47</w:t>
            </w:r>
          </w:p>
        </w:tc>
        <w:tc>
          <w:tcPr>
            <w:tcW w:w="1559" w:type="dxa"/>
          </w:tcPr>
          <w:p w14:paraId="61D080B6" w14:textId="5BD84138" w:rsidR="00FE243A" w:rsidRPr="00FE243A" w:rsidRDefault="00FE243A" w:rsidP="00FE243A">
            <w:pPr>
              <w:pStyle w:val="TableHead"/>
              <w:jc w:val="right"/>
              <w:rPr>
                <w:b w:val="0"/>
                <w:sz w:val="22"/>
                <w:szCs w:val="22"/>
              </w:rPr>
            </w:pPr>
            <w:r>
              <w:rPr>
                <w:rFonts w:cs="Calibri"/>
                <w:b w:val="0"/>
                <w:color w:val="000000"/>
                <w:sz w:val="22"/>
                <w:szCs w:val="22"/>
                <w:lang w:val="ga"/>
              </w:rPr>
              <w:t>3</w:t>
            </w:r>
          </w:p>
        </w:tc>
        <w:tc>
          <w:tcPr>
            <w:tcW w:w="1560" w:type="dxa"/>
          </w:tcPr>
          <w:p w14:paraId="16E6BD42" w14:textId="0D243B4C" w:rsidR="00FE243A" w:rsidRPr="00FE243A" w:rsidRDefault="00FE243A" w:rsidP="00FE243A">
            <w:pPr>
              <w:pStyle w:val="TableHead"/>
              <w:jc w:val="right"/>
              <w:rPr>
                <w:b w:val="0"/>
                <w:sz w:val="22"/>
                <w:szCs w:val="22"/>
              </w:rPr>
            </w:pPr>
            <w:r>
              <w:rPr>
                <w:rFonts w:cs="Calibri"/>
                <w:b w:val="0"/>
                <w:color w:val="000000"/>
                <w:sz w:val="22"/>
                <w:szCs w:val="22"/>
                <w:lang w:val="ga"/>
              </w:rPr>
              <w:t>6.4%</w:t>
            </w:r>
          </w:p>
        </w:tc>
        <w:tc>
          <w:tcPr>
            <w:tcW w:w="1275" w:type="dxa"/>
          </w:tcPr>
          <w:p w14:paraId="1F294B46" w14:textId="77777777" w:rsidR="00FE243A" w:rsidRDefault="00FE243A" w:rsidP="00FE243A">
            <w:pPr>
              <w:spacing w:after="0"/>
              <w:jc w:val="right"/>
              <w:rPr>
                <w:rFonts w:cs="Calibri"/>
                <w:color w:val="000000"/>
                <w:sz w:val="22"/>
                <w:szCs w:val="22"/>
              </w:rPr>
            </w:pPr>
            <w:r>
              <w:rPr>
                <w:rFonts w:cs="Calibri"/>
                <w:color w:val="000000"/>
                <w:sz w:val="22"/>
                <w:szCs w:val="22"/>
                <w:lang w:val="ga"/>
              </w:rPr>
              <w:t>52</w:t>
            </w:r>
          </w:p>
          <w:p w14:paraId="2CF7391C" w14:textId="608D2A21" w:rsidR="00FE243A" w:rsidRPr="00FE243A" w:rsidRDefault="00FE243A" w:rsidP="00FE243A">
            <w:pPr>
              <w:jc w:val="right"/>
              <w:rPr>
                <w:sz w:val="22"/>
                <w:szCs w:val="22"/>
              </w:rPr>
            </w:pPr>
          </w:p>
        </w:tc>
        <w:tc>
          <w:tcPr>
            <w:tcW w:w="1418" w:type="dxa"/>
          </w:tcPr>
          <w:p w14:paraId="6284317A" w14:textId="77777777" w:rsidR="00FE243A" w:rsidRDefault="00FE243A" w:rsidP="00FE243A">
            <w:pPr>
              <w:spacing w:after="0"/>
              <w:jc w:val="right"/>
              <w:rPr>
                <w:rFonts w:cs="Calibri"/>
                <w:color w:val="000000"/>
                <w:sz w:val="22"/>
                <w:szCs w:val="22"/>
              </w:rPr>
            </w:pPr>
            <w:r>
              <w:rPr>
                <w:rFonts w:cs="Calibri"/>
                <w:color w:val="000000"/>
                <w:sz w:val="22"/>
                <w:szCs w:val="22"/>
                <w:lang w:val="ga"/>
              </w:rPr>
              <w:t>3</w:t>
            </w:r>
          </w:p>
          <w:p w14:paraId="2356C07D" w14:textId="038A0276" w:rsidR="00FE243A" w:rsidRPr="00FE243A" w:rsidRDefault="00FE243A" w:rsidP="00FE243A">
            <w:pPr>
              <w:pStyle w:val="TableHead"/>
              <w:jc w:val="right"/>
              <w:rPr>
                <w:b w:val="0"/>
                <w:sz w:val="22"/>
                <w:szCs w:val="22"/>
              </w:rPr>
            </w:pPr>
          </w:p>
        </w:tc>
        <w:tc>
          <w:tcPr>
            <w:tcW w:w="1559" w:type="dxa"/>
          </w:tcPr>
          <w:p w14:paraId="3DD5F16A" w14:textId="77777777" w:rsidR="00FE243A" w:rsidRDefault="00FE243A" w:rsidP="00FE243A">
            <w:pPr>
              <w:spacing w:after="0"/>
              <w:jc w:val="right"/>
              <w:rPr>
                <w:rFonts w:cs="Calibri"/>
                <w:color w:val="000000"/>
                <w:sz w:val="22"/>
                <w:szCs w:val="22"/>
              </w:rPr>
            </w:pPr>
            <w:r>
              <w:rPr>
                <w:rFonts w:cs="Calibri"/>
                <w:color w:val="000000"/>
                <w:sz w:val="22"/>
                <w:szCs w:val="22"/>
                <w:lang w:val="ga"/>
              </w:rPr>
              <w:t>5.8%</w:t>
            </w:r>
          </w:p>
          <w:p w14:paraId="522342AB" w14:textId="716324DC" w:rsidR="00FE243A" w:rsidRPr="00FE243A" w:rsidRDefault="00FE243A" w:rsidP="00FE243A">
            <w:pPr>
              <w:pStyle w:val="TableHead"/>
              <w:jc w:val="right"/>
              <w:rPr>
                <w:b w:val="0"/>
                <w:sz w:val="22"/>
                <w:szCs w:val="22"/>
              </w:rPr>
            </w:pPr>
          </w:p>
        </w:tc>
      </w:tr>
      <w:tr w:rsidR="00FE243A" w:rsidRPr="00611BF3" w14:paraId="60CEDF06" w14:textId="77777777" w:rsidTr="00E57050">
        <w:tc>
          <w:tcPr>
            <w:tcW w:w="2253" w:type="dxa"/>
          </w:tcPr>
          <w:p w14:paraId="700C273D" w14:textId="77777777" w:rsidR="00FE243A" w:rsidRPr="00FE243A" w:rsidRDefault="00FE243A" w:rsidP="00FE243A">
            <w:pPr>
              <w:pStyle w:val="TableHead"/>
              <w:rPr>
                <w:b w:val="0"/>
                <w:sz w:val="22"/>
                <w:szCs w:val="22"/>
              </w:rPr>
            </w:pPr>
            <w:r>
              <w:rPr>
                <w:rFonts w:cs="Calibri"/>
                <w:b w:val="0"/>
                <w:color w:val="000000"/>
                <w:sz w:val="22"/>
                <w:szCs w:val="22"/>
                <w:lang w:val="ga"/>
              </w:rPr>
              <w:t>Foras na Mara</w:t>
            </w:r>
          </w:p>
        </w:tc>
        <w:tc>
          <w:tcPr>
            <w:tcW w:w="1843" w:type="dxa"/>
          </w:tcPr>
          <w:p w14:paraId="1D4A3391" w14:textId="7E3DDDD2" w:rsidR="00FE243A" w:rsidRPr="00FE243A" w:rsidRDefault="00FE243A" w:rsidP="00FE243A">
            <w:pPr>
              <w:pStyle w:val="TableHead"/>
              <w:jc w:val="right"/>
              <w:rPr>
                <w:b w:val="0"/>
                <w:bCs/>
                <w:sz w:val="22"/>
                <w:szCs w:val="22"/>
              </w:rPr>
            </w:pPr>
            <w:r>
              <w:rPr>
                <w:rFonts w:cs="Calibri"/>
                <w:b w:val="0"/>
                <w:color w:val="000000"/>
                <w:sz w:val="22"/>
                <w:szCs w:val="22"/>
                <w:lang w:val="ga"/>
              </w:rPr>
              <w:t>237</w:t>
            </w:r>
          </w:p>
        </w:tc>
        <w:tc>
          <w:tcPr>
            <w:tcW w:w="1559" w:type="dxa"/>
          </w:tcPr>
          <w:p w14:paraId="42A90470" w14:textId="5C182AA3" w:rsidR="00FE243A" w:rsidRPr="00FE243A" w:rsidRDefault="00FE243A" w:rsidP="00FE243A">
            <w:pPr>
              <w:pStyle w:val="TableHead"/>
              <w:jc w:val="right"/>
              <w:rPr>
                <w:b w:val="0"/>
                <w:sz w:val="22"/>
                <w:szCs w:val="22"/>
              </w:rPr>
            </w:pPr>
            <w:r>
              <w:rPr>
                <w:rFonts w:cs="Calibri"/>
                <w:b w:val="0"/>
                <w:color w:val="000000"/>
                <w:sz w:val="22"/>
                <w:szCs w:val="22"/>
                <w:lang w:val="ga"/>
              </w:rPr>
              <w:t>16</w:t>
            </w:r>
          </w:p>
        </w:tc>
        <w:tc>
          <w:tcPr>
            <w:tcW w:w="1560" w:type="dxa"/>
          </w:tcPr>
          <w:p w14:paraId="691C1075" w14:textId="1D471FA4" w:rsidR="00FE243A" w:rsidRPr="00FE243A" w:rsidRDefault="00FE243A" w:rsidP="00FE243A">
            <w:pPr>
              <w:pStyle w:val="TableHead"/>
              <w:jc w:val="right"/>
              <w:rPr>
                <w:b w:val="0"/>
                <w:sz w:val="22"/>
                <w:szCs w:val="22"/>
              </w:rPr>
            </w:pPr>
            <w:r>
              <w:rPr>
                <w:rFonts w:cs="Calibri"/>
                <w:b w:val="0"/>
                <w:color w:val="000000"/>
                <w:sz w:val="22"/>
                <w:szCs w:val="22"/>
                <w:lang w:val="ga"/>
              </w:rPr>
              <w:t>6.8%</w:t>
            </w:r>
          </w:p>
        </w:tc>
        <w:tc>
          <w:tcPr>
            <w:tcW w:w="1275" w:type="dxa"/>
          </w:tcPr>
          <w:p w14:paraId="5B6B8A79" w14:textId="77777777" w:rsidR="00FE243A" w:rsidRDefault="00FE243A" w:rsidP="00FE243A">
            <w:pPr>
              <w:spacing w:after="0"/>
              <w:jc w:val="right"/>
              <w:rPr>
                <w:rFonts w:cs="Calibri"/>
                <w:color w:val="000000"/>
                <w:sz w:val="22"/>
                <w:szCs w:val="22"/>
              </w:rPr>
            </w:pPr>
            <w:r>
              <w:rPr>
                <w:rFonts w:cs="Calibri"/>
                <w:color w:val="000000"/>
                <w:sz w:val="22"/>
                <w:szCs w:val="22"/>
                <w:lang w:val="ga"/>
              </w:rPr>
              <w:t>241</w:t>
            </w:r>
          </w:p>
          <w:p w14:paraId="74B03530" w14:textId="52752EA1" w:rsidR="00FE243A" w:rsidRPr="00FE243A" w:rsidRDefault="00FE243A" w:rsidP="00FE243A">
            <w:pPr>
              <w:jc w:val="right"/>
              <w:rPr>
                <w:sz w:val="22"/>
                <w:szCs w:val="22"/>
              </w:rPr>
            </w:pPr>
          </w:p>
        </w:tc>
        <w:tc>
          <w:tcPr>
            <w:tcW w:w="1418" w:type="dxa"/>
          </w:tcPr>
          <w:p w14:paraId="4D5DE72A" w14:textId="77777777" w:rsidR="00FE243A" w:rsidRDefault="00FE243A" w:rsidP="00FE243A">
            <w:pPr>
              <w:spacing w:after="0"/>
              <w:jc w:val="right"/>
              <w:rPr>
                <w:rFonts w:cs="Calibri"/>
                <w:color w:val="000000"/>
                <w:sz w:val="22"/>
                <w:szCs w:val="22"/>
              </w:rPr>
            </w:pPr>
            <w:r>
              <w:rPr>
                <w:rFonts w:cs="Calibri"/>
                <w:color w:val="000000"/>
                <w:sz w:val="22"/>
                <w:szCs w:val="22"/>
                <w:lang w:val="ga"/>
              </w:rPr>
              <w:t>15</w:t>
            </w:r>
          </w:p>
          <w:p w14:paraId="26F566BA" w14:textId="72D0E1D9" w:rsidR="00FE243A" w:rsidRPr="00FE243A" w:rsidRDefault="00FE243A" w:rsidP="00FE243A">
            <w:pPr>
              <w:pStyle w:val="TableHead"/>
              <w:jc w:val="right"/>
              <w:rPr>
                <w:b w:val="0"/>
                <w:sz w:val="22"/>
                <w:szCs w:val="22"/>
              </w:rPr>
            </w:pPr>
          </w:p>
        </w:tc>
        <w:tc>
          <w:tcPr>
            <w:tcW w:w="1559" w:type="dxa"/>
          </w:tcPr>
          <w:p w14:paraId="1EC95FF5" w14:textId="77777777" w:rsidR="00FE243A" w:rsidRDefault="00FE243A" w:rsidP="00FE243A">
            <w:pPr>
              <w:spacing w:after="0"/>
              <w:jc w:val="right"/>
              <w:rPr>
                <w:rFonts w:cs="Calibri"/>
                <w:color w:val="000000"/>
                <w:sz w:val="22"/>
                <w:szCs w:val="22"/>
              </w:rPr>
            </w:pPr>
            <w:r>
              <w:rPr>
                <w:rFonts w:cs="Calibri"/>
                <w:color w:val="000000"/>
                <w:sz w:val="22"/>
                <w:szCs w:val="22"/>
                <w:lang w:val="ga"/>
              </w:rPr>
              <w:t>6.2%</w:t>
            </w:r>
          </w:p>
          <w:p w14:paraId="2F72C3D0" w14:textId="229615D9" w:rsidR="00FE243A" w:rsidRPr="00FE243A" w:rsidRDefault="00FE243A" w:rsidP="00FE243A">
            <w:pPr>
              <w:pStyle w:val="TableHead"/>
              <w:jc w:val="right"/>
              <w:rPr>
                <w:b w:val="0"/>
                <w:sz w:val="22"/>
                <w:szCs w:val="22"/>
              </w:rPr>
            </w:pPr>
          </w:p>
        </w:tc>
      </w:tr>
      <w:tr w:rsidR="00FE243A" w:rsidRPr="00611BF3" w14:paraId="479CB420" w14:textId="77777777" w:rsidTr="00E57050">
        <w:tc>
          <w:tcPr>
            <w:tcW w:w="2253" w:type="dxa"/>
          </w:tcPr>
          <w:p w14:paraId="7B4EC88F" w14:textId="77777777" w:rsidR="00FE243A" w:rsidRPr="00FE243A" w:rsidRDefault="00FE243A" w:rsidP="00FE243A">
            <w:pPr>
              <w:pStyle w:val="TableHead"/>
              <w:rPr>
                <w:b w:val="0"/>
                <w:sz w:val="22"/>
                <w:szCs w:val="22"/>
              </w:rPr>
            </w:pPr>
            <w:r>
              <w:rPr>
                <w:rFonts w:cs="Calibri"/>
                <w:b w:val="0"/>
                <w:color w:val="000000"/>
                <w:sz w:val="22"/>
                <w:szCs w:val="22"/>
                <w:lang w:val="ga"/>
              </w:rPr>
              <w:t>An Ghníomhaireacht Náisiúnta Bainne</w:t>
            </w:r>
          </w:p>
        </w:tc>
        <w:tc>
          <w:tcPr>
            <w:tcW w:w="1843" w:type="dxa"/>
          </w:tcPr>
          <w:p w14:paraId="18711EEC" w14:textId="409F3E49" w:rsidR="00FE243A" w:rsidRPr="00FE243A" w:rsidRDefault="00FE243A" w:rsidP="00FE243A">
            <w:pPr>
              <w:pStyle w:val="TableHead"/>
              <w:jc w:val="right"/>
              <w:rPr>
                <w:b w:val="0"/>
                <w:bCs/>
                <w:sz w:val="22"/>
                <w:szCs w:val="22"/>
              </w:rPr>
            </w:pPr>
            <w:r>
              <w:rPr>
                <w:rFonts w:cs="Calibri"/>
                <w:b w:val="0"/>
                <w:color w:val="000000"/>
                <w:sz w:val="22"/>
                <w:szCs w:val="22"/>
                <w:lang w:val="ga"/>
              </w:rPr>
              <w:t>5</w:t>
            </w:r>
          </w:p>
        </w:tc>
        <w:tc>
          <w:tcPr>
            <w:tcW w:w="1559" w:type="dxa"/>
          </w:tcPr>
          <w:p w14:paraId="46BBF8B5" w14:textId="7DDF1B94" w:rsidR="00FE243A" w:rsidRPr="00FE243A" w:rsidRDefault="00FE243A" w:rsidP="00FE243A">
            <w:pPr>
              <w:pStyle w:val="TableHead"/>
              <w:jc w:val="right"/>
              <w:rPr>
                <w:b w:val="0"/>
                <w:sz w:val="22"/>
                <w:szCs w:val="22"/>
              </w:rPr>
            </w:pPr>
            <w:r>
              <w:rPr>
                <w:rFonts w:cs="Calibri"/>
                <w:b w:val="0"/>
                <w:color w:val="000000"/>
                <w:sz w:val="22"/>
                <w:szCs w:val="22"/>
                <w:lang w:val="ga"/>
              </w:rPr>
              <w:t>0</w:t>
            </w:r>
          </w:p>
        </w:tc>
        <w:tc>
          <w:tcPr>
            <w:tcW w:w="1560" w:type="dxa"/>
          </w:tcPr>
          <w:p w14:paraId="344121B4" w14:textId="1FDB2CE4" w:rsidR="00FE243A" w:rsidRPr="00FE243A" w:rsidRDefault="00FE243A" w:rsidP="00FE243A">
            <w:pPr>
              <w:pStyle w:val="TableHead"/>
              <w:jc w:val="right"/>
              <w:rPr>
                <w:b w:val="0"/>
                <w:sz w:val="22"/>
                <w:szCs w:val="22"/>
              </w:rPr>
            </w:pPr>
            <w:r>
              <w:rPr>
                <w:rFonts w:cs="Calibri"/>
                <w:b w:val="0"/>
                <w:color w:val="000000"/>
                <w:sz w:val="22"/>
                <w:szCs w:val="22"/>
                <w:lang w:val="ga"/>
              </w:rPr>
              <w:t>0.0%</w:t>
            </w:r>
          </w:p>
        </w:tc>
        <w:tc>
          <w:tcPr>
            <w:tcW w:w="1275" w:type="dxa"/>
          </w:tcPr>
          <w:p w14:paraId="3F2393F7" w14:textId="77777777" w:rsidR="00FE243A" w:rsidRDefault="00FE243A" w:rsidP="00FE243A">
            <w:pPr>
              <w:spacing w:after="0"/>
              <w:jc w:val="right"/>
              <w:rPr>
                <w:rFonts w:cs="Calibri"/>
                <w:color w:val="000000"/>
                <w:sz w:val="22"/>
                <w:szCs w:val="22"/>
              </w:rPr>
            </w:pPr>
            <w:r>
              <w:rPr>
                <w:rFonts w:cs="Calibri"/>
                <w:color w:val="000000"/>
                <w:sz w:val="22"/>
                <w:szCs w:val="22"/>
                <w:lang w:val="ga"/>
              </w:rPr>
              <w:t>5</w:t>
            </w:r>
          </w:p>
          <w:p w14:paraId="41B6CA16" w14:textId="1144696A" w:rsidR="00FE243A" w:rsidRPr="00FE243A" w:rsidRDefault="00FE243A" w:rsidP="00FE243A">
            <w:pPr>
              <w:jc w:val="right"/>
              <w:rPr>
                <w:sz w:val="22"/>
                <w:szCs w:val="22"/>
              </w:rPr>
            </w:pPr>
          </w:p>
        </w:tc>
        <w:tc>
          <w:tcPr>
            <w:tcW w:w="1418" w:type="dxa"/>
          </w:tcPr>
          <w:p w14:paraId="0985E7B8" w14:textId="77777777" w:rsidR="00FE243A" w:rsidRDefault="00FE243A" w:rsidP="00FE243A">
            <w:pPr>
              <w:spacing w:after="0"/>
              <w:jc w:val="right"/>
              <w:rPr>
                <w:rFonts w:cs="Calibri"/>
                <w:color w:val="000000"/>
                <w:sz w:val="22"/>
                <w:szCs w:val="22"/>
              </w:rPr>
            </w:pPr>
            <w:r>
              <w:rPr>
                <w:rFonts w:cs="Calibri"/>
                <w:color w:val="000000"/>
                <w:sz w:val="22"/>
                <w:szCs w:val="22"/>
                <w:lang w:val="ga"/>
              </w:rPr>
              <w:t>0</w:t>
            </w:r>
          </w:p>
          <w:p w14:paraId="1C7383B6" w14:textId="061FE943" w:rsidR="00FE243A" w:rsidRPr="00FE243A" w:rsidRDefault="00FE243A" w:rsidP="00FE243A">
            <w:pPr>
              <w:pStyle w:val="TableHead"/>
              <w:jc w:val="right"/>
              <w:rPr>
                <w:b w:val="0"/>
                <w:sz w:val="22"/>
                <w:szCs w:val="22"/>
              </w:rPr>
            </w:pPr>
          </w:p>
        </w:tc>
        <w:tc>
          <w:tcPr>
            <w:tcW w:w="1559" w:type="dxa"/>
          </w:tcPr>
          <w:p w14:paraId="0982D455" w14:textId="77777777" w:rsidR="00FE243A" w:rsidRDefault="00FE243A" w:rsidP="00FE243A">
            <w:pPr>
              <w:spacing w:after="0"/>
              <w:jc w:val="right"/>
              <w:rPr>
                <w:rFonts w:cs="Calibri"/>
                <w:color w:val="000000"/>
                <w:sz w:val="22"/>
                <w:szCs w:val="22"/>
              </w:rPr>
            </w:pPr>
            <w:r>
              <w:rPr>
                <w:rFonts w:cs="Calibri"/>
                <w:color w:val="000000"/>
                <w:sz w:val="22"/>
                <w:szCs w:val="22"/>
                <w:lang w:val="ga"/>
              </w:rPr>
              <w:t>0.0%</w:t>
            </w:r>
          </w:p>
          <w:p w14:paraId="1690AF2B" w14:textId="748AA66F" w:rsidR="00FE243A" w:rsidRPr="00FE243A" w:rsidRDefault="00FE243A" w:rsidP="00FE243A">
            <w:pPr>
              <w:pStyle w:val="TableHead"/>
              <w:jc w:val="right"/>
              <w:rPr>
                <w:b w:val="0"/>
                <w:sz w:val="22"/>
                <w:szCs w:val="22"/>
              </w:rPr>
            </w:pPr>
          </w:p>
        </w:tc>
      </w:tr>
      <w:tr w:rsidR="00FE243A" w:rsidRPr="00611BF3" w14:paraId="2F6510DD" w14:textId="77777777" w:rsidTr="00E57050">
        <w:tc>
          <w:tcPr>
            <w:tcW w:w="2253" w:type="dxa"/>
          </w:tcPr>
          <w:p w14:paraId="61B70F9B" w14:textId="77777777" w:rsidR="00FE243A" w:rsidRPr="00FE243A" w:rsidRDefault="00FE243A" w:rsidP="00FE243A">
            <w:pPr>
              <w:pStyle w:val="TableHead"/>
              <w:rPr>
                <w:b w:val="0"/>
                <w:sz w:val="22"/>
                <w:szCs w:val="22"/>
              </w:rPr>
            </w:pPr>
            <w:r>
              <w:rPr>
                <w:rFonts w:cs="Calibri"/>
                <w:b w:val="0"/>
                <w:color w:val="000000"/>
                <w:sz w:val="22"/>
                <w:szCs w:val="22"/>
                <w:lang w:val="ga"/>
              </w:rPr>
              <w:t xml:space="preserve">Rásaíocht Con Éireann </w:t>
            </w:r>
          </w:p>
        </w:tc>
        <w:tc>
          <w:tcPr>
            <w:tcW w:w="1843" w:type="dxa"/>
          </w:tcPr>
          <w:p w14:paraId="46DEA14C" w14:textId="078EED5E" w:rsidR="00FE243A" w:rsidRPr="00FE243A" w:rsidRDefault="00FE243A" w:rsidP="00FE243A">
            <w:pPr>
              <w:pStyle w:val="TableHead"/>
              <w:jc w:val="right"/>
              <w:rPr>
                <w:rFonts w:cs="Arial"/>
                <w:b w:val="0"/>
                <w:bCs/>
                <w:sz w:val="22"/>
                <w:szCs w:val="22"/>
              </w:rPr>
            </w:pPr>
            <w:r>
              <w:rPr>
                <w:rFonts w:cs="Calibri"/>
                <w:b w:val="0"/>
                <w:color w:val="000000"/>
                <w:sz w:val="22"/>
                <w:szCs w:val="22"/>
                <w:lang w:val="ga"/>
              </w:rPr>
              <w:t>560</w:t>
            </w:r>
          </w:p>
        </w:tc>
        <w:tc>
          <w:tcPr>
            <w:tcW w:w="1559" w:type="dxa"/>
          </w:tcPr>
          <w:p w14:paraId="65DEC157" w14:textId="6115B894" w:rsidR="00FE243A" w:rsidRPr="00FE243A" w:rsidRDefault="00FE243A" w:rsidP="00FE243A">
            <w:pPr>
              <w:pStyle w:val="TableHead"/>
              <w:jc w:val="right"/>
              <w:rPr>
                <w:rFonts w:cs="Arial"/>
                <w:b w:val="0"/>
                <w:sz w:val="22"/>
                <w:szCs w:val="22"/>
              </w:rPr>
            </w:pPr>
            <w:r>
              <w:rPr>
                <w:rFonts w:cs="Calibri"/>
                <w:b w:val="0"/>
                <w:color w:val="000000"/>
                <w:sz w:val="22"/>
                <w:szCs w:val="22"/>
                <w:lang w:val="ga"/>
              </w:rPr>
              <w:t>19</w:t>
            </w:r>
          </w:p>
        </w:tc>
        <w:tc>
          <w:tcPr>
            <w:tcW w:w="1560" w:type="dxa"/>
          </w:tcPr>
          <w:p w14:paraId="2DAC138D" w14:textId="17318DAC" w:rsidR="00FE243A" w:rsidRPr="00FE243A" w:rsidRDefault="00FE243A" w:rsidP="00FE243A">
            <w:pPr>
              <w:pStyle w:val="TableHead"/>
              <w:jc w:val="right"/>
              <w:rPr>
                <w:rFonts w:cs="Arial"/>
                <w:b w:val="0"/>
                <w:sz w:val="22"/>
                <w:szCs w:val="22"/>
              </w:rPr>
            </w:pPr>
            <w:r>
              <w:rPr>
                <w:rFonts w:cs="Calibri"/>
                <w:b w:val="0"/>
                <w:color w:val="000000"/>
                <w:sz w:val="22"/>
                <w:szCs w:val="22"/>
                <w:lang w:val="ga"/>
              </w:rPr>
              <w:t>3.4%</w:t>
            </w:r>
          </w:p>
        </w:tc>
        <w:tc>
          <w:tcPr>
            <w:tcW w:w="1275" w:type="dxa"/>
          </w:tcPr>
          <w:p w14:paraId="0DD42389" w14:textId="77777777" w:rsidR="00FE243A" w:rsidRDefault="00FE243A" w:rsidP="00FE243A">
            <w:pPr>
              <w:spacing w:after="0"/>
              <w:jc w:val="right"/>
              <w:rPr>
                <w:rFonts w:cs="Calibri"/>
                <w:color w:val="000000"/>
                <w:sz w:val="22"/>
                <w:szCs w:val="22"/>
              </w:rPr>
            </w:pPr>
            <w:r>
              <w:rPr>
                <w:rFonts w:cs="Calibri"/>
                <w:color w:val="000000"/>
                <w:sz w:val="22"/>
                <w:szCs w:val="22"/>
                <w:lang w:val="ga"/>
              </w:rPr>
              <w:t>164</w:t>
            </w:r>
          </w:p>
          <w:p w14:paraId="3D76E61C" w14:textId="7A350386" w:rsidR="00FE243A" w:rsidRPr="00FE243A" w:rsidRDefault="00FE243A" w:rsidP="00FE243A">
            <w:pPr>
              <w:jc w:val="right"/>
              <w:rPr>
                <w:sz w:val="22"/>
                <w:szCs w:val="22"/>
              </w:rPr>
            </w:pPr>
          </w:p>
        </w:tc>
        <w:tc>
          <w:tcPr>
            <w:tcW w:w="1418" w:type="dxa"/>
          </w:tcPr>
          <w:p w14:paraId="53B55E2B" w14:textId="77777777" w:rsidR="00FE243A" w:rsidRDefault="00FE243A" w:rsidP="00FE243A">
            <w:pPr>
              <w:spacing w:after="0"/>
              <w:jc w:val="right"/>
              <w:rPr>
                <w:rFonts w:cs="Calibri"/>
                <w:color w:val="000000"/>
                <w:sz w:val="22"/>
                <w:szCs w:val="22"/>
              </w:rPr>
            </w:pPr>
            <w:r>
              <w:rPr>
                <w:rFonts w:cs="Calibri"/>
                <w:color w:val="000000"/>
                <w:sz w:val="22"/>
                <w:szCs w:val="22"/>
                <w:lang w:val="ga"/>
              </w:rPr>
              <w:t>11</w:t>
            </w:r>
          </w:p>
          <w:p w14:paraId="15668A81" w14:textId="189DD65A" w:rsidR="00FE243A" w:rsidRPr="00FE243A" w:rsidRDefault="00FE243A" w:rsidP="00FE243A">
            <w:pPr>
              <w:pStyle w:val="TableHead"/>
              <w:jc w:val="right"/>
              <w:rPr>
                <w:rFonts w:cs="Calibri"/>
                <w:b w:val="0"/>
                <w:color w:val="000000"/>
                <w:sz w:val="22"/>
                <w:szCs w:val="22"/>
              </w:rPr>
            </w:pPr>
          </w:p>
        </w:tc>
        <w:tc>
          <w:tcPr>
            <w:tcW w:w="1559" w:type="dxa"/>
          </w:tcPr>
          <w:p w14:paraId="6747565E" w14:textId="77777777" w:rsidR="00FE243A" w:rsidRDefault="00FE243A" w:rsidP="00FE243A">
            <w:pPr>
              <w:spacing w:after="0"/>
              <w:jc w:val="right"/>
              <w:rPr>
                <w:rFonts w:cs="Calibri"/>
                <w:color w:val="000000"/>
                <w:sz w:val="22"/>
                <w:szCs w:val="22"/>
              </w:rPr>
            </w:pPr>
            <w:r>
              <w:rPr>
                <w:rFonts w:cs="Calibri"/>
                <w:color w:val="000000"/>
                <w:sz w:val="22"/>
                <w:szCs w:val="22"/>
                <w:lang w:val="ga"/>
              </w:rPr>
              <w:t>6.7%</w:t>
            </w:r>
          </w:p>
          <w:p w14:paraId="19DC3189" w14:textId="088CB238" w:rsidR="00FE243A" w:rsidRPr="00FE243A" w:rsidRDefault="00FE243A" w:rsidP="00FE243A">
            <w:pPr>
              <w:pStyle w:val="TableHead"/>
              <w:jc w:val="right"/>
              <w:rPr>
                <w:b w:val="0"/>
                <w:sz w:val="22"/>
                <w:szCs w:val="22"/>
              </w:rPr>
            </w:pPr>
          </w:p>
        </w:tc>
      </w:tr>
      <w:tr w:rsidR="00FE243A" w:rsidRPr="00611BF3" w14:paraId="76376F7F" w14:textId="77777777" w:rsidTr="00E57050">
        <w:tc>
          <w:tcPr>
            <w:tcW w:w="2253" w:type="dxa"/>
          </w:tcPr>
          <w:p w14:paraId="5344BBAF" w14:textId="77777777" w:rsidR="00FE243A" w:rsidRPr="00FE243A" w:rsidRDefault="00FE243A" w:rsidP="00FE243A">
            <w:pPr>
              <w:pStyle w:val="TableHead"/>
              <w:spacing w:after="240"/>
              <w:rPr>
                <w:b w:val="0"/>
                <w:sz w:val="22"/>
                <w:szCs w:val="22"/>
              </w:rPr>
            </w:pPr>
            <w:r>
              <w:rPr>
                <w:rFonts w:cs="Calibri"/>
                <w:b w:val="0"/>
                <w:color w:val="000000"/>
                <w:sz w:val="22"/>
                <w:szCs w:val="22"/>
                <w:lang w:val="ga"/>
              </w:rPr>
              <w:t>An tÚdarás um Chosaint Iascaigh Mhara</w:t>
            </w:r>
          </w:p>
        </w:tc>
        <w:tc>
          <w:tcPr>
            <w:tcW w:w="1843" w:type="dxa"/>
          </w:tcPr>
          <w:p w14:paraId="0EE11AC5" w14:textId="3784A7AA" w:rsidR="00FE243A" w:rsidRPr="00FE243A" w:rsidRDefault="00FE243A" w:rsidP="00FE243A">
            <w:pPr>
              <w:pStyle w:val="TableHead"/>
              <w:jc w:val="right"/>
              <w:rPr>
                <w:b w:val="0"/>
                <w:bCs/>
                <w:sz w:val="22"/>
                <w:szCs w:val="22"/>
              </w:rPr>
            </w:pPr>
            <w:r>
              <w:rPr>
                <w:rFonts w:cs="Calibri"/>
                <w:b w:val="0"/>
                <w:color w:val="000000"/>
                <w:sz w:val="22"/>
                <w:szCs w:val="22"/>
                <w:lang w:val="ga"/>
              </w:rPr>
              <w:t>170</w:t>
            </w:r>
          </w:p>
        </w:tc>
        <w:tc>
          <w:tcPr>
            <w:tcW w:w="1559" w:type="dxa"/>
          </w:tcPr>
          <w:p w14:paraId="6CCCA425" w14:textId="37A72E22" w:rsidR="00FE243A" w:rsidRPr="00FE243A" w:rsidRDefault="00FE243A" w:rsidP="00FE243A">
            <w:pPr>
              <w:pStyle w:val="TableHead"/>
              <w:jc w:val="right"/>
              <w:rPr>
                <w:b w:val="0"/>
                <w:sz w:val="22"/>
                <w:szCs w:val="22"/>
              </w:rPr>
            </w:pPr>
            <w:r>
              <w:rPr>
                <w:rFonts w:cs="Calibri"/>
                <w:b w:val="0"/>
                <w:color w:val="000000"/>
                <w:sz w:val="22"/>
                <w:szCs w:val="22"/>
                <w:lang w:val="ga"/>
              </w:rPr>
              <w:t>11</w:t>
            </w:r>
          </w:p>
        </w:tc>
        <w:tc>
          <w:tcPr>
            <w:tcW w:w="1560" w:type="dxa"/>
          </w:tcPr>
          <w:p w14:paraId="01C22292" w14:textId="304CC90F" w:rsidR="00FE243A" w:rsidRPr="00FE243A" w:rsidRDefault="00FE243A" w:rsidP="00FE243A">
            <w:pPr>
              <w:pStyle w:val="TableHead"/>
              <w:jc w:val="right"/>
              <w:rPr>
                <w:b w:val="0"/>
                <w:sz w:val="22"/>
                <w:szCs w:val="22"/>
              </w:rPr>
            </w:pPr>
            <w:r>
              <w:rPr>
                <w:rFonts w:cs="Calibri"/>
                <w:b w:val="0"/>
                <w:color w:val="000000"/>
                <w:sz w:val="22"/>
                <w:szCs w:val="22"/>
                <w:lang w:val="ga"/>
              </w:rPr>
              <w:t>6.5%</w:t>
            </w:r>
          </w:p>
        </w:tc>
        <w:tc>
          <w:tcPr>
            <w:tcW w:w="1275" w:type="dxa"/>
          </w:tcPr>
          <w:p w14:paraId="6D89DDF0" w14:textId="77777777" w:rsidR="00FE243A" w:rsidRDefault="00FE243A" w:rsidP="00FE243A">
            <w:pPr>
              <w:spacing w:after="0"/>
              <w:jc w:val="right"/>
              <w:rPr>
                <w:rFonts w:cs="Calibri"/>
                <w:color w:val="000000"/>
                <w:sz w:val="22"/>
                <w:szCs w:val="22"/>
              </w:rPr>
            </w:pPr>
            <w:r>
              <w:rPr>
                <w:rFonts w:cs="Calibri"/>
                <w:color w:val="000000"/>
                <w:sz w:val="22"/>
                <w:szCs w:val="22"/>
                <w:lang w:val="ga"/>
              </w:rPr>
              <w:t>173</w:t>
            </w:r>
          </w:p>
          <w:p w14:paraId="0FB4E9B9" w14:textId="1D846C1F" w:rsidR="00FE243A" w:rsidRPr="00FE243A" w:rsidRDefault="00FE243A" w:rsidP="00FE243A">
            <w:pPr>
              <w:jc w:val="right"/>
              <w:rPr>
                <w:sz w:val="22"/>
                <w:szCs w:val="22"/>
              </w:rPr>
            </w:pPr>
          </w:p>
        </w:tc>
        <w:tc>
          <w:tcPr>
            <w:tcW w:w="1418" w:type="dxa"/>
          </w:tcPr>
          <w:p w14:paraId="67356987" w14:textId="77777777" w:rsidR="00FE243A" w:rsidRDefault="00FE243A" w:rsidP="00FE243A">
            <w:pPr>
              <w:spacing w:after="0"/>
              <w:jc w:val="right"/>
              <w:rPr>
                <w:rFonts w:cs="Calibri"/>
                <w:color w:val="000000"/>
                <w:sz w:val="22"/>
                <w:szCs w:val="22"/>
              </w:rPr>
            </w:pPr>
            <w:r>
              <w:rPr>
                <w:rFonts w:cs="Calibri"/>
                <w:color w:val="000000"/>
                <w:sz w:val="22"/>
                <w:szCs w:val="22"/>
                <w:lang w:val="ga"/>
              </w:rPr>
              <w:t>11</w:t>
            </w:r>
          </w:p>
          <w:p w14:paraId="2A7717E8" w14:textId="3071EC56" w:rsidR="00FE243A" w:rsidRPr="00FE243A" w:rsidRDefault="00FE243A" w:rsidP="00FE243A">
            <w:pPr>
              <w:pStyle w:val="TableHead"/>
              <w:jc w:val="right"/>
              <w:rPr>
                <w:b w:val="0"/>
                <w:sz w:val="22"/>
                <w:szCs w:val="22"/>
              </w:rPr>
            </w:pPr>
          </w:p>
        </w:tc>
        <w:tc>
          <w:tcPr>
            <w:tcW w:w="1559" w:type="dxa"/>
          </w:tcPr>
          <w:p w14:paraId="07BEA8D0" w14:textId="77777777" w:rsidR="00FE243A" w:rsidRDefault="00FE243A" w:rsidP="00FE243A">
            <w:pPr>
              <w:spacing w:after="0"/>
              <w:jc w:val="right"/>
              <w:rPr>
                <w:rFonts w:cs="Calibri"/>
                <w:color w:val="000000"/>
                <w:sz w:val="22"/>
                <w:szCs w:val="22"/>
              </w:rPr>
            </w:pPr>
            <w:r>
              <w:rPr>
                <w:rFonts w:cs="Calibri"/>
                <w:color w:val="000000"/>
                <w:sz w:val="22"/>
                <w:szCs w:val="22"/>
                <w:lang w:val="ga"/>
              </w:rPr>
              <w:t>6.4%</w:t>
            </w:r>
          </w:p>
          <w:p w14:paraId="35DCE484" w14:textId="5ED51ACC" w:rsidR="00FE243A" w:rsidRPr="00FE243A" w:rsidRDefault="00FE243A" w:rsidP="00FE243A">
            <w:pPr>
              <w:pStyle w:val="TableHead"/>
              <w:jc w:val="right"/>
              <w:rPr>
                <w:b w:val="0"/>
                <w:sz w:val="22"/>
                <w:szCs w:val="22"/>
              </w:rPr>
            </w:pPr>
          </w:p>
        </w:tc>
      </w:tr>
      <w:tr w:rsidR="00FE243A" w:rsidRPr="00611BF3" w14:paraId="15DC8A97" w14:textId="77777777" w:rsidTr="00E57050">
        <w:tc>
          <w:tcPr>
            <w:tcW w:w="2253" w:type="dxa"/>
          </w:tcPr>
          <w:p w14:paraId="47BD4948" w14:textId="77777777" w:rsidR="00FE243A" w:rsidRPr="00FE243A" w:rsidRDefault="00FE243A" w:rsidP="00FE243A">
            <w:pPr>
              <w:pStyle w:val="TableHead"/>
              <w:rPr>
                <w:b w:val="0"/>
                <w:sz w:val="22"/>
                <w:szCs w:val="22"/>
              </w:rPr>
            </w:pPr>
            <w:r>
              <w:rPr>
                <w:rFonts w:cs="Calibri"/>
                <w:b w:val="0"/>
                <w:color w:val="000000"/>
                <w:sz w:val="22"/>
                <w:szCs w:val="22"/>
                <w:lang w:val="ga"/>
              </w:rPr>
              <w:t xml:space="preserve">Teagasc </w:t>
            </w:r>
          </w:p>
        </w:tc>
        <w:tc>
          <w:tcPr>
            <w:tcW w:w="1843" w:type="dxa"/>
          </w:tcPr>
          <w:p w14:paraId="43B12998" w14:textId="4797A7F8" w:rsidR="00FE243A" w:rsidRPr="00FE243A" w:rsidRDefault="00FE243A" w:rsidP="00FE243A">
            <w:pPr>
              <w:pStyle w:val="TableHead"/>
              <w:jc w:val="right"/>
              <w:rPr>
                <w:b w:val="0"/>
                <w:bCs/>
                <w:sz w:val="22"/>
                <w:szCs w:val="22"/>
              </w:rPr>
            </w:pPr>
            <w:r>
              <w:rPr>
                <w:rFonts w:cs="Calibri"/>
                <w:b w:val="0"/>
                <w:color w:val="000000"/>
                <w:sz w:val="22"/>
                <w:szCs w:val="22"/>
                <w:lang w:val="ga"/>
              </w:rPr>
              <w:t>1,387</w:t>
            </w:r>
          </w:p>
        </w:tc>
        <w:tc>
          <w:tcPr>
            <w:tcW w:w="1559" w:type="dxa"/>
          </w:tcPr>
          <w:p w14:paraId="7E958F45" w14:textId="0A094522" w:rsidR="00FE243A" w:rsidRPr="00FE243A" w:rsidRDefault="00FE243A" w:rsidP="00FE243A">
            <w:pPr>
              <w:pStyle w:val="TableHead"/>
              <w:jc w:val="right"/>
              <w:rPr>
                <w:b w:val="0"/>
                <w:sz w:val="22"/>
                <w:szCs w:val="22"/>
              </w:rPr>
            </w:pPr>
            <w:r>
              <w:rPr>
                <w:rFonts w:cs="Calibri"/>
                <w:b w:val="0"/>
                <w:color w:val="000000"/>
                <w:sz w:val="22"/>
                <w:szCs w:val="22"/>
                <w:lang w:val="ga"/>
              </w:rPr>
              <w:t>53</w:t>
            </w:r>
          </w:p>
        </w:tc>
        <w:tc>
          <w:tcPr>
            <w:tcW w:w="1560" w:type="dxa"/>
          </w:tcPr>
          <w:p w14:paraId="4AA64F37" w14:textId="41BF25A2" w:rsidR="00FE243A" w:rsidRPr="00FE243A" w:rsidRDefault="00FE243A" w:rsidP="00FE243A">
            <w:pPr>
              <w:pStyle w:val="TableHead"/>
              <w:jc w:val="right"/>
              <w:rPr>
                <w:b w:val="0"/>
                <w:sz w:val="22"/>
                <w:szCs w:val="22"/>
              </w:rPr>
            </w:pPr>
            <w:r>
              <w:rPr>
                <w:rFonts w:cs="Calibri"/>
                <w:b w:val="0"/>
                <w:color w:val="000000"/>
                <w:sz w:val="22"/>
                <w:szCs w:val="22"/>
                <w:lang w:val="ga"/>
              </w:rPr>
              <w:t>3.8%</w:t>
            </w:r>
          </w:p>
        </w:tc>
        <w:tc>
          <w:tcPr>
            <w:tcW w:w="1275" w:type="dxa"/>
          </w:tcPr>
          <w:p w14:paraId="625EB72A" w14:textId="77886F49" w:rsidR="00FE243A" w:rsidRDefault="00FE243A" w:rsidP="00FE243A">
            <w:pPr>
              <w:spacing w:after="0"/>
              <w:jc w:val="right"/>
              <w:rPr>
                <w:rFonts w:cs="Calibri"/>
                <w:color w:val="000000"/>
                <w:sz w:val="22"/>
                <w:szCs w:val="22"/>
              </w:rPr>
            </w:pPr>
            <w:r>
              <w:rPr>
                <w:rFonts w:cs="Calibri"/>
                <w:color w:val="000000"/>
                <w:sz w:val="22"/>
                <w:szCs w:val="22"/>
                <w:lang w:val="ga"/>
              </w:rPr>
              <w:t>1,436</w:t>
            </w:r>
          </w:p>
          <w:p w14:paraId="6939C247" w14:textId="7618CDEE" w:rsidR="00FE243A" w:rsidRPr="00FE243A" w:rsidRDefault="00FE243A" w:rsidP="00FE243A">
            <w:pPr>
              <w:jc w:val="right"/>
              <w:rPr>
                <w:sz w:val="22"/>
                <w:szCs w:val="22"/>
              </w:rPr>
            </w:pPr>
          </w:p>
        </w:tc>
        <w:tc>
          <w:tcPr>
            <w:tcW w:w="1418" w:type="dxa"/>
          </w:tcPr>
          <w:p w14:paraId="21C64807" w14:textId="77777777" w:rsidR="00FE243A" w:rsidRDefault="00FE243A" w:rsidP="00FE243A">
            <w:pPr>
              <w:spacing w:after="0"/>
              <w:jc w:val="right"/>
              <w:rPr>
                <w:rFonts w:cs="Calibri"/>
                <w:color w:val="000000"/>
                <w:sz w:val="22"/>
                <w:szCs w:val="22"/>
              </w:rPr>
            </w:pPr>
            <w:r>
              <w:rPr>
                <w:rFonts w:cs="Calibri"/>
                <w:color w:val="000000"/>
                <w:sz w:val="22"/>
                <w:szCs w:val="22"/>
                <w:lang w:val="ga"/>
              </w:rPr>
              <w:t>78</w:t>
            </w:r>
          </w:p>
          <w:p w14:paraId="67DEFAB4" w14:textId="0A519048" w:rsidR="00FE243A" w:rsidRPr="00FE243A" w:rsidRDefault="00FE243A" w:rsidP="00FE243A">
            <w:pPr>
              <w:pStyle w:val="TableHead"/>
              <w:jc w:val="right"/>
              <w:rPr>
                <w:b w:val="0"/>
                <w:sz w:val="22"/>
                <w:szCs w:val="22"/>
              </w:rPr>
            </w:pPr>
          </w:p>
        </w:tc>
        <w:tc>
          <w:tcPr>
            <w:tcW w:w="1559" w:type="dxa"/>
          </w:tcPr>
          <w:p w14:paraId="7E267E0E" w14:textId="77777777" w:rsidR="00FE243A" w:rsidRDefault="00FE243A" w:rsidP="00FE243A">
            <w:pPr>
              <w:spacing w:after="0"/>
              <w:jc w:val="right"/>
              <w:rPr>
                <w:rFonts w:cs="Calibri"/>
                <w:color w:val="000000"/>
                <w:sz w:val="22"/>
                <w:szCs w:val="22"/>
              </w:rPr>
            </w:pPr>
            <w:r>
              <w:rPr>
                <w:rFonts w:cs="Calibri"/>
                <w:color w:val="000000"/>
                <w:sz w:val="22"/>
                <w:szCs w:val="22"/>
                <w:lang w:val="ga"/>
              </w:rPr>
              <w:t>5.4%</w:t>
            </w:r>
          </w:p>
          <w:p w14:paraId="7044AE38" w14:textId="7C34A2AC" w:rsidR="00FE243A" w:rsidRPr="00FE243A" w:rsidRDefault="00FE243A" w:rsidP="00FE243A">
            <w:pPr>
              <w:pStyle w:val="TableHead"/>
              <w:jc w:val="right"/>
              <w:rPr>
                <w:b w:val="0"/>
                <w:sz w:val="22"/>
                <w:szCs w:val="22"/>
              </w:rPr>
            </w:pPr>
          </w:p>
        </w:tc>
      </w:tr>
      <w:tr w:rsidR="00FE243A" w:rsidRPr="00611BF3" w14:paraId="3DF4A745" w14:textId="77777777" w:rsidTr="00E57050">
        <w:tc>
          <w:tcPr>
            <w:tcW w:w="2253" w:type="dxa"/>
          </w:tcPr>
          <w:p w14:paraId="48BD7A3A" w14:textId="77777777" w:rsidR="00FE243A" w:rsidRPr="00FE243A" w:rsidRDefault="00FE243A" w:rsidP="00FE243A">
            <w:pPr>
              <w:pStyle w:val="TableHead"/>
              <w:rPr>
                <w:b w:val="0"/>
                <w:sz w:val="22"/>
                <w:szCs w:val="22"/>
              </w:rPr>
            </w:pPr>
            <w:r>
              <w:rPr>
                <w:rFonts w:cs="Calibri"/>
                <w:b w:val="0"/>
                <w:color w:val="000000"/>
                <w:sz w:val="22"/>
                <w:szCs w:val="22"/>
                <w:lang w:val="ga"/>
              </w:rPr>
              <w:t>Comhairle Tréidlianna na hÉireann</w:t>
            </w:r>
          </w:p>
        </w:tc>
        <w:tc>
          <w:tcPr>
            <w:tcW w:w="1843" w:type="dxa"/>
          </w:tcPr>
          <w:p w14:paraId="2806E5D4" w14:textId="2F950834" w:rsidR="00FE243A" w:rsidRPr="00FE243A" w:rsidRDefault="00FE243A" w:rsidP="00FE243A">
            <w:pPr>
              <w:pStyle w:val="TableHead"/>
              <w:jc w:val="right"/>
              <w:rPr>
                <w:b w:val="0"/>
                <w:bCs/>
                <w:sz w:val="22"/>
                <w:szCs w:val="22"/>
              </w:rPr>
            </w:pPr>
            <w:r>
              <w:rPr>
                <w:rFonts w:cs="Calibri"/>
                <w:b w:val="0"/>
                <w:color w:val="000000"/>
                <w:sz w:val="22"/>
                <w:szCs w:val="22"/>
                <w:lang w:val="ga"/>
              </w:rPr>
              <w:t>11</w:t>
            </w:r>
          </w:p>
        </w:tc>
        <w:tc>
          <w:tcPr>
            <w:tcW w:w="1559" w:type="dxa"/>
          </w:tcPr>
          <w:p w14:paraId="2BABB8EE" w14:textId="4ACF2DBD" w:rsidR="00FE243A" w:rsidRPr="00FE243A" w:rsidRDefault="00FE243A" w:rsidP="00FE243A">
            <w:pPr>
              <w:pStyle w:val="TableHead"/>
              <w:jc w:val="right"/>
              <w:rPr>
                <w:b w:val="0"/>
                <w:sz w:val="22"/>
                <w:szCs w:val="22"/>
              </w:rPr>
            </w:pPr>
            <w:r>
              <w:rPr>
                <w:rFonts w:cs="Calibri"/>
                <w:b w:val="0"/>
                <w:color w:val="000000"/>
                <w:sz w:val="22"/>
                <w:szCs w:val="22"/>
                <w:lang w:val="ga"/>
              </w:rPr>
              <w:t>0</w:t>
            </w:r>
          </w:p>
        </w:tc>
        <w:tc>
          <w:tcPr>
            <w:tcW w:w="1560" w:type="dxa"/>
          </w:tcPr>
          <w:p w14:paraId="75E23DCD" w14:textId="50594109" w:rsidR="00FE243A" w:rsidRPr="00FE243A" w:rsidRDefault="00FE243A" w:rsidP="00FE243A">
            <w:pPr>
              <w:pStyle w:val="TableHead"/>
              <w:jc w:val="right"/>
              <w:rPr>
                <w:b w:val="0"/>
                <w:sz w:val="22"/>
                <w:szCs w:val="22"/>
              </w:rPr>
            </w:pPr>
            <w:r>
              <w:rPr>
                <w:rFonts w:cs="Calibri"/>
                <w:b w:val="0"/>
                <w:color w:val="000000"/>
                <w:sz w:val="22"/>
                <w:szCs w:val="22"/>
                <w:lang w:val="ga"/>
              </w:rPr>
              <w:t>0.0%</w:t>
            </w:r>
          </w:p>
        </w:tc>
        <w:tc>
          <w:tcPr>
            <w:tcW w:w="1275" w:type="dxa"/>
          </w:tcPr>
          <w:p w14:paraId="2CF4963F" w14:textId="77777777" w:rsidR="00FE243A" w:rsidRDefault="00FE243A" w:rsidP="00FE243A">
            <w:pPr>
              <w:spacing w:after="0"/>
              <w:jc w:val="right"/>
              <w:rPr>
                <w:rFonts w:cs="Calibri"/>
                <w:color w:val="000000"/>
                <w:sz w:val="22"/>
                <w:szCs w:val="22"/>
              </w:rPr>
            </w:pPr>
            <w:r>
              <w:rPr>
                <w:rFonts w:cs="Calibri"/>
                <w:color w:val="000000"/>
                <w:sz w:val="22"/>
                <w:szCs w:val="22"/>
                <w:lang w:val="ga"/>
              </w:rPr>
              <w:t>11</w:t>
            </w:r>
          </w:p>
          <w:p w14:paraId="0369DC49" w14:textId="270CD052" w:rsidR="00FE243A" w:rsidRPr="00FE243A" w:rsidRDefault="00FE243A" w:rsidP="00FE243A">
            <w:pPr>
              <w:jc w:val="right"/>
              <w:rPr>
                <w:sz w:val="22"/>
                <w:szCs w:val="22"/>
              </w:rPr>
            </w:pPr>
          </w:p>
        </w:tc>
        <w:tc>
          <w:tcPr>
            <w:tcW w:w="1418" w:type="dxa"/>
          </w:tcPr>
          <w:p w14:paraId="0F3484E9" w14:textId="59EF928C" w:rsidR="00FE243A" w:rsidRPr="00FE243A" w:rsidRDefault="00FE243A" w:rsidP="00FE243A">
            <w:pPr>
              <w:pStyle w:val="TableHead"/>
              <w:jc w:val="right"/>
              <w:rPr>
                <w:b w:val="0"/>
                <w:sz w:val="22"/>
                <w:szCs w:val="22"/>
              </w:rPr>
            </w:pPr>
            <w:r>
              <w:rPr>
                <w:b w:val="0"/>
                <w:sz w:val="22"/>
                <w:szCs w:val="22"/>
                <w:lang w:val="ga"/>
              </w:rPr>
              <w:t>0</w:t>
            </w:r>
          </w:p>
        </w:tc>
        <w:tc>
          <w:tcPr>
            <w:tcW w:w="1559" w:type="dxa"/>
          </w:tcPr>
          <w:p w14:paraId="41804C88" w14:textId="77777777" w:rsidR="00FE243A" w:rsidRDefault="00FE243A" w:rsidP="00FE243A">
            <w:pPr>
              <w:spacing w:after="0"/>
              <w:jc w:val="right"/>
              <w:rPr>
                <w:rFonts w:cs="Calibri"/>
                <w:color w:val="000000"/>
                <w:sz w:val="22"/>
                <w:szCs w:val="22"/>
              </w:rPr>
            </w:pPr>
            <w:r>
              <w:rPr>
                <w:rFonts w:cs="Calibri"/>
                <w:color w:val="000000"/>
                <w:sz w:val="22"/>
                <w:szCs w:val="22"/>
                <w:lang w:val="ga"/>
              </w:rPr>
              <w:t>0.0%</w:t>
            </w:r>
          </w:p>
          <w:p w14:paraId="6CDB8E72" w14:textId="30A11102" w:rsidR="00FE243A" w:rsidRPr="00FE243A" w:rsidRDefault="00FE243A" w:rsidP="00FE243A">
            <w:pPr>
              <w:pStyle w:val="TableHead"/>
              <w:jc w:val="right"/>
              <w:rPr>
                <w:b w:val="0"/>
                <w:sz w:val="22"/>
                <w:szCs w:val="22"/>
              </w:rPr>
            </w:pPr>
          </w:p>
        </w:tc>
      </w:tr>
      <w:tr w:rsidR="00FE243A" w:rsidRPr="00611BF3" w14:paraId="716D207A" w14:textId="77777777" w:rsidTr="00E57050">
        <w:tc>
          <w:tcPr>
            <w:tcW w:w="2253" w:type="dxa"/>
          </w:tcPr>
          <w:p w14:paraId="6DC1E5A5" w14:textId="77777777" w:rsidR="00FE243A" w:rsidRPr="00FE243A" w:rsidRDefault="00FE243A" w:rsidP="00FE243A">
            <w:pPr>
              <w:pStyle w:val="TableHead"/>
              <w:rPr>
                <w:sz w:val="22"/>
                <w:szCs w:val="22"/>
              </w:rPr>
            </w:pPr>
            <w:r>
              <w:rPr>
                <w:bCs/>
                <w:sz w:val="22"/>
                <w:szCs w:val="22"/>
                <w:lang w:val="ga"/>
              </w:rPr>
              <w:t>Mór-Iomlán</w:t>
            </w:r>
          </w:p>
        </w:tc>
        <w:tc>
          <w:tcPr>
            <w:tcW w:w="1843" w:type="dxa"/>
          </w:tcPr>
          <w:p w14:paraId="036877C1" w14:textId="77777777" w:rsidR="00FE243A" w:rsidRPr="00FE243A" w:rsidRDefault="00FE243A" w:rsidP="00FE243A">
            <w:pPr>
              <w:spacing w:after="0"/>
              <w:jc w:val="right"/>
              <w:rPr>
                <w:rFonts w:cs="Calibri"/>
                <w:b/>
                <w:color w:val="000000"/>
                <w:sz w:val="22"/>
                <w:szCs w:val="22"/>
              </w:rPr>
            </w:pPr>
            <w:r>
              <w:rPr>
                <w:rFonts w:cs="Calibri"/>
                <w:b/>
                <w:bCs/>
                <w:color w:val="000000"/>
                <w:sz w:val="22"/>
                <w:szCs w:val="22"/>
                <w:lang w:val="ga"/>
              </w:rPr>
              <w:t>3,360</w:t>
            </w:r>
          </w:p>
          <w:p w14:paraId="3C3E43D1" w14:textId="77777777" w:rsidR="00FE243A" w:rsidRPr="00FE243A" w:rsidRDefault="00FE243A" w:rsidP="00FE243A">
            <w:pPr>
              <w:pStyle w:val="TableHead"/>
              <w:jc w:val="right"/>
              <w:rPr>
                <w:b w:val="0"/>
                <w:bCs/>
                <w:sz w:val="22"/>
                <w:szCs w:val="22"/>
              </w:rPr>
            </w:pPr>
          </w:p>
        </w:tc>
        <w:tc>
          <w:tcPr>
            <w:tcW w:w="1559" w:type="dxa"/>
          </w:tcPr>
          <w:p w14:paraId="091A759E" w14:textId="77777777" w:rsidR="00FE243A" w:rsidRPr="00FE243A" w:rsidRDefault="00FE243A" w:rsidP="00FE243A">
            <w:pPr>
              <w:spacing w:after="0"/>
              <w:jc w:val="right"/>
              <w:rPr>
                <w:rFonts w:cs="Calibri"/>
                <w:b/>
                <w:bCs/>
                <w:color w:val="000000"/>
                <w:sz w:val="22"/>
                <w:szCs w:val="22"/>
              </w:rPr>
            </w:pPr>
            <w:r>
              <w:rPr>
                <w:rFonts w:cs="Calibri"/>
                <w:b/>
                <w:bCs/>
                <w:color w:val="000000"/>
                <w:sz w:val="22"/>
                <w:szCs w:val="22"/>
                <w:lang w:val="ga"/>
              </w:rPr>
              <w:t>142</w:t>
            </w:r>
          </w:p>
          <w:p w14:paraId="49C08D13" w14:textId="77777777" w:rsidR="00FE243A" w:rsidRPr="00FE243A" w:rsidRDefault="00FE243A" w:rsidP="00FE243A">
            <w:pPr>
              <w:pStyle w:val="TableHead"/>
              <w:jc w:val="right"/>
              <w:rPr>
                <w:sz w:val="22"/>
                <w:szCs w:val="22"/>
              </w:rPr>
            </w:pPr>
          </w:p>
        </w:tc>
        <w:tc>
          <w:tcPr>
            <w:tcW w:w="1560" w:type="dxa"/>
          </w:tcPr>
          <w:p w14:paraId="0B20DB93" w14:textId="77777777" w:rsidR="00FE243A" w:rsidRPr="00FE243A" w:rsidRDefault="00FE243A" w:rsidP="00FE243A">
            <w:pPr>
              <w:spacing w:after="0"/>
              <w:jc w:val="right"/>
              <w:rPr>
                <w:rFonts w:cs="Calibri"/>
                <w:b/>
                <w:bCs/>
                <w:color w:val="000000"/>
                <w:sz w:val="22"/>
                <w:szCs w:val="22"/>
              </w:rPr>
            </w:pPr>
            <w:r>
              <w:rPr>
                <w:rFonts w:cs="Calibri"/>
                <w:b/>
                <w:bCs/>
                <w:color w:val="000000"/>
                <w:sz w:val="22"/>
                <w:szCs w:val="22"/>
                <w:lang w:val="ga"/>
              </w:rPr>
              <w:t>4.2%</w:t>
            </w:r>
          </w:p>
          <w:p w14:paraId="067F95FC" w14:textId="77777777" w:rsidR="00FE243A" w:rsidRPr="00FE243A" w:rsidRDefault="00FE243A" w:rsidP="00FE243A">
            <w:pPr>
              <w:pStyle w:val="TableHead"/>
              <w:jc w:val="right"/>
              <w:rPr>
                <w:sz w:val="22"/>
                <w:szCs w:val="22"/>
              </w:rPr>
            </w:pPr>
          </w:p>
        </w:tc>
        <w:tc>
          <w:tcPr>
            <w:tcW w:w="1275" w:type="dxa"/>
          </w:tcPr>
          <w:p w14:paraId="360A224C" w14:textId="48224020" w:rsidR="00FE243A" w:rsidRDefault="00FE243A" w:rsidP="00FE243A">
            <w:pPr>
              <w:spacing w:after="0"/>
              <w:jc w:val="right"/>
              <w:rPr>
                <w:rFonts w:cs="Calibri"/>
                <w:b/>
                <w:bCs/>
                <w:color w:val="000000"/>
                <w:sz w:val="22"/>
                <w:szCs w:val="22"/>
              </w:rPr>
            </w:pPr>
            <w:r>
              <w:rPr>
                <w:rFonts w:cs="Calibri"/>
                <w:b/>
                <w:bCs/>
                <w:color w:val="000000"/>
                <w:sz w:val="22"/>
                <w:szCs w:val="22"/>
                <w:lang w:val="ga"/>
              </w:rPr>
              <w:t>3,021</w:t>
            </w:r>
          </w:p>
          <w:p w14:paraId="715962EB" w14:textId="77777777" w:rsidR="00FE243A" w:rsidRPr="00FE243A" w:rsidRDefault="00FE243A" w:rsidP="00FE243A">
            <w:pPr>
              <w:pStyle w:val="TableHead"/>
              <w:jc w:val="right"/>
              <w:rPr>
                <w:sz w:val="22"/>
                <w:szCs w:val="22"/>
              </w:rPr>
            </w:pPr>
          </w:p>
        </w:tc>
        <w:tc>
          <w:tcPr>
            <w:tcW w:w="1418" w:type="dxa"/>
          </w:tcPr>
          <w:p w14:paraId="24DC22DC" w14:textId="77777777" w:rsidR="00FE243A" w:rsidRDefault="00FE243A" w:rsidP="00FE243A">
            <w:pPr>
              <w:spacing w:after="0"/>
              <w:jc w:val="right"/>
              <w:rPr>
                <w:rFonts w:cs="Calibri"/>
                <w:b/>
                <w:bCs/>
                <w:color w:val="000000"/>
                <w:sz w:val="22"/>
                <w:szCs w:val="22"/>
              </w:rPr>
            </w:pPr>
            <w:r>
              <w:rPr>
                <w:rFonts w:cs="Calibri"/>
                <w:b/>
                <w:bCs/>
                <w:color w:val="000000"/>
                <w:sz w:val="22"/>
                <w:szCs w:val="22"/>
                <w:lang w:val="ga"/>
              </w:rPr>
              <w:t>159</w:t>
            </w:r>
          </w:p>
          <w:p w14:paraId="3A033812" w14:textId="77777777" w:rsidR="00FE243A" w:rsidRPr="00FE243A" w:rsidRDefault="00FE243A" w:rsidP="00FE243A">
            <w:pPr>
              <w:pStyle w:val="TableHead"/>
              <w:jc w:val="right"/>
              <w:rPr>
                <w:sz w:val="22"/>
                <w:szCs w:val="22"/>
              </w:rPr>
            </w:pPr>
          </w:p>
        </w:tc>
        <w:tc>
          <w:tcPr>
            <w:tcW w:w="1559" w:type="dxa"/>
          </w:tcPr>
          <w:p w14:paraId="00C0DF81"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5.3%</w:t>
            </w:r>
          </w:p>
          <w:p w14:paraId="241BFDC4" w14:textId="7BC73994" w:rsidR="00E9757B" w:rsidRDefault="00E9757B" w:rsidP="00E9757B">
            <w:pPr>
              <w:spacing w:after="0"/>
              <w:rPr>
                <w:rFonts w:cs="Calibri"/>
                <w:b/>
                <w:bCs/>
                <w:color w:val="000000"/>
                <w:sz w:val="22"/>
                <w:szCs w:val="22"/>
              </w:rPr>
            </w:pPr>
          </w:p>
          <w:p w14:paraId="714EA717" w14:textId="77777777" w:rsidR="00FE243A" w:rsidRPr="00FE243A" w:rsidRDefault="00FE243A" w:rsidP="00FE243A">
            <w:pPr>
              <w:pStyle w:val="TableHead"/>
              <w:jc w:val="right"/>
              <w:rPr>
                <w:sz w:val="22"/>
                <w:szCs w:val="22"/>
              </w:rPr>
            </w:pPr>
          </w:p>
        </w:tc>
      </w:tr>
    </w:tbl>
    <w:p w14:paraId="2B673C25" w14:textId="6A304165" w:rsidR="001D4642" w:rsidRPr="00611BF3" w:rsidRDefault="001D4642" w:rsidP="00813069">
      <w:pPr>
        <w:rPr>
          <w:b/>
          <w:highlight w:val="green"/>
        </w:rPr>
      </w:pPr>
    </w:p>
    <w:p w14:paraId="1C322B54" w14:textId="66BE8162" w:rsidR="00813069" w:rsidRPr="00FE243A" w:rsidRDefault="00DA7F72" w:rsidP="001624B2">
      <w:pPr>
        <w:pStyle w:val="Heading2"/>
        <w:jc w:val="center"/>
        <w:rPr>
          <w:color w:val="000000" w:themeColor="text1"/>
        </w:rPr>
      </w:pPr>
      <w:bookmarkStart w:id="72" w:name="_Toc147910088"/>
      <w:r>
        <w:rPr>
          <w:bCs/>
          <w:color w:val="000000" w:themeColor="text1"/>
          <w:lang w:val="ga"/>
        </w:rPr>
        <w:t>An Roinn Leanaí, Comhionannais, Míchumais, Lánpháirtíochta agus Óige</w:t>
      </w:r>
      <w:bookmarkEnd w:id="72"/>
    </w:p>
    <w:tbl>
      <w:tblPr>
        <w:tblStyle w:val="TableGrid"/>
        <w:tblpPr w:leftFromText="180" w:rightFromText="180" w:vertAnchor="text" w:horzAnchor="page" w:tblpX="496" w:tblpY="285"/>
        <w:tblW w:w="11619" w:type="dxa"/>
        <w:tblLayout w:type="fixed"/>
        <w:tblLook w:val="04A0" w:firstRow="1" w:lastRow="0" w:firstColumn="1" w:lastColumn="0" w:noHBand="0" w:noVBand="1"/>
        <w:tblCaption w:val="Appendix B Public bodies"/>
        <w:tblDescription w:val="Department of Children and Youth Affairs"/>
      </w:tblPr>
      <w:tblGrid>
        <w:gridCol w:w="2405"/>
        <w:gridCol w:w="1701"/>
        <w:gridCol w:w="1559"/>
        <w:gridCol w:w="1565"/>
        <w:gridCol w:w="1412"/>
        <w:gridCol w:w="1418"/>
        <w:gridCol w:w="1559"/>
      </w:tblGrid>
      <w:tr w:rsidR="00D2484D" w:rsidRPr="00FE243A" w14:paraId="103DD96E" w14:textId="77777777" w:rsidTr="0072284B">
        <w:trPr>
          <w:tblHeader/>
        </w:trPr>
        <w:tc>
          <w:tcPr>
            <w:tcW w:w="2405" w:type="dxa"/>
          </w:tcPr>
          <w:p w14:paraId="138331FA" w14:textId="77777777"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Comhlacht Poiblí</w:t>
            </w:r>
          </w:p>
        </w:tc>
        <w:tc>
          <w:tcPr>
            <w:tcW w:w="1701" w:type="dxa"/>
          </w:tcPr>
          <w:p w14:paraId="7FA7D12B" w14:textId="77777777" w:rsidR="00F516FE" w:rsidRPr="00FE243A" w:rsidRDefault="00D2484D" w:rsidP="00D2484D">
            <w:pPr>
              <w:pStyle w:val="TableRowHead"/>
              <w:rPr>
                <w:rFonts w:ascii="Gill Sans MT" w:hAnsi="Gill Sans MT"/>
                <w:sz w:val="22"/>
                <w:szCs w:val="22"/>
              </w:rPr>
            </w:pPr>
            <w:r>
              <w:rPr>
                <w:rFonts w:ascii="Gill Sans MT" w:hAnsi="Gill Sans MT"/>
                <w:bCs/>
                <w:sz w:val="22"/>
                <w:szCs w:val="22"/>
                <w:lang w:val="ga"/>
              </w:rPr>
              <w:t xml:space="preserve">An líon </w:t>
            </w:r>
          </w:p>
          <w:p w14:paraId="41D57368" w14:textId="77777777" w:rsidR="00F516FE" w:rsidRPr="00FE243A" w:rsidRDefault="00D2484D" w:rsidP="00D2484D">
            <w:pPr>
              <w:pStyle w:val="TableRowHead"/>
              <w:rPr>
                <w:rFonts w:ascii="Gill Sans MT" w:hAnsi="Gill Sans MT"/>
                <w:sz w:val="22"/>
                <w:szCs w:val="22"/>
              </w:rPr>
            </w:pPr>
            <w:r>
              <w:rPr>
                <w:rFonts w:ascii="Gill Sans MT" w:hAnsi="Gill Sans MT"/>
                <w:bCs/>
                <w:sz w:val="22"/>
                <w:szCs w:val="22"/>
                <w:lang w:val="ga"/>
              </w:rPr>
              <w:t xml:space="preserve">iomlán </w:t>
            </w:r>
          </w:p>
          <w:p w14:paraId="48BFC4E8" w14:textId="77777777" w:rsidR="00F516FE" w:rsidRPr="00FE243A" w:rsidRDefault="00D2484D" w:rsidP="00D2484D">
            <w:pPr>
              <w:pStyle w:val="TableRowHead"/>
              <w:rPr>
                <w:rFonts w:ascii="Gill Sans MT" w:hAnsi="Gill Sans MT"/>
                <w:sz w:val="22"/>
                <w:szCs w:val="22"/>
              </w:rPr>
            </w:pPr>
            <w:r>
              <w:rPr>
                <w:rFonts w:ascii="Gill Sans MT" w:hAnsi="Gill Sans MT"/>
                <w:bCs/>
                <w:sz w:val="22"/>
                <w:szCs w:val="22"/>
                <w:lang w:val="ga"/>
              </w:rPr>
              <w:t xml:space="preserve">fostaithe </w:t>
            </w:r>
          </w:p>
          <w:p w14:paraId="2B2109F4" w14:textId="7B532ECB"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2021</w:t>
            </w:r>
          </w:p>
        </w:tc>
        <w:tc>
          <w:tcPr>
            <w:tcW w:w="1559" w:type="dxa"/>
          </w:tcPr>
          <w:p w14:paraId="2D87B015" w14:textId="77777777"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An líon fostaithe a thuairiscigh míchumas</w:t>
            </w:r>
          </w:p>
          <w:p w14:paraId="497AD252" w14:textId="78D0F39C"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2021</w:t>
            </w:r>
          </w:p>
        </w:tc>
        <w:tc>
          <w:tcPr>
            <w:tcW w:w="1565" w:type="dxa"/>
          </w:tcPr>
          <w:p w14:paraId="07E37294" w14:textId="77777777"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An % d’fhostaithe a thuairiscigh</w:t>
            </w:r>
          </w:p>
          <w:p w14:paraId="3BAF42A0" w14:textId="468057B6"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míchumas 2021</w:t>
            </w:r>
          </w:p>
        </w:tc>
        <w:tc>
          <w:tcPr>
            <w:tcW w:w="1412" w:type="dxa"/>
          </w:tcPr>
          <w:p w14:paraId="0D6FC7CC" w14:textId="77777777" w:rsidR="00F516FE" w:rsidRPr="00FE243A" w:rsidRDefault="00D2484D" w:rsidP="00D2484D">
            <w:pPr>
              <w:pStyle w:val="TableRowHead"/>
              <w:rPr>
                <w:rFonts w:ascii="Gill Sans MT" w:hAnsi="Gill Sans MT"/>
                <w:sz w:val="22"/>
                <w:szCs w:val="22"/>
              </w:rPr>
            </w:pPr>
            <w:r>
              <w:rPr>
                <w:rFonts w:ascii="Gill Sans MT" w:hAnsi="Gill Sans MT"/>
                <w:bCs/>
                <w:sz w:val="22"/>
                <w:szCs w:val="22"/>
                <w:lang w:val="ga"/>
              </w:rPr>
              <w:t xml:space="preserve">An líon iomlán </w:t>
            </w:r>
          </w:p>
          <w:p w14:paraId="4D9BCA11" w14:textId="7069DCAB"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fostaithe 2022</w:t>
            </w:r>
          </w:p>
        </w:tc>
        <w:tc>
          <w:tcPr>
            <w:tcW w:w="1418" w:type="dxa"/>
          </w:tcPr>
          <w:p w14:paraId="6CA3D520" w14:textId="77777777"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 xml:space="preserve">An líon fostaithe a thuairiscigh míchumas </w:t>
            </w:r>
          </w:p>
          <w:p w14:paraId="64341C7E" w14:textId="41BEA5A9"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2022</w:t>
            </w:r>
          </w:p>
        </w:tc>
        <w:tc>
          <w:tcPr>
            <w:tcW w:w="1559" w:type="dxa"/>
          </w:tcPr>
          <w:p w14:paraId="3E35EEF5" w14:textId="77777777"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An % d’fhostaithe a thuairiscigh</w:t>
            </w:r>
          </w:p>
          <w:p w14:paraId="361CF709" w14:textId="19EC6EF3" w:rsidR="00D2484D" w:rsidRPr="00FE243A" w:rsidRDefault="00D2484D" w:rsidP="00D2484D">
            <w:pPr>
              <w:pStyle w:val="TableRowHead"/>
              <w:rPr>
                <w:rFonts w:ascii="Gill Sans MT" w:hAnsi="Gill Sans MT"/>
                <w:sz w:val="22"/>
                <w:szCs w:val="22"/>
              </w:rPr>
            </w:pPr>
            <w:r>
              <w:rPr>
                <w:rFonts w:ascii="Gill Sans MT" w:hAnsi="Gill Sans MT"/>
                <w:bCs/>
                <w:sz w:val="22"/>
                <w:szCs w:val="22"/>
                <w:lang w:val="ga"/>
              </w:rPr>
              <w:t>míchumas 2022</w:t>
            </w:r>
          </w:p>
        </w:tc>
      </w:tr>
      <w:tr w:rsidR="00FE243A" w:rsidRPr="00FE243A" w14:paraId="4D7963D5" w14:textId="77777777" w:rsidTr="0072284B">
        <w:tblPrEx>
          <w:tblLook w:val="0620" w:firstRow="1" w:lastRow="0" w:firstColumn="0" w:lastColumn="0" w:noHBand="1" w:noVBand="1"/>
        </w:tblPrEx>
        <w:trPr>
          <w:trHeight w:val="255"/>
          <w:tblHeader/>
        </w:trPr>
        <w:tc>
          <w:tcPr>
            <w:tcW w:w="2405" w:type="dxa"/>
            <w:tcBorders>
              <w:top w:val="single" w:sz="4" w:space="0" w:color="auto"/>
              <w:left w:val="single" w:sz="4" w:space="0" w:color="auto"/>
              <w:bottom w:val="single" w:sz="4" w:space="0" w:color="auto"/>
              <w:right w:val="single" w:sz="4" w:space="0" w:color="auto"/>
            </w:tcBorders>
            <w:noWrap/>
          </w:tcPr>
          <w:p w14:paraId="2FCB1D8A" w14:textId="77777777" w:rsidR="00FE243A" w:rsidRPr="00FE243A" w:rsidRDefault="00FE243A" w:rsidP="00FE243A">
            <w:pPr>
              <w:rPr>
                <w:rFonts w:cs="Arial"/>
                <w:sz w:val="22"/>
                <w:szCs w:val="22"/>
              </w:rPr>
            </w:pPr>
            <w:r>
              <w:rPr>
                <w:rFonts w:cs="Calibri"/>
                <w:color w:val="000000"/>
                <w:sz w:val="22"/>
                <w:szCs w:val="22"/>
                <w:lang w:val="ga"/>
              </w:rPr>
              <w:t xml:space="preserve">Údarás Uchtála na hÉireann </w:t>
            </w:r>
          </w:p>
        </w:tc>
        <w:tc>
          <w:tcPr>
            <w:tcW w:w="1701" w:type="dxa"/>
            <w:tcBorders>
              <w:top w:val="single" w:sz="4" w:space="0" w:color="auto"/>
              <w:left w:val="nil"/>
              <w:bottom w:val="single" w:sz="4" w:space="0" w:color="auto"/>
              <w:right w:val="single" w:sz="4" w:space="0" w:color="auto"/>
            </w:tcBorders>
            <w:noWrap/>
          </w:tcPr>
          <w:p w14:paraId="1E39030A" w14:textId="0EA8A927" w:rsidR="00FE243A" w:rsidRPr="00FE243A" w:rsidRDefault="00FE243A" w:rsidP="00FE243A">
            <w:pPr>
              <w:jc w:val="right"/>
              <w:rPr>
                <w:rFonts w:cs="Arial"/>
                <w:sz w:val="22"/>
                <w:szCs w:val="22"/>
              </w:rPr>
            </w:pPr>
            <w:r>
              <w:rPr>
                <w:rFonts w:cs="Calibri"/>
                <w:color w:val="000000"/>
                <w:sz w:val="22"/>
                <w:szCs w:val="22"/>
                <w:lang w:val="ga"/>
              </w:rPr>
              <w:t>31</w:t>
            </w:r>
          </w:p>
        </w:tc>
        <w:tc>
          <w:tcPr>
            <w:tcW w:w="1559" w:type="dxa"/>
            <w:tcBorders>
              <w:top w:val="single" w:sz="4" w:space="0" w:color="auto"/>
              <w:left w:val="nil"/>
              <w:bottom w:val="single" w:sz="4" w:space="0" w:color="auto"/>
              <w:right w:val="single" w:sz="4" w:space="0" w:color="auto"/>
            </w:tcBorders>
            <w:noWrap/>
          </w:tcPr>
          <w:p w14:paraId="0C364A30" w14:textId="74105B62" w:rsidR="00FE243A" w:rsidRPr="00FE243A" w:rsidRDefault="00FE243A" w:rsidP="00FE243A">
            <w:pPr>
              <w:jc w:val="right"/>
              <w:rPr>
                <w:rFonts w:cs="Arial"/>
                <w:sz w:val="22"/>
                <w:szCs w:val="22"/>
              </w:rPr>
            </w:pPr>
            <w:r>
              <w:rPr>
                <w:rFonts w:cs="Calibri"/>
                <w:color w:val="000000"/>
                <w:sz w:val="22"/>
                <w:szCs w:val="22"/>
                <w:lang w:val="ga"/>
              </w:rPr>
              <w:t>2</w:t>
            </w:r>
          </w:p>
        </w:tc>
        <w:tc>
          <w:tcPr>
            <w:tcW w:w="1565" w:type="dxa"/>
            <w:tcBorders>
              <w:top w:val="single" w:sz="4" w:space="0" w:color="auto"/>
              <w:left w:val="nil"/>
              <w:bottom w:val="single" w:sz="4" w:space="0" w:color="auto"/>
              <w:right w:val="single" w:sz="4" w:space="0" w:color="auto"/>
            </w:tcBorders>
            <w:noWrap/>
          </w:tcPr>
          <w:p w14:paraId="19C8C5B8" w14:textId="60918EF6" w:rsidR="00FE243A" w:rsidRPr="00FE243A" w:rsidRDefault="00FE243A" w:rsidP="00FE243A">
            <w:pPr>
              <w:jc w:val="right"/>
              <w:rPr>
                <w:rFonts w:cs="Arial"/>
                <w:sz w:val="22"/>
                <w:szCs w:val="22"/>
              </w:rPr>
            </w:pPr>
            <w:r>
              <w:rPr>
                <w:rFonts w:cs="Calibri"/>
                <w:color w:val="000000"/>
                <w:sz w:val="22"/>
                <w:szCs w:val="22"/>
                <w:lang w:val="ga"/>
              </w:rPr>
              <w:t>6.5%</w:t>
            </w:r>
          </w:p>
        </w:tc>
        <w:tc>
          <w:tcPr>
            <w:tcW w:w="1412" w:type="dxa"/>
            <w:tcBorders>
              <w:top w:val="single" w:sz="4" w:space="0" w:color="auto"/>
              <w:left w:val="nil"/>
              <w:bottom w:val="single" w:sz="4" w:space="0" w:color="auto"/>
              <w:right w:val="single" w:sz="4" w:space="0" w:color="auto"/>
            </w:tcBorders>
            <w:noWrap/>
          </w:tcPr>
          <w:p w14:paraId="70AE7875" w14:textId="77777777" w:rsidR="00E9757B" w:rsidRDefault="00E9757B" w:rsidP="00E9757B">
            <w:pPr>
              <w:spacing w:after="0"/>
              <w:jc w:val="right"/>
              <w:rPr>
                <w:rFonts w:cs="Calibri"/>
                <w:color w:val="000000"/>
                <w:sz w:val="22"/>
                <w:szCs w:val="22"/>
              </w:rPr>
            </w:pPr>
            <w:r>
              <w:rPr>
                <w:rFonts w:cs="Calibri"/>
                <w:color w:val="000000"/>
                <w:sz w:val="22"/>
                <w:szCs w:val="22"/>
                <w:lang w:val="ga"/>
              </w:rPr>
              <w:t>49</w:t>
            </w:r>
          </w:p>
          <w:p w14:paraId="4655D2C0" w14:textId="2A89C7C5" w:rsidR="00FE243A" w:rsidRPr="00FE243A" w:rsidRDefault="00FE243A" w:rsidP="00FE243A">
            <w:pPr>
              <w:jc w:val="right"/>
              <w:rPr>
                <w:rFonts w:cs="Arial"/>
                <w:sz w:val="22"/>
                <w:szCs w:val="22"/>
              </w:rPr>
            </w:pPr>
          </w:p>
        </w:tc>
        <w:tc>
          <w:tcPr>
            <w:tcW w:w="1418" w:type="dxa"/>
            <w:tcBorders>
              <w:top w:val="single" w:sz="4" w:space="0" w:color="auto"/>
              <w:left w:val="nil"/>
              <w:bottom w:val="single" w:sz="4" w:space="0" w:color="auto"/>
              <w:right w:val="single" w:sz="4" w:space="0" w:color="auto"/>
            </w:tcBorders>
            <w:noWrap/>
          </w:tcPr>
          <w:p w14:paraId="519D15FA" w14:textId="77777777" w:rsidR="00E9757B" w:rsidRDefault="00E9757B" w:rsidP="00E9757B">
            <w:pPr>
              <w:spacing w:after="0"/>
              <w:jc w:val="right"/>
              <w:rPr>
                <w:rFonts w:cs="Calibri"/>
                <w:color w:val="000000"/>
                <w:sz w:val="22"/>
                <w:szCs w:val="22"/>
              </w:rPr>
            </w:pPr>
            <w:r>
              <w:rPr>
                <w:rFonts w:cs="Calibri"/>
                <w:color w:val="000000"/>
                <w:sz w:val="22"/>
                <w:szCs w:val="22"/>
                <w:lang w:val="ga"/>
              </w:rPr>
              <w:t>2</w:t>
            </w:r>
          </w:p>
          <w:p w14:paraId="6582DE59" w14:textId="1E7285F5" w:rsidR="00FE243A" w:rsidRPr="00FE243A" w:rsidRDefault="00FE243A" w:rsidP="00FE243A">
            <w:pPr>
              <w:jc w:val="right"/>
              <w:rPr>
                <w:rFonts w:cs="Arial"/>
                <w:sz w:val="22"/>
                <w:szCs w:val="22"/>
              </w:rPr>
            </w:pPr>
          </w:p>
        </w:tc>
        <w:tc>
          <w:tcPr>
            <w:tcW w:w="1559" w:type="dxa"/>
            <w:tcBorders>
              <w:top w:val="single" w:sz="4" w:space="0" w:color="auto"/>
              <w:left w:val="nil"/>
              <w:bottom w:val="single" w:sz="4" w:space="0" w:color="auto"/>
              <w:right w:val="single" w:sz="4" w:space="0" w:color="auto"/>
            </w:tcBorders>
            <w:noWrap/>
          </w:tcPr>
          <w:p w14:paraId="48B7A372" w14:textId="77777777" w:rsidR="00E9757B" w:rsidRDefault="00E9757B" w:rsidP="00E9757B">
            <w:pPr>
              <w:spacing w:after="0"/>
              <w:jc w:val="right"/>
              <w:rPr>
                <w:rFonts w:cs="Calibri"/>
                <w:color w:val="000000"/>
                <w:sz w:val="22"/>
                <w:szCs w:val="22"/>
              </w:rPr>
            </w:pPr>
            <w:r>
              <w:rPr>
                <w:rFonts w:cs="Calibri"/>
                <w:color w:val="000000"/>
                <w:sz w:val="22"/>
                <w:szCs w:val="22"/>
                <w:lang w:val="ga"/>
              </w:rPr>
              <w:t>4.1%</w:t>
            </w:r>
          </w:p>
          <w:p w14:paraId="6898EAED" w14:textId="3219AF9A" w:rsidR="00FE243A" w:rsidRPr="00FE243A" w:rsidRDefault="00FE243A" w:rsidP="00FE243A">
            <w:pPr>
              <w:jc w:val="right"/>
              <w:rPr>
                <w:rFonts w:cs="Arial"/>
                <w:sz w:val="22"/>
                <w:szCs w:val="22"/>
              </w:rPr>
            </w:pPr>
          </w:p>
        </w:tc>
      </w:tr>
      <w:tr w:rsidR="00FE243A" w:rsidRPr="00FE243A" w14:paraId="6DA147D9" w14:textId="77777777" w:rsidTr="0072284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44F7C522" w14:textId="77777777" w:rsidR="00FE243A" w:rsidRPr="00FE243A" w:rsidRDefault="00FE243A" w:rsidP="00FE243A">
            <w:pPr>
              <w:rPr>
                <w:rFonts w:cs="Arial"/>
                <w:sz w:val="22"/>
                <w:szCs w:val="22"/>
              </w:rPr>
            </w:pPr>
            <w:r>
              <w:rPr>
                <w:rFonts w:cs="Calibri"/>
                <w:color w:val="000000"/>
                <w:sz w:val="22"/>
                <w:szCs w:val="22"/>
                <w:lang w:val="ga"/>
              </w:rPr>
              <w:t>An Ghníomhaireacht um Leanaí agus an Teaghlach (TUSLA)</w:t>
            </w:r>
          </w:p>
        </w:tc>
        <w:tc>
          <w:tcPr>
            <w:tcW w:w="1701" w:type="dxa"/>
            <w:tcBorders>
              <w:top w:val="nil"/>
              <w:left w:val="nil"/>
              <w:bottom w:val="single" w:sz="4" w:space="0" w:color="auto"/>
              <w:right w:val="single" w:sz="4" w:space="0" w:color="auto"/>
            </w:tcBorders>
            <w:noWrap/>
          </w:tcPr>
          <w:p w14:paraId="705292A0" w14:textId="4DC751DB" w:rsidR="00FE243A" w:rsidRPr="00FE243A" w:rsidRDefault="00FE243A" w:rsidP="00FE243A">
            <w:pPr>
              <w:jc w:val="right"/>
              <w:rPr>
                <w:rFonts w:cs="Arial"/>
                <w:sz w:val="22"/>
                <w:szCs w:val="22"/>
              </w:rPr>
            </w:pPr>
            <w:r>
              <w:rPr>
                <w:rFonts w:cs="Calibri"/>
                <w:color w:val="000000"/>
                <w:sz w:val="22"/>
                <w:szCs w:val="22"/>
                <w:lang w:val="ga"/>
              </w:rPr>
              <w:t>5,306</w:t>
            </w:r>
          </w:p>
        </w:tc>
        <w:tc>
          <w:tcPr>
            <w:tcW w:w="1559" w:type="dxa"/>
            <w:tcBorders>
              <w:top w:val="nil"/>
              <w:left w:val="nil"/>
              <w:bottom w:val="single" w:sz="4" w:space="0" w:color="auto"/>
              <w:right w:val="single" w:sz="4" w:space="0" w:color="auto"/>
            </w:tcBorders>
            <w:noWrap/>
          </w:tcPr>
          <w:p w14:paraId="2ACFE5D5" w14:textId="24E2488F" w:rsidR="00FE243A" w:rsidRPr="00FE243A" w:rsidRDefault="00FE243A" w:rsidP="00FE243A">
            <w:pPr>
              <w:jc w:val="right"/>
              <w:rPr>
                <w:rFonts w:cs="Arial"/>
                <w:sz w:val="22"/>
                <w:szCs w:val="22"/>
              </w:rPr>
            </w:pPr>
            <w:r>
              <w:rPr>
                <w:rFonts w:cs="Calibri"/>
                <w:color w:val="000000"/>
                <w:sz w:val="22"/>
                <w:szCs w:val="22"/>
                <w:lang w:val="ga"/>
              </w:rPr>
              <w:t>236</w:t>
            </w:r>
          </w:p>
        </w:tc>
        <w:tc>
          <w:tcPr>
            <w:tcW w:w="1565" w:type="dxa"/>
            <w:tcBorders>
              <w:top w:val="nil"/>
              <w:left w:val="nil"/>
              <w:bottom w:val="single" w:sz="4" w:space="0" w:color="auto"/>
              <w:right w:val="single" w:sz="4" w:space="0" w:color="auto"/>
            </w:tcBorders>
            <w:noWrap/>
          </w:tcPr>
          <w:p w14:paraId="04B0F0D4" w14:textId="18780FE7" w:rsidR="00FE243A" w:rsidRPr="00FE243A" w:rsidRDefault="00FE243A" w:rsidP="00FE243A">
            <w:pPr>
              <w:jc w:val="right"/>
              <w:rPr>
                <w:rFonts w:cs="Arial"/>
                <w:sz w:val="22"/>
                <w:szCs w:val="22"/>
              </w:rPr>
            </w:pPr>
            <w:r>
              <w:rPr>
                <w:rFonts w:cs="Calibri"/>
                <w:color w:val="000000"/>
                <w:sz w:val="22"/>
                <w:szCs w:val="22"/>
                <w:lang w:val="ga"/>
              </w:rPr>
              <w:t>4.4%</w:t>
            </w:r>
          </w:p>
        </w:tc>
        <w:tc>
          <w:tcPr>
            <w:tcW w:w="1412" w:type="dxa"/>
            <w:tcBorders>
              <w:top w:val="nil"/>
              <w:left w:val="nil"/>
              <w:bottom w:val="single" w:sz="4" w:space="0" w:color="auto"/>
              <w:right w:val="single" w:sz="4" w:space="0" w:color="auto"/>
            </w:tcBorders>
            <w:noWrap/>
          </w:tcPr>
          <w:p w14:paraId="7CC6CB32" w14:textId="6502E829" w:rsidR="00E9757B" w:rsidRDefault="00E9757B" w:rsidP="00E9757B">
            <w:pPr>
              <w:spacing w:after="0"/>
              <w:jc w:val="right"/>
              <w:rPr>
                <w:rFonts w:cs="Calibri"/>
                <w:color w:val="000000"/>
                <w:sz w:val="22"/>
                <w:szCs w:val="22"/>
              </w:rPr>
            </w:pPr>
            <w:r>
              <w:rPr>
                <w:rFonts w:cs="Calibri"/>
                <w:color w:val="000000"/>
                <w:sz w:val="22"/>
                <w:szCs w:val="22"/>
                <w:lang w:val="ga"/>
              </w:rPr>
              <w:t>5,419</w:t>
            </w:r>
          </w:p>
          <w:p w14:paraId="13139D55" w14:textId="2C9A5E43" w:rsidR="00FE243A" w:rsidRPr="00FE243A" w:rsidRDefault="00FE243A" w:rsidP="00FE243A">
            <w:pPr>
              <w:jc w:val="right"/>
              <w:rPr>
                <w:rFonts w:cs="Arial"/>
                <w:sz w:val="22"/>
                <w:szCs w:val="22"/>
              </w:rPr>
            </w:pPr>
          </w:p>
        </w:tc>
        <w:tc>
          <w:tcPr>
            <w:tcW w:w="1418" w:type="dxa"/>
            <w:tcBorders>
              <w:top w:val="nil"/>
              <w:left w:val="nil"/>
              <w:bottom w:val="single" w:sz="4" w:space="0" w:color="auto"/>
              <w:right w:val="single" w:sz="4" w:space="0" w:color="auto"/>
            </w:tcBorders>
            <w:noWrap/>
          </w:tcPr>
          <w:p w14:paraId="6DB56139" w14:textId="77777777" w:rsidR="00E9757B" w:rsidRDefault="00E9757B" w:rsidP="00E9757B">
            <w:pPr>
              <w:spacing w:after="0"/>
              <w:jc w:val="right"/>
              <w:rPr>
                <w:rFonts w:cs="Calibri"/>
                <w:color w:val="000000"/>
                <w:sz w:val="22"/>
                <w:szCs w:val="22"/>
              </w:rPr>
            </w:pPr>
            <w:r>
              <w:rPr>
                <w:rFonts w:cs="Calibri"/>
                <w:color w:val="000000"/>
                <w:sz w:val="22"/>
                <w:szCs w:val="22"/>
                <w:lang w:val="ga"/>
              </w:rPr>
              <w:t>259</w:t>
            </w:r>
          </w:p>
          <w:p w14:paraId="72876EB6" w14:textId="58436584" w:rsidR="00FE243A" w:rsidRPr="00FE243A" w:rsidRDefault="00FE243A" w:rsidP="00FE243A">
            <w:pPr>
              <w:jc w:val="right"/>
              <w:rPr>
                <w:rFonts w:cs="Arial"/>
                <w:sz w:val="22"/>
                <w:szCs w:val="22"/>
              </w:rPr>
            </w:pPr>
          </w:p>
        </w:tc>
        <w:tc>
          <w:tcPr>
            <w:tcW w:w="1559" w:type="dxa"/>
            <w:tcBorders>
              <w:top w:val="nil"/>
              <w:left w:val="nil"/>
              <w:bottom w:val="single" w:sz="4" w:space="0" w:color="auto"/>
              <w:right w:val="single" w:sz="4" w:space="0" w:color="auto"/>
            </w:tcBorders>
            <w:noWrap/>
          </w:tcPr>
          <w:p w14:paraId="5057F6FD" w14:textId="77777777" w:rsidR="00E9757B" w:rsidRDefault="00E9757B" w:rsidP="00E9757B">
            <w:pPr>
              <w:spacing w:after="0"/>
              <w:jc w:val="right"/>
              <w:rPr>
                <w:rFonts w:cs="Calibri"/>
                <w:color w:val="000000"/>
                <w:sz w:val="22"/>
                <w:szCs w:val="22"/>
              </w:rPr>
            </w:pPr>
            <w:r>
              <w:rPr>
                <w:rFonts w:cs="Calibri"/>
                <w:color w:val="000000"/>
                <w:sz w:val="22"/>
                <w:szCs w:val="22"/>
                <w:lang w:val="ga"/>
              </w:rPr>
              <w:t>4.8%</w:t>
            </w:r>
          </w:p>
          <w:p w14:paraId="50AF3C18" w14:textId="02C19A26" w:rsidR="00FE243A" w:rsidRPr="00FE243A" w:rsidRDefault="00FE243A" w:rsidP="00FE243A">
            <w:pPr>
              <w:jc w:val="right"/>
              <w:rPr>
                <w:rFonts w:cs="Arial"/>
                <w:sz w:val="22"/>
                <w:szCs w:val="22"/>
              </w:rPr>
            </w:pPr>
          </w:p>
        </w:tc>
      </w:tr>
      <w:tr w:rsidR="00FE243A" w:rsidRPr="00FE243A" w14:paraId="411B939A" w14:textId="77777777" w:rsidTr="0072284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F4E3595" w14:textId="77777777" w:rsidR="00FE243A" w:rsidRPr="00FE243A" w:rsidRDefault="00FE243A" w:rsidP="00FE243A">
            <w:pPr>
              <w:rPr>
                <w:rFonts w:cs="Arial"/>
                <w:sz w:val="22"/>
                <w:szCs w:val="22"/>
              </w:rPr>
            </w:pPr>
            <w:r>
              <w:rPr>
                <w:rFonts w:cs="Calibri"/>
                <w:color w:val="000000"/>
                <w:sz w:val="22"/>
                <w:szCs w:val="22"/>
                <w:lang w:val="ga"/>
              </w:rPr>
              <w:t>An tÚdarás Náisiúnta Míchumais</w:t>
            </w:r>
          </w:p>
        </w:tc>
        <w:tc>
          <w:tcPr>
            <w:tcW w:w="1701" w:type="dxa"/>
            <w:tcBorders>
              <w:top w:val="nil"/>
              <w:left w:val="nil"/>
              <w:bottom w:val="single" w:sz="4" w:space="0" w:color="auto"/>
              <w:right w:val="single" w:sz="4" w:space="0" w:color="auto"/>
            </w:tcBorders>
            <w:noWrap/>
          </w:tcPr>
          <w:p w14:paraId="566A88BE" w14:textId="6C12B3B0" w:rsidR="00FE243A" w:rsidRPr="00FE243A" w:rsidRDefault="00FE243A" w:rsidP="00FE243A">
            <w:pPr>
              <w:jc w:val="right"/>
              <w:rPr>
                <w:rFonts w:cs="Arial"/>
                <w:sz w:val="22"/>
                <w:szCs w:val="22"/>
              </w:rPr>
            </w:pPr>
            <w:r>
              <w:rPr>
                <w:rFonts w:cs="Calibri"/>
                <w:color w:val="000000"/>
                <w:sz w:val="22"/>
                <w:szCs w:val="22"/>
                <w:lang w:val="ga"/>
              </w:rPr>
              <w:t>39</w:t>
            </w:r>
          </w:p>
        </w:tc>
        <w:tc>
          <w:tcPr>
            <w:tcW w:w="1559" w:type="dxa"/>
            <w:tcBorders>
              <w:top w:val="nil"/>
              <w:left w:val="nil"/>
              <w:bottom w:val="single" w:sz="4" w:space="0" w:color="auto"/>
              <w:right w:val="single" w:sz="4" w:space="0" w:color="auto"/>
            </w:tcBorders>
            <w:noWrap/>
          </w:tcPr>
          <w:p w14:paraId="500CC547" w14:textId="4774A727" w:rsidR="00FE243A" w:rsidRPr="00FE243A" w:rsidRDefault="00FE243A" w:rsidP="00FE243A">
            <w:pPr>
              <w:jc w:val="right"/>
              <w:rPr>
                <w:rFonts w:cs="Arial"/>
                <w:sz w:val="22"/>
                <w:szCs w:val="22"/>
              </w:rPr>
            </w:pPr>
            <w:r>
              <w:rPr>
                <w:rFonts w:cs="Calibri"/>
                <w:color w:val="000000"/>
                <w:sz w:val="22"/>
                <w:szCs w:val="22"/>
                <w:lang w:val="ga"/>
              </w:rPr>
              <w:t>8</w:t>
            </w:r>
          </w:p>
        </w:tc>
        <w:tc>
          <w:tcPr>
            <w:tcW w:w="1565" w:type="dxa"/>
            <w:tcBorders>
              <w:top w:val="nil"/>
              <w:left w:val="nil"/>
              <w:bottom w:val="single" w:sz="4" w:space="0" w:color="auto"/>
              <w:right w:val="single" w:sz="4" w:space="0" w:color="auto"/>
            </w:tcBorders>
            <w:noWrap/>
          </w:tcPr>
          <w:p w14:paraId="14F90FFC" w14:textId="0BA6487F" w:rsidR="00FE243A" w:rsidRPr="00FE243A" w:rsidRDefault="00FE243A" w:rsidP="00FE243A">
            <w:pPr>
              <w:jc w:val="right"/>
              <w:rPr>
                <w:rFonts w:cs="Arial"/>
                <w:sz w:val="22"/>
                <w:szCs w:val="22"/>
              </w:rPr>
            </w:pPr>
            <w:r>
              <w:rPr>
                <w:rFonts w:cs="Calibri"/>
                <w:color w:val="000000"/>
                <w:sz w:val="22"/>
                <w:szCs w:val="22"/>
                <w:lang w:val="ga"/>
              </w:rPr>
              <w:t>20.5%</w:t>
            </w:r>
          </w:p>
        </w:tc>
        <w:tc>
          <w:tcPr>
            <w:tcW w:w="1412" w:type="dxa"/>
            <w:tcBorders>
              <w:top w:val="nil"/>
              <w:left w:val="nil"/>
              <w:bottom w:val="single" w:sz="4" w:space="0" w:color="auto"/>
              <w:right w:val="single" w:sz="4" w:space="0" w:color="auto"/>
            </w:tcBorders>
            <w:noWrap/>
          </w:tcPr>
          <w:p w14:paraId="6A470604" w14:textId="77777777" w:rsidR="00E9757B" w:rsidRDefault="00E9757B" w:rsidP="00E9757B">
            <w:pPr>
              <w:spacing w:after="0"/>
              <w:jc w:val="right"/>
              <w:rPr>
                <w:rFonts w:cs="Calibri"/>
                <w:color w:val="000000"/>
                <w:sz w:val="22"/>
                <w:szCs w:val="22"/>
              </w:rPr>
            </w:pPr>
            <w:r>
              <w:rPr>
                <w:rFonts w:cs="Calibri"/>
                <w:color w:val="000000"/>
                <w:sz w:val="22"/>
                <w:szCs w:val="22"/>
                <w:lang w:val="ga"/>
              </w:rPr>
              <w:t>42</w:t>
            </w:r>
          </w:p>
          <w:p w14:paraId="31E6EC32" w14:textId="3E3D5D06" w:rsidR="00FE243A" w:rsidRPr="00FE243A" w:rsidRDefault="00FE243A" w:rsidP="00FE243A">
            <w:pPr>
              <w:jc w:val="right"/>
              <w:rPr>
                <w:rFonts w:cs="Arial"/>
                <w:sz w:val="22"/>
                <w:szCs w:val="22"/>
              </w:rPr>
            </w:pPr>
          </w:p>
        </w:tc>
        <w:tc>
          <w:tcPr>
            <w:tcW w:w="1418" w:type="dxa"/>
            <w:tcBorders>
              <w:top w:val="nil"/>
              <w:left w:val="nil"/>
              <w:bottom w:val="single" w:sz="4" w:space="0" w:color="auto"/>
              <w:right w:val="single" w:sz="4" w:space="0" w:color="auto"/>
            </w:tcBorders>
            <w:noWrap/>
          </w:tcPr>
          <w:p w14:paraId="759A5DBC" w14:textId="77777777" w:rsidR="00E9757B" w:rsidRDefault="00E9757B" w:rsidP="00E9757B">
            <w:pPr>
              <w:spacing w:after="0"/>
              <w:jc w:val="right"/>
              <w:rPr>
                <w:rFonts w:cs="Calibri"/>
                <w:color w:val="000000"/>
                <w:sz w:val="22"/>
                <w:szCs w:val="22"/>
              </w:rPr>
            </w:pPr>
            <w:r>
              <w:rPr>
                <w:rFonts w:cs="Calibri"/>
                <w:color w:val="000000"/>
                <w:sz w:val="22"/>
                <w:szCs w:val="22"/>
                <w:lang w:val="ga"/>
              </w:rPr>
              <w:t>10</w:t>
            </w:r>
          </w:p>
          <w:p w14:paraId="0300161B" w14:textId="721C2ED4" w:rsidR="00FE243A" w:rsidRPr="00FE243A" w:rsidRDefault="00FE243A" w:rsidP="00FE243A">
            <w:pPr>
              <w:jc w:val="right"/>
              <w:rPr>
                <w:rFonts w:cs="Arial"/>
                <w:sz w:val="22"/>
                <w:szCs w:val="22"/>
              </w:rPr>
            </w:pPr>
          </w:p>
        </w:tc>
        <w:tc>
          <w:tcPr>
            <w:tcW w:w="1559" w:type="dxa"/>
            <w:tcBorders>
              <w:top w:val="nil"/>
              <w:left w:val="nil"/>
              <w:bottom w:val="single" w:sz="4" w:space="0" w:color="auto"/>
              <w:right w:val="single" w:sz="4" w:space="0" w:color="auto"/>
            </w:tcBorders>
            <w:noWrap/>
          </w:tcPr>
          <w:p w14:paraId="0C59F10F" w14:textId="77777777" w:rsidR="00E9757B" w:rsidRDefault="00E9757B" w:rsidP="00E9757B">
            <w:pPr>
              <w:spacing w:after="0"/>
              <w:jc w:val="right"/>
              <w:rPr>
                <w:rFonts w:cs="Calibri"/>
                <w:color w:val="000000"/>
                <w:sz w:val="22"/>
                <w:szCs w:val="22"/>
              </w:rPr>
            </w:pPr>
            <w:r>
              <w:rPr>
                <w:rFonts w:cs="Calibri"/>
                <w:color w:val="000000"/>
                <w:sz w:val="22"/>
                <w:szCs w:val="22"/>
                <w:lang w:val="ga"/>
              </w:rPr>
              <w:t>23.8%</w:t>
            </w:r>
          </w:p>
          <w:p w14:paraId="355CB86A" w14:textId="391EEAA3" w:rsidR="00FE243A" w:rsidRPr="00FE243A" w:rsidRDefault="00FE243A" w:rsidP="00FE243A">
            <w:pPr>
              <w:jc w:val="right"/>
              <w:rPr>
                <w:rFonts w:cs="Arial"/>
                <w:sz w:val="22"/>
                <w:szCs w:val="22"/>
              </w:rPr>
            </w:pPr>
          </w:p>
        </w:tc>
      </w:tr>
      <w:tr w:rsidR="00FE243A" w:rsidRPr="00FE243A" w14:paraId="164E450E" w14:textId="77777777" w:rsidTr="0072284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9FA444D" w14:textId="77777777" w:rsidR="00FE243A" w:rsidRPr="00FE243A" w:rsidRDefault="00FE243A" w:rsidP="00FE243A">
            <w:pPr>
              <w:rPr>
                <w:rFonts w:cs="Arial"/>
                <w:sz w:val="22"/>
                <w:szCs w:val="22"/>
              </w:rPr>
            </w:pPr>
            <w:r>
              <w:rPr>
                <w:rFonts w:cs="Calibri"/>
                <w:color w:val="000000"/>
                <w:sz w:val="22"/>
                <w:szCs w:val="22"/>
                <w:lang w:val="ga"/>
              </w:rPr>
              <w:t>Campas Coinneála Leanaí Bhaile an Oibricigh</w:t>
            </w:r>
          </w:p>
        </w:tc>
        <w:tc>
          <w:tcPr>
            <w:tcW w:w="1701" w:type="dxa"/>
            <w:tcBorders>
              <w:top w:val="nil"/>
              <w:left w:val="nil"/>
              <w:bottom w:val="single" w:sz="4" w:space="0" w:color="auto"/>
              <w:right w:val="single" w:sz="4" w:space="0" w:color="auto"/>
            </w:tcBorders>
            <w:noWrap/>
          </w:tcPr>
          <w:p w14:paraId="711B1124" w14:textId="01EC5614" w:rsidR="00FE243A" w:rsidRPr="00FE243A" w:rsidRDefault="00FE243A" w:rsidP="00FE243A">
            <w:pPr>
              <w:jc w:val="right"/>
              <w:rPr>
                <w:rFonts w:cs="Arial"/>
                <w:sz w:val="22"/>
                <w:szCs w:val="22"/>
              </w:rPr>
            </w:pPr>
            <w:r>
              <w:rPr>
                <w:rFonts w:cs="Calibri"/>
                <w:color w:val="000000"/>
                <w:sz w:val="22"/>
                <w:szCs w:val="22"/>
                <w:lang w:val="ga"/>
              </w:rPr>
              <w:t>260</w:t>
            </w:r>
          </w:p>
        </w:tc>
        <w:tc>
          <w:tcPr>
            <w:tcW w:w="1559" w:type="dxa"/>
            <w:tcBorders>
              <w:top w:val="nil"/>
              <w:left w:val="nil"/>
              <w:bottom w:val="single" w:sz="4" w:space="0" w:color="auto"/>
              <w:right w:val="single" w:sz="4" w:space="0" w:color="auto"/>
            </w:tcBorders>
            <w:noWrap/>
          </w:tcPr>
          <w:p w14:paraId="366D83BF" w14:textId="0B0EBCED" w:rsidR="00FE243A" w:rsidRPr="00FE243A" w:rsidRDefault="00FE243A" w:rsidP="00FE243A">
            <w:pPr>
              <w:jc w:val="right"/>
              <w:rPr>
                <w:rFonts w:cs="Arial"/>
                <w:sz w:val="22"/>
                <w:szCs w:val="22"/>
              </w:rPr>
            </w:pPr>
            <w:r>
              <w:rPr>
                <w:rFonts w:cs="Calibri"/>
                <w:color w:val="000000"/>
                <w:sz w:val="22"/>
                <w:szCs w:val="22"/>
                <w:lang w:val="ga"/>
              </w:rPr>
              <w:t>5</w:t>
            </w:r>
          </w:p>
        </w:tc>
        <w:tc>
          <w:tcPr>
            <w:tcW w:w="1565" w:type="dxa"/>
            <w:tcBorders>
              <w:top w:val="nil"/>
              <w:left w:val="nil"/>
              <w:bottom w:val="single" w:sz="4" w:space="0" w:color="auto"/>
              <w:right w:val="single" w:sz="4" w:space="0" w:color="auto"/>
            </w:tcBorders>
            <w:noWrap/>
          </w:tcPr>
          <w:p w14:paraId="2263FEFF" w14:textId="4CB0A95F" w:rsidR="00FE243A" w:rsidRPr="00FE243A" w:rsidRDefault="00FE243A" w:rsidP="00FE243A">
            <w:pPr>
              <w:jc w:val="right"/>
              <w:rPr>
                <w:rFonts w:cs="Arial"/>
                <w:sz w:val="22"/>
                <w:szCs w:val="22"/>
              </w:rPr>
            </w:pPr>
            <w:r>
              <w:rPr>
                <w:rFonts w:cs="Calibri"/>
                <w:color w:val="000000"/>
                <w:sz w:val="22"/>
                <w:szCs w:val="22"/>
                <w:lang w:val="ga"/>
              </w:rPr>
              <w:t>1.9%</w:t>
            </w:r>
          </w:p>
        </w:tc>
        <w:tc>
          <w:tcPr>
            <w:tcW w:w="1412" w:type="dxa"/>
            <w:tcBorders>
              <w:top w:val="nil"/>
              <w:left w:val="nil"/>
              <w:bottom w:val="single" w:sz="4" w:space="0" w:color="auto"/>
              <w:right w:val="single" w:sz="4" w:space="0" w:color="auto"/>
            </w:tcBorders>
            <w:noWrap/>
          </w:tcPr>
          <w:p w14:paraId="427C461D" w14:textId="77777777" w:rsidR="00E9757B" w:rsidRDefault="00E9757B" w:rsidP="00E9757B">
            <w:pPr>
              <w:spacing w:after="0"/>
              <w:jc w:val="right"/>
              <w:rPr>
                <w:rFonts w:cs="Calibri"/>
                <w:color w:val="000000"/>
                <w:sz w:val="22"/>
                <w:szCs w:val="22"/>
              </w:rPr>
            </w:pPr>
            <w:r>
              <w:rPr>
                <w:rFonts w:cs="Calibri"/>
                <w:color w:val="000000"/>
                <w:sz w:val="22"/>
                <w:szCs w:val="22"/>
                <w:lang w:val="ga"/>
              </w:rPr>
              <w:t>251</w:t>
            </w:r>
          </w:p>
          <w:p w14:paraId="713A307C" w14:textId="13AA21FB" w:rsidR="00FE243A" w:rsidRPr="00FE243A" w:rsidRDefault="00FE243A" w:rsidP="00FE243A">
            <w:pPr>
              <w:jc w:val="right"/>
              <w:rPr>
                <w:rFonts w:cs="Arial"/>
                <w:sz w:val="22"/>
                <w:szCs w:val="22"/>
              </w:rPr>
            </w:pPr>
          </w:p>
        </w:tc>
        <w:tc>
          <w:tcPr>
            <w:tcW w:w="1418" w:type="dxa"/>
            <w:tcBorders>
              <w:top w:val="nil"/>
              <w:left w:val="nil"/>
              <w:bottom w:val="single" w:sz="4" w:space="0" w:color="auto"/>
              <w:right w:val="single" w:sz="4" w:space="0" w:color="auto"/>
            </w:tcBorders>
            <w:noWrap/>
          </w:tcPr>
          <w:p w14:paraId="41167113" w14:textId="77777777" w:rsidR="00E9757B" w:rsidRDefault="00E9757B" w:rsidP="00E9757B">
            <w:pPr>
              <w:spacing w:after="0"/>
              <w:jc w:val="right"/>
              <w:rPr>
                <w:rFonts w:cs="Calibri"/>
                <w:color w:val="000000"/>
                <w:sz w:val="22"/>
                <w:szCs w:val="22"/>
              </w:rPr>
            </w:pPr>
            <w:r>
              <w:rPr>
                <w:rFonts w:cs="Calibri"/>
                <w:color w:val="000000"/>
                <w:sz w:val="22"/>
                <w:szCs w:val="22"/>
                <w:lang w:val="ga"/>
              </w:rPr>
              <w:t>13</w:t>
            </w:r>
          </w:p>
          <w:p w14:paraId="6062F98F" w14:textId="0601F1E9" w:rsidR="00FE243A" w:rsidRPr="00FE243A" w:rsidRDefault="00FE243A" w:rsidP="00FE243A">
            <w:pPr>
              <w:jc w:val="right"/>
              <w:rPr>
                <w:rFonts w:cs="Arial"/>
                <w:sz w:val="22"/>
                <w:szCs w:val="22"/>
              </w:rPr>
            </w:pPr>
          </w:p>
        </w:tc>
        <w:tc>
          <w:tcPr>
            <w:tcW w:w="1559" w:type="dxa"/>
            <w:tcBorders>
              <w:top w:val="nil"/>
              <w:left w:val="nil"/>
              <w:bottom w:val="single" w:sz="4" w:space="0" w:color="auto"/>
              <w:right w:val="single" w:sz="4" w:space="0" w:color="auto"/>
            </w:tcBorders>
            <w:noWrap/>
          </w:tcPr>
          <w:p w14:paraId="640DCCE3" w14:textId="77777777" w:rsidR="00E9757B" w:rsidRDefault="00E9757B" w:rsidP="00E9757B">
            <w:pPr>
              <w:spacing w:after="0"/>
              <w:jc w:val="right"/>
              <w:rPr>
                <w:rFonts w:cs="Calibri"/>
                <w:color w:val="000000"/>
                <w:sz w:val="22"/>
                <w:szCs w:val="22"/>
              </w:rPr>
            </w:pPr>
            <w:r>
              <w:rPr>
                <w:rFonts w:cs="Calibri"/>
                <w:color w:val="000000"/>
                <w:sz w:val="22"/>
                <w:szCs w:val="22"/>
                <w:lang w:val="ga"/>
              </w:rPr>
              <w:t>5.2%</w:t>
            </w:r>
          </w:p>
          <w:p w14:paraId="500CCE2C" w14:textId="53267922" w:rsidR="00FE243A" w:rsidRPr="00FE243A" w:rsidRDefault="00FE243A" w:rsidP="00FE243A">
            <w:pPr>
              <w:jc w:val="right"/>
              <w:rPr>
                <w:rFonts w:cs="Arial"/>
                <w:sz w:val="22"/>
                <w:szCs w:val="22"/>
              </w:rPr>
            </w:pPr>
          </w:p>
        </w:tc>
      </w:tr>
      <w:tr w:rsidR="00FE243A" w:rsidRPr="00FE243A" w14:paraId="1BD8AC31" w14:textId="77777777" w:rsidTr="0072284B">
        <w:tblPrEx>
          <w:tblLook w:val="0620" w:firstRow="1" w:lastRow="0" w:firstColumn="0" w:lastColumn="0" w:noHBand="1" w:noVBand="1"/>
        </w:tblPrEx>
        <w:trPr>
          <w:trHeight w:val="512"/>
          <w:tblHeader/>
        </w:trPr>
        <w:tc>
          <w:tcPr>
            <w:tcW w:w="2405" w:type="dxa"/>
          </w:tcPr>
          <w:p w14:paraId="53BBE01C" w14:textId="77777777" w:rsidR="00FE243A" w:rsidRPr="00FE243A" w:rsidRDefault="00FE243A" w:rsidP="00FE243A">
            <w:pPr>
              <w:spacing w:after="0"/>
              <w:ind w:firstLineChars="11" w:firstLine="24"/>
              <w:rPr>
                <w:b/>
                <w:sz w:val="22"/>
                <w:szCs w:val="22"/>
              </w:rPr>
            </w:pPr>
            <w:r>
              <w:rPr>
                <w:b/>
                <w:bCs/>
                <w:sz w:val="22"/>
                <w:szCs w:val="22"/>
                <w:lang w:val="ga"/>
              </w:rPr>
              <w:t>Mór-Iomlán</w:t>
            </w:r>
          </w:p>
        </w:tc>
        <w:tc>
          <w:tcPr>
            <w:tcW w:w="1701" w:type="dxa"/>
            <w:tcBorders>
              <w:top w:val="single" w:sz="4" w:space="0" w:color="auto"/>
              <w:left w:val="single" w:sz="4" w:space="0" w:color="auto"/>
              <w:bottom w:val="single" w:sz="4" w:space="0" w:color="auto"/>
              <w:right w:val="single" w:sz="4" w:space="0" w:color="auto"/>
            </w:tcBorders>
          </w:tcPr>
          <w:p w14:paraId="62AEE02E" w14:textId="77777777" w:rsidR="00FE243A" w:rsidRPr="00FE243A" w:rsidRDefault="00FE243A" w:rsidP="00FE243A">
            <w:pPr>
              <w:spacing w:after="0"/>
              <w:jc w:val="right"/>
              <w:rPr>
                <w:rFonts w:cs="Calibri"/>
                <w:b/>
                <w:bCs/>
                <w:color w:val="000000"/>
                <w:sz w:val="22"/>
                <w:szCs w:val="22"/>
              </w:rPr>
            </w:pPr>
            <w:r>
              <w:rPr>
                <w:rFonts w:cs="Calibri"/>
                <w:b/>
                <w:bCs/>
                <w:color w:val="000000"/>
                <w:sz w:val="22"/>
                <w:szCs w:val="22"/>
                <w:lang w:val="ga"/>
              </w:rPr>
              <w:t>5,636</w:t>
            </w:r>
          </w:p>
          <w:p w14:paraId="0AB2E339" w14:textId="77777777" w:rsidR="00FE243A" w:rsidRPr="00FE243A" w:rsidRDefault="00FE243A" w:rsidP="00FE243A">
            <w:pPr>
              <w:jc w:val="right"/>
              <w:rPr>
                <w:rFont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F728E96" w14:textId="77777777" w:rsidR="00FE243A" w:rsidRPr="00FE243A" w:rsidRDefault="00FE243A" w:rsidP="00FE243A">
            <w:pPr>
              <w:spacing w:after="0"/>
              <w:jc w:val="right"/>
              <w:rPr>
                <w:rFonts w:cs="Calibri"/>
                <w:b/>
                <w:bCs/>
                <w:color w:val="000000"/>
                <w:sz w:val="22"/>
                <w:szCs w:val="22"/>
              </w:rPr>
            </w:pPr>
            <w:r>
              <w:rPr>
                <w:rFonts w:cs="Calibri"/>
                <w:b/>
                <w:bCs/>
                <w:color w:val="000000"/>
                <w:sz w:val="22"/>
                <w:szCs w:val="22"/>
                <w:lang w:val="ga"/>
              </w:rPr>
              <w:t>251</w:t>
            </w:r>
          </w:p>
          <w:p w14:paraId="6E35BBCE" w14:textId="77777777" w:rsidR="00FE243A" w:rsidRPr="00FE243A" w:rsidRDefault="00FE243A" w:rsidP="00FE243A">
            <w:pPr>
              <w:spacing w:after="0"/>
              <w:jc w:val="right"/>
              <w:rPr>
                <w:rFonts w:cs="Arial"/>
                <w:b/>
                <w:bCs/>
                <w:color w:val="000000"/>
                <w:sz w:val="22"/>
                <w:szCs w:val="22"/>
              </w:rPr>
            </w:pPr>
          </w:p>
        </w:tc>
        <w:tc>
          <w:tcPr>
            <w:tcW w:w="1565" w:type="dxa"/>
            <w:tcBorders>
              <w:top w:val="single" w:sz="4" w:space="0" w:color="auto"/>
              <w:left w:val="single" w:sz="4" w:space="0" w:color="auto"/>
              <w:bottom w:val="single" w:sz="4" w:space="0" w:color="auto"/>
              <w:right w:val="single" w:sz="4" w:space="0" w:color="auto"/>
            </w:tcBorders>
          </w:tcPr>
          <w:p w14:paraId="31C23090" w14:textId="305E70CA" w:rsidR="00FE243A" w:rsidRPr="00FE243A" w:rsidRDefault="00FE243A" w:rsidP="00FE243A">
            <w:pPr>
              <w:jc w:val="right"/>
              <w:rPr>
                <w:rFonts w:cs="Arial"/>
                <w:b/>
                <w:bCs/>
                <w:color w:val="000000"/>
                <w:sz w:val="22"/>
                <w:szCs w:val="22"/>
              </w:rPr>
            </w:pPr>
            <w:r>
              <w:rPr>
                <w:rFonts w:cs="Arial"/>
                <w:b/>
                <w:bCs/>
                <w:sz w:val="22"/>
                <w:szCs w:val="22"/>
                <w:lang w:val="ga"/>
              </w:rPr>
              <w:t>4.5%</w:t>
            </w:r>
          </w:p>
        </w:tc>
        <w:tc>
          <w:tcPr>
            <w:tcW w:w="1412" w:type="dxa"/>
            <w:tcBorders>
              <w:top w:val="single" w:sz="4" w:space="0" w:color="auto"/>
              <w:left w:val="single" w:sz="4" w:space="0" w:color="auto"/>
              <w:bottom w:val="single" w:sz="4" w:space="0" w:color="auto"/>
              <w:right w:val="single" w:sz="4" w:space="0" w:color="auto"/>
            </w:tcBorders>
          </w:tcPr>
          <w:p w14:paraId="55276BCA" w14:textId="3B91533F" w:rsidR="00E9757B" w:rsidRDefault="00E9757B" w:rsidP="00E9757B">
            <w:pPr>
              <w:spacing w:after="0"/>
              <w:jc w:val="right"/>
              <w:rPr>
                <w:rFonts w:cs="Calibri"/>
                <w:b/>
                <w:bCs/>
                <w:color w:val="000000"/>
                <w:sz w:val="22"/>
                <w:szCs w:val="22"/>
              </w:rPr>
            </w:pPr>
            <w:r>
              <w:rPr>
                <w:rFonts w:cs="Calibri"/>
                <w:b/>
                <w:bCs/>
                <w:color w:val="000000"/>
                <w:sz w:val="22"/>
                <w:szCs w:val="22"/>
                <w:lang w:val="ga"/>
              </w:rPr>
              <w:t>5,761</w:t>
            </w:r>
          </w:p>
          <w:p w14:paraId="4D89211D" w14:textId="77777777" w:rsidR="00FE243A" w:rsidRPr="00FE243A" w:rsidRDefault="00FE243A" w:rsidP="00FE243A">
            <w:pPr>
              <w:jc w:val="right"/>
              <w:rPr>
                <w:rFonts w:cs="Arial"/>
                <w:b/>
                <w:bCs/>
                <w:color w:val="000000"/>
                <w:sz w:val="22"/>
                <w:szCs w:val="22"/>
              </w:rPr>
            </w:pPr>
          </w:p>
        </w:tc>
        <w:tc>
          <w:tcPr>
            <w:tcW w:w="1418" w:type="dxa"/>
            <w:tcBorders>
              <w:top w:val="single" w:sz="4" w:space="0" w:color="auto"/>
              <w:left w:val="nil"/>
              <w:bottom w:val="single" w:sz="4" w:space="0" w:color="auto"/>
              <w:right w:val="single" w:sz="4" w:space="0" w:color="auto"/>
            </w:tcBorders>
          </w:tcPr>
          <w:p w14:paraId="20ADF80B"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284</w:t>
            </w:r>
          </w:p>
          <w:p w14:paraId="3A52C41D" w14:textId="77777777" w:rsidR="00FE243A" w:rsidRPr="00FE243A" w:rsidRDefault="00FE243A" w:rsidP="00FE243A">
            <w:pPr>
              <w:jc w:val="right"/>
              <w:rPr>
                <w:rFonts w:cs="Arial"/>
                <w:b/>
                <w:bCs/>
                <w:color w:val="000000"/>
                <w:sz w:val="22"/>
                <w:szCs w:val="22"/>
              </w:rPr>
            </w:pPr>
          </w:p>
        </w:tc>
        <w:tc>
          <w:tcPr>
            <w:tcW w:w="1559" w:type="dxa"/>
            <w:tcBorders>
              <w:top w:val="single" w:sz="4" w:space="0" w:color="auto"/>
              <w:left w:val="nil"/>
              <w:bottom w:val="single" w:sz="4" w:space="0" w:color="auto"/>
              <w:right w:val="single" w:sz="4" w:space="0" w:color="auto"/>
            </w:tcBorders>
          </w:tcPr>
          <w:p w14:paraId="5F3A8BAE"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4.9%</w:t>
            </w:r>
          </w:p>
          <w:p w14:paraId="143A4E40" w14:textId="00E665B7" w:rsidR="00FE243A" w:rsidRPr="00FE243A" w:rsidRDefault="00FE243A" w:rsidP="00E9757B">
            <w:pPr>
              <w:spacing w:after="0"/>
              <w:jc w:val="right"/>
              <w:rPr>
                <w:rFonts w:cs="Arial"/>
                <w:b/>
                <w:bCs/>
                <w:sz w:val="22"/>
                <w:szCs w:val="22"/>
              </w:rPr>
            </w:pPr>
          </w:p>
        </w:tc>
      </w:tr>
    </w:tbl>
    <w:p w14:paraId="6CCBA535" w14:textId="77777777" w:rsidR="000D5C5D" w:rsidRPr="00FE243A" w:rsidRDefault="000D5C5D" w:rsidP="000D5C5D"/>
    <w:p w14:paraId="32DB0BB3" w14:textId="77777777" w:rsidR="00F1261F" w:rsidRPr="00611BF3" w:rsidRDefault="00F1261F" w:rsidP="00F1261F">
      <w:pPr>
        <w:pStyle w:val="TableSummary"/>
        <w:rPr>
          <w:highlight w:val="green"/>
        </w:rPr>
      </w:pPr>
    </w:p>
    <w:p w14:paraId="29309F37" w14:textId="77777777" w:rsidR="00624403" w:rsidRPr="00611BF3" w:rsidRDefault="00624403" w:rsidP="00813069">
      <w:pPr>
        <w:spacing w:after="0"/>
        <w:rPr>
          <w:b/>
          <w:highlight w:val="green"/>
        </w:rPr>
      </w:pPr>
    </w:p>
    <w:p w14:paraId="7B1C2EC2" w14:textId="03CF3A9D" w:rsidR="00422693" w:rsidRPr="00611BF3" w:rsidRDefault="00422693">
      <w:pPr>
        <w:spacing w:after="0"/>
        <w:rPr>
          <w:b/>
          <w:highlight w:val="green"/>
        </w:rPr>
      </w:pPr>
      <w:r>
        <w:rPr>
          <w:b/>
          <w:bCs/>
          <w:highlight w:val="green"/>
          <w:lang w:val="ga"/>
        </w:rPr>
        <w:br w:type="page"/>
      </w:r>
    </w:p>
    <w:p w14:paraId="135A3B23" w14:textId="5B9366AF" w:rsidR="00624403" w:rsidRPr="00E9757B" w:rsidRDefault="00624403" w:rsidP="001624B2">
      <w:pPr>
        <w:pStyle w:val="Heading2"/>
        <w:jc w:val="center"/>
        <w:rPr>
          <w:color w:val="000000" w:themeColor="text1"/>
        </w:rPr>
      </w:pPr>
      <w:bookmarkStart w:id="73" w:name="_Toc147910089"/>
      <w:r>
        <w:rPr>
          <w:bCs/>
          <w:color w:val="000000" w:themeColor="text1"/>
          <w:lang w:val="ga"/>
        </w:rPr>
        <w:lastRenderedPageBreak/>
        <w:t>An Roinn Fiontar, Trádála agus Fostaíochta</w:t>
      </w:r>
      <w:bookmarkEnd w:id="73"/>
    </w:p>
    <w:tbl>
      <w:tblPr>
        <w:tblStyle w:val="TableGrid"/>
        <w:tblpPr w:leftFromText="180" w:rightFromText="180" w:vertAnchor="text" w:horzAnchor="margin" w:tblpXSpec="center" w:tblpY="241"/>
        <w:tblW w:w="11477" w:type="dxa"/>
        <w:tblLayout w:type="fixed"/>
        <w:tblLook w:val="04A0" w:firstRow="1" w:lastRow="0" w:firstColumn="1" w:lastColumn="0" w:noHBand="0" w:noVBand="1"/>
        <w:tblCaption w:val="Department of Enterprise Trade &amp; Employment "/>
        <w:tblDescription w:val="Department of Enterprise Trade &amp; Employment (comparison to the former Department of Business, Enterprise &amp; Innovation in 2019)"/>
      </w:tblPr>
      <w:tblGrid>
        <w:gridCol w:w="2415"/>
        <w:gridCol w:w="1559"/>
        <w:gridCol w:w="1560"/>
        <w:gridCol w:w="1549"/>
        <w:gridCol w:w="1286"/>
        <w:gridCol w:w="1559"/>
        <w:gridCol w:w="1549"/>
      </w:tblGrid>
      <w:tr w:rsidR="00EF2C8B" w:rsidRPr="00E9757B" w14:paraId="01BB8DA0" w14:textId="77777777" w:rsidTr="0072284B">
        <w:trPr>
          <w:tblHeader/>
        </w:trPr>
        <w:tc>
          <w:tcPr>
            <w:tcW w:w="2415" w:type="dxa"/>
          </w:tcPr>
          <w:p w14:paraId="5DF68764" w14:textId="77777777" w:rsidR="00EF2C8B" w:rsidRPr="00E9757B" w:rsidRDefault="00EF2C8B" w:rsidP="00EF2C8B">
            <w:pPr>
              <w:pStyle w:val="TableHead"/>
              <w:rPr>
                <w:sz w:val="22"/>
                <w:szCs w:val="22"/>
              </w:rPr>
            </w:pPr>
            <w:r>
              <w:rPr>
                <w:bCs/>
                <w:sz w:val="22"/>
                <w:szCs w:val="22"/>
                <w:lang w:val="ga"/>
              </w:rPr>
              <w:t>Comhlacht Poiblí</w:t>
            </w:r>
          </w:p>
        </w:tc>
        <w:tc>
          <w:tcPr>
            <w:tcW w:w="1559" w:type="dxa"/>
          </w:tcPr>
          <w:p w14:paraId="042A3231" w14:textId="77777777" w:rsidR="00F516FE" w:rsidRPr="00E9757B" w:rsidRDefault="00EF2C8B" w:rsidP="00EF2C8B">
            <w:pPr>
              <w:pStyle w:val="TableHead"/>
              <w:rPr>
                <w:sz w:val="22"/>
                <w:szCs w:val="22"/>
              </w:rPr>
            </w:pPr>
            <w:r>
              <w:rPr>
                <w:bCs/>
                <w:sz w:val="22"/>
                <w:szCs w:val="22"/>
                <w:lang w:val="ga"/>
              </w:rPr>
              <w:t xml:space="preserve">An líon iomlán </w:t>
            </w:r>
          </w:p>
          <w:p w14:paraId="55B4ED3B" w14:textId="307EC6B5" w:rsidR="00EF2C8B" w:rsidRPr="00E9757B" w:rsidRDefault="00EF2C8B" w:rsidP="00EF2C8B">
            <w:pPr>
              <w:pStyle w:val="TableHead"/>
              <w:rPr>
                <w:sz w:val="22"/>
                <w:szCs w:val="22"/>
              </w:rPr>
            </w:pPr>
            <w:r>
              <w:rPr>
                <w:bCs/>
                <w:sz w:val="22"/>
                <w:szCs w:val="22"/>
                <w:lang w:val="ga"/>
              </w:rPr>
              <w:t>fostaithe 2021</w:t>
            </w:r>
          </w:p>
        </w:tc>
        <w:tc>
          <w:tcPr>
            <w:tcW w:w="1560" w:type="dxa"/>
          </w:tcPr>
          <w:p w14:paraId="18FDCB79" w14:textId="77777777" w:rsidR="00EF2C8B" w:rsidRPr="00E9757B" w:rsidRDefault="00EF2C8B" w:rsidP="00EF2C8B">
            <w:pPr>
              <w:pStyle w:val="TableHead"/>
              <w:rPr>
                <w:sz w:val="22"/>
                <w:szCs w:val="22"/>
              </w:rPr>
            </w:pPr>
            <w:r>
              <w:rPr>
                <w:bCs/>
                <w:sz w:val="22"/>
                <w:szCs w:val="22"/>
                <w:lang w:val="ga"/>
              </w:rPr>
              <w:t xml:space="preserve">An líon fostaithe a thuairiscigh míchumas </w:t>
            </w:r>
          </w:p>
          <w:p w14:paraId="5B73AF08" w14:textId="4DD21E54" w:rsidR="00EF2C8B" w:rsidRPr="00E9757B" w:rsidRDefault="00EF2C8B" w:rsidP="00EF2C8B">
            <w:pPr>
              <w:pStyle w:val="TableHead"/>
              <w:rPr>
                <w:sz w:val="22"/>
                <w:szCs w:val="22"/>
              </w:rPr>
            </w:pPr>
            <w:r>
              <w:rPr>
                <w:bCs/>
                <w:sz w:val="22"/>
                <w:szCs w:val="22"/>
                <w:lang w:val="ga"/>
              </w:rPr>
              <w:t>2021</w:t>
            </w:r>
          </w:p>
        </w:tc>
        <w:tc>
          <w:tcPr>
            <w:tcW w:w="1549" w:type="dxa"/>
          </w:tcPr>
          <w:p w14:paraId="000EAA17" w14:textId="77777777" w:rsidR="00EF2C8B" w:rsidRPr="00E9757B" w:rsidRDefault="00EF2C8B" w:rsidP="00EF2C8B">
            <w:pPr>
              <w:pStyle w:val="TableHead"/>
              <w:rPr>
                <w:sz w:val="22"/>
                <w:szCs w:val="22"/>
              </w:rPr>
            </w:pPr>
            <w:r>
              <w:rPr>
                <w:bCs/>
                <w:sz w:val="22"/>
                <w:szCs w:val="22"/>
                <w:lang w:val="ga"/>
              </w:rPr>
              <w:t>An % d’fhostaithe a thuairiscigh</w:t>
            </w:r>
          </w:p>
          <w:p w14:paraId="4D9FE236" w14:textId="5836FA49" w:rsidR="00EF2C8B" w:rsidRPr="00E9757B" w:rsidRDefault="00EF2C8B" w:rsidP="00EF2C8B">
            <w:pPr>
              <w:pStyle w:val="TableHead"/>
              <w:rPr>
                <w:sz w:val="22"/>
                <w:szCs w:val="22"/>
              </w:rPr>
            </w:pPr>
            <w:r>
              <w:rPr>
                <w:bCs/>
                <w:sz w:val="22"/>
                <w:szCs w:val="22"/>
                <w:lang w:val="ga"/>
              </w:rPr>
              <w:t>míchumas 2021</w:t>
            </w:r>
          </w:p>
        </w:tc>
        <w:tc>
          <w:tcPr>
            <w:tcW w:w="1286" w:type="dxa"/>
          </w:tcPr>
          <w:p w14:paraId="158F1166" w14:textId="77777777" w:rsidR="00F516FE" w:rsidRPr="00E9757B" w:rsidRDefault="00EF2C8B" w:rsidP="00EF2C8B">
            <w:pPr>
              <w:pStyle w:val="TableHead"/>
              <w:rPr>
                <w:sz w:val="22"/>
                <w:szCs w:val="22"/>
              </w:rPr>
            </w:pPr>
            <w:r>
              <w:rPr>
                <w:bCs/>
                <w:sz w:val="22"/>
                <w:szCs w:val="22"/>
                <w:lang w:val="ga"/>
              </w:rPr>
              <w:t xml:space="preserve">An líon iomlán </w:t>
            </w:r>
          </w:p>
          <w:p w14:paraId="09B611C1" w14:textId="5E6839B3" w:rsidR="00EF2C8B" w:rsidRPr="00E9757B" w:rsidRDefault="00EF2C8B" w:rsidP="00EF2C8B">
            <w:pPr>
              <w:pStyle w:val="TableHead"/>
              <w:rPr>
                <w:sz w:val="22"/>
                <w:szCs w:val="22"/>
              </w:rPr>
            </w:pPr>
            <w:r>
              <w:rPr>
                <w:bCs/>
                <w:sz w:val="22"/>
                <w:szCs w:val="22"/>
                <w:lang w:val="ga"/>
              </w:rPr>
              <w:t>fostaithe 2022</w:t>
            </w:r>
          </w:p>
        </w:tc>
        <w:tc>
          <w:tcPr>
            <w:tcW w:w="1559" w:type="dxa"/>
          </w:tcPr>
          <w:p w14:paraId="28D3DBF3" w14:textId="77777777" w:rsidR="00EF2C8B" w:rsidRPr="00E9757B" w:rsidRDefault="00EF2C8B" w:rsidP="00EF2C8B">
            <w:pPr>
              <w:pStyle w:val="TableHead"/>
              <w:rPr>
                <w:sz w:val="22"/>
                <w:szCs w:val="22"/>
              </w:rPr>
            </w:pPr>
            <w:r>
              <w:rPr>
                <w:bCs/>
                <w:sz w:val="22"/>
                <w:szCs w:val="22"/>
                <w:lang w:val="ga"/>
              </w:rPr>
              <w:t>An líon fostaithe a thuairiscigh míchumas</w:t>
            </w:r>
          </w:p>
          <w:p w14:paraId="62A9D404" w14:textId="76AA2091" w:rsidR="00EF2C8B" w:rsidRPr="00E9757B" w:rsidRDefault="00EF2C8B" w:rsidP="00EF2C8B">
            <w:pPr>
              <w:pStyle w:val="TableHead"/>
              <w:rPr>
                <w:sz w:val="22"/>
                <w:szCs w:val="22"/>
              </w:rPr>
            </w:pPr>
            <w:r>
              <w:rPr>
                <w:bCs/>
                <w:sz w:val="22"/>
                <w:szCs w:val="22"/>
                <w:lang w:val="ga"/>
              </w:rPr>
              <w:t>2022</w:t>
            </w:r>
          </w:p>
        </w:tc>
        <w:tc>
          <w:tcPr>
            <w:tcW w:w="1549" w:type="dxa"/>
          </w:tcPr>
          <w:p w14:paraId="28377605" w14:textId="77777777" w:rsidR="00EF2C8B" w:rsidRPr="00E9757B" w:rsidRDefault="00EF2C8B" w:rsidP="00EF2C8B">
            <w:pPr>
              <w:pStyle w:val="TableHead"/>
              <w:rPr>
                <w:sz w:val="22"/>
                <w:szCs w:val="22"/>
              </w:rPr>
            </w:pPr>
            <w:r>
              <w:rPr>
                <w:bCs/>
                <w:sz w:val="22"/>
                <w:szCs w:val="22"/>
                <w:lang w:val="ga"/>
              </w:rPr>
              <w:t>An % d’fhostaithe a thuairiscigh</w:t>
            </w:r>
          </w:p>
          <w:p w14:paraId="72B76C1D" w14:textId="403A027D" w:rsidR="00EF2C8B" w:rsidRPr="00E9757B" w:rsidRDefault="00EF2C8B" w:rsidP="00EF2C8B">
            <w:pPr>
              <w:pStyle w:val="TableHead"/>
              <w:rPr>
                <w:sz w:val="24"/>
              </w:rPr>
            </w:pPr>
            <w:r>
              <w:rPr>
                <w:bCs/>
                <w:sz w:val="22"/>
                <w:szCs w:val="22"/>
                <w:lang w:val="ga"/>
              </w:rPr>
              <w:t>míchumas 2022</w:t>
            </w:r>
          </w:p>
        </w:tc>
      </w:tr>
      <w:tr w:rsidR="00E9757B" w:rsidRPr="00E9757B" w14:paraId="2B60BCC6" w14:textId="77777777" w:rsidTr="0072284B">
        <w:tc>
          <w:tcPr>
            <w:tcW w:w="2415" w:type="dxa"/>
          </w:tcPr>
          <w:p w14:paraId="1334D49F" w14:textId="77777777" w:rsidR="00E9757B" w:rsidRPr="00E9757B" w:rsidRDefault="00E9757B" w:rsidP="00E9757B">
            <w:pPr>
              <w:rPr>
                <w:sz w:val="22"/>
                <w:szCs w:val="22"/>
              </w:rPr>
            </w:pPr>
            <w:r>
              <w:rPr>
                <w:rFonts w:cs="Calibri"/>
                <w:color w:val="000000"/>
                <w:sz w:val="22"/>
                <w:szCs w:val="22"/>
                <w:lang w:val="ga"/>
              </w:rPr>
              <w:t>An Coimisiún um Iomaíocht agus Cosaint Tomhaltóirí</w:t>
            </w:r>
          </w:p>
        </w:tc>
        <w:tc>
          <w:tcPr>
            <w:tcW w:w="1559" w:type="dxa"/>
          </w:tcPr>
          <w:p w14:paraId="6CCD92A8" w14:textId="4E9C38A7" w:rsidR="00E9757B" w:rsidRPr="00E9757B" w:rsidRDefault="00E9757B" w:rsidP="00E9757B">
            <w:pPr>
              <w:spacing w:after="0"/>
              <w:jc w:val="right"/>
              <w:rPr>
                <w:sz w:val="22"/>
                <w:szCs w:val="22"/>
              </w:rPr>
            </w:pPr>
            <w:r>
              <w:rPr>
                <w:rFonts w:cs="Calibri"/>
                <w:color w:val="000000"/>
                <w:sz w:val="22"/>
                <w:szCs w:val="22"/>
                <w:lang w:val="ga"/>
              </w:rPr>
              <w:t>137</w:t>
            </w:r>
          </w:p>
        </w:tc>
        <w:tc>
          <w:tcPr>
            <w:tcW w:w="1560" w:type="dxa"/>
          </w:tcPr>
          <w:p w14:paraId="25801F09" w14:textId="72C39B96" w:rsidR="00E9757B" w:rsidRPr="00E9757B" w:rsidRDefault="00E9757B" w:rsidP="00E9757B">
            <w:pPr>
              <w:spacing w:after="0"/>
              <w:jc w:val="right"/>
              <w:rPr>
                <w:sz w:val="22"/>
                <w:szCs w:val="22"/>
              </w:rPr>
            </w:pPr>
            <w:r>
              <w:rPr>
                <w:rFonts w:cs="Calibri"/>
                <w:color w:val="000000"/>
                <w:sz w:val="22"/>
                <w:szCs w:val="22"/>
                <w:lang w:val="ga"/>
              </w:rPr>
              <w:t>10</w:t>
            </w:r>
          </w:p>
        </w:tc>
        <w:tc>
          <w:tcPr>
            <w:tcW w:w="1549" w:type="dxa"/>
          </w:tcPr>
          <w:p w14:paraId="3F33543E" w14:textId="16D7559C" w:rsidR="00E9757B" w:rsidRPr="00E9757B" w:rsidRDefault="00E9757B" w:rsidP="00E9757B">
            <w:pPr>
              <w:spacing w:after="0"/>
              <w:jc w:val="right"/>
              <w:rPr>
                <w:sz w:val="22"/>
                <w:szCs w:val="22"/>
              </w:rPr>
            </w:pPr>
            <w:r>
              <w:rPr>
                <w:rFonts w:cs="Calibri"/>
                <w:color w:val="000000"/>
                <w:sz w:val="22"/>
                <w:szCs w:val="22"/>
                <w:lang w:val="ga"/>
              </w:rPr>
              <w:t>7.3%</w:t>
            </w:r>
          </w:p>
        </w:tc>
        <w:tc>
          <w:tcPr>
            <w:tcW w:w="1286" w:type="dxa"/>
          </w:tcPr>
          <w:p w14:paraId="42DC77F5" w14:textId="77777777" w:rsidR="00E9757B" w:rsidRDefault="00E9757B" w:rsidP="00E9757B">
            <w:pPr>
              <w:spacing w:after="0"/>
              <w:jc w:val="right"/>
              <w:rPr>
                <w:rFonts w:cs="Calibri"/>
                <w:color w:val="000000"/>
                <w:sz w:val="22"/>
                <w:szCs w:val="22"/>
              </w:rPr>
            </w:pPr>
            <w:r>
              <w:rPr>
                <w:rFonts w:cs="Calibri"/>
                <w:color w:val="000000"/>
                <w:sz w:val="22"/>
                <w:szCs w:val="22"/>
                <w:lang w:val="ga"/>
              </w:rPr>
              <w:t>145</w:t>
            </w:r>
          </w:p>
          <w:p w14:paraId="2F339C4D" w14:textId="223B1F6E" w:rsidR="00E9757B" w:rsidRPr="00E9757B" w:rsidRDefault="00E9757B" w:rsidP="00E9757B">
            <w:pPr>
              <w:jc w:val="right"/>
              <w:rPr>
                <w:sz w:val="22"/>
                <w:szCs w:val="22"/>
              </w:rPr>
            </w:pPr>
          </w:p>
        </w:tc>
        <w:tc>
          <w:tcPr>
            <w:tcW w:w="1559" w:type="dxa"/>
          </w:tcPr>
          <w:p w14:paraId="596A183A" w14:textId="77777777" w:rsidR="00E9757B" w:rsidRDefault="00E9757B" w:rsidP="00E9757B">
            <w:pPr>
              <w:spacing w:after="0"/>
              <w:jc w:val="right"/>
              <w:rPr>
                <w:rFonts w:cs="Calibri"/>
                <w:color w:val="000000"/>
                <w:sz w:val="22"/>
                <w:szCs w:val="22"/>
              </w:rPr>
            </w:pPr>
            <w:r>
              <w:rPr>
                <w:rFonts w:cs="Calibri"/>
                <w:color w:val="000000"/>
                <w:sz w:val="22"/>
                <w:szCs w:val="22"/>
                <w:lang w:val="ga"/>
              </w:rPr>
              <w:t>11</w:t>
            </w:r>
          </w:p>
          <w:p w14:paraId="69FFFE47" w14:textId="5013CA0C" w:rsidR="00E9757B" w:rsidRPr="00E9757B" w:rsidRDefault="00E9757B" w:rsidP="00E9757B">
            <w:pPr>
              <w:jc w:val="right"/>
              <w:rPr>
                <w:sz w:val="22"/>
                <w:szCs w:val="22"/>
              </w:rPr>
            </w:pPr>
          </w:p>
        </w:tc>
        <w:tc>
          <w:tcPr>
            <w:tcW w:w="1549" w:type="dxa"/>
          </w:tcPr>
          <w:p w14:paraId="08BB87FE" w14:textId="77777777" w:rsidR="00B810CC" w:rsidRDefault="00B810CC" w:rsidP="00B810CC">
            <w:pPr>
              <w:spacing w:after="0"/>
              <w:jc w:val="right"/>
              <w:rPr>
                <w:rFonts w:cs="Calibri"/>
                <w:color w:val="000000"/>
                <w:sz w:val="22"/>
                <w:szCs w:val="22"/>
              </w:rPr>
            </w:pPr>
            <w:r>
              <w:rPr>
                <w:rFonts w:cs="Calibri"/>
                <w:color w:val="000000"/>
                <w:sz w:val="22"/>
                <w:szCs w:val="22"/>
                <w:lang w:val="ga"/>
              </w:rPr>
              <w:t>7.6%</w:t>
            </w:r>
          </w:p>
          <w:p w14:paraId="1CCACE80" w14:textId="751209ED" w:rsidR="00E9757B" w:rsidRPr="00E9757B" w:rsidRDefault="00E9757B" w:rsidP="00E9757B">
            <w:pPr>
              <w:jc w:val="right"/>
              <w:rPr>
                <w:sz w:val="22"/>
                <w:szCs w:val="22"/>
              </w:rPr>
            </w:pPr>
          </w:p>
        </w:tc>
      </w:tr>
      <w:tr w:rsidR="00E9757B" w:rsidRPr="00E9757B" w14:paraId="27892BEB" w14:textId="77777777" w:rsidTr="0072284B">
        <w:tc>
          <w:tcPr>
            <w:tcW w:w="2415" w:type="dxa"/>
          </w:tcPr>
          <w:p w14:paraId="3936BB37" w14:textId="77777777" w:rsidR="00E9757B" w:rsidRPr="00E9757B" w:rsidRDefault="00E9757B" w:rsidP="00E9757B">
            <w:pPr>
              <w:rPr>
                <w:sz w:val="22"/>
                <w:szCs w:val="22"/>
              </w:rPr>
            </w:pPr>
            <w:r>
              <w:rPr>
                <w:rFonts w:cs="Calibri"/>
                <w:color w:val="000000"/>
                <w:sz w:val="22"/>
                <w:szCs w:val="22"/>
                <w:lang w:val="ga"/>
              </w:rPr>
              <w:t>Fiontraíocht Éireann</w:t>
            </w:r>
          </w:p>
        </w:tc>
        <w:tc>
          <w:tcPr>
            <w:tcW w:w="1559" w:type="dxa"/>
          </w:tcPr>
          <w:p w14:paraId="03B90B2B" w14:textId="6FE00557" w:rsidR="00E9757B" w:rsidRPr="00E9757B" w:rsidRDefault="00E9757B" w:rsidP="00E9757B">
            <w:pPr>
              <w:spacing w:after="0"/>
              <w:jc w:val="right"/>
              <w:rPr>
                <w:sz w:val="22"/>
                <w:szCs w:val="22"/>
              </w:rPr>
            </w:pPr>
            <w:r>
              <w:rPr>
                <w:rFonts w:cs="Calibri"/>
                <w:color w:val="000000"/>
                <w:sz w:val="22"/>
                <w:szCs w:val="22"/>
                <w:lang w:val="ga"/>
              </w:rPr>
              <w:t>662</w:t>
            </w:r>
          </w:p>
        </w:tc>
        <w:tc>
          <w:tcPr>
            <w:tcW w:w="1560" w:type="dxa"/>
          </w:tcPr>
          <w:p w14:paraId="6CEE3075" w14:textId="614DAFE6" w:rsidR="00E9757B" w:rsidRPr="00E9757B" w:rsidRDefault="00E9757B" w:rsidP="00E9757B">
            <w:pPr>
              <w:spacing w:after="0"/>
              <w:jc w:val="right"/>
              <w:rPr>
                <w:sz w:val="22"/>
                <w:szCs w:val="22"/>
              </w:rPr>
            </w:pPr>
            <w:r>
              <w:rPr>
                <w:rFonts w:cs="Calibri"/>
                <w:color w:val="000000"/>
                <w:sz w:val="22"/>
                <w:szCs w:val="22"/>
                <w:lang w:val="ga"/>
              </w:rPr>
              <w:t>31</w:t>
            </w:r>
          </w:p>
        </w:tc>
        <w:tc>
          <w:tcPr>
            <w:tcW w:w="1549" w:type="dxa"/>
          </w:tcPr>
          <w:p w14:paraId="08C5EF6B" w14:textId="28BBA4AA" w:rsidR="00E9757B" w:rsidRPr="00E9757B" w:rsidRDefault="00E9757B" w:rsidP="00E9757B">
            <w:pPr>
              <w:spacing w:after="0"/>
              <w:jc w:val="right"/>
              <w:rPr>
                <w:sz w:val="22"/>
                <w:szCs w:val="22"/>
              </w:rPr>
            </w:pPr>
            <w:r>
              <w:rPr>
                <w:rFonts w:cs="Calibri"/>
                <w:color w:val="000000"/>
                <w:sz w:val="22"/>
                <w:szCs w:val="22"/>
                <w:lang w:val="ga"/>
              </w:rPr>
              <w:t>4.7%</w:t>
            </w:r>
          </w:p>
        </w:tc>
        <w:tc>
          <w:tcPr>
            <w:tcW w:w="1286" w:type="dxa"/>
          </w:tcPr>
          <w:p w14:paraId="1EB882FF" w14:textId="77777777" w:rsidR="00E9757B" w:rsidRDefault="00E9757B" w:rsidP="00E9757B">
            <w:pPr>
              <w:spacing w:after="0"/>
              <w:jc w:val="right"/>
              <w:rPr>
                <w:rFonts w:cs="Calibri"/>
                <w:color w:val="000000"/>
                <w:sz w:val="22"/>
                <w:szCs w:val="22"/>
              </w:rPr>
            </w:pPr>
            <w:r>
              <w:rPr>
                <w:rFonts w:cs="Calibri"/>
                <w:color w:val="000000"/>
                <w:sz w:val="22"/>
                <w:szCs w:val="22"/>
                <w:lang w:val="ga"/>
              </w:rPr>
              <w:t>654</w:t>
            </w:r>
          </w:p>
          <w:p w14:paraId="2C7E998A" w14:textId="442E5B74" w:rsidR="00E9757B" w:rsidRPr="00E9757B" w:rsidRDefault="00E9757B" w:rsidP="00E9757B">
            <w:pPr>
              <w:jc w:val="right"/>
              <w:rPr>
                <w:sz w:val="22"/>
                <w:szCs w:val="22"/>
              </w:rPr>
            </w:pPr>
          </w:p>
        </w:tc>
        <w:tc>
          <w:tcPr>
            <w:tcW w:w="1559" w:type="dxa"/>
          </w:tcPr>
          <w:p w14:paraId="546D1C9B" w14:textId="77777777" w:rsidR="00B810CC" w:rsidRDefault="00B810CC" w:rsidP="00B810CC">
            <w:pPr>
              <w:spacing w:after="0"/>
              <w:jc w:val="right"/>
              <w:rPr>
                <w:rFonts w:cs="Calibri"/>
                <w:color w:val="000000"/>
                <w:sz w:val="22"/>
                <w:szCs w:val="22"/>
              </w:rPr>
            </w:pPr>
            <w:r>
              <w:rPr>
                <w:rFonts w:cs="Calibri"/>
                <w:color w:val="000000"/>
                <w:sz w:val="22"/>
                <w:szCs w:val="22"/>
                <w:lang w:val="ga"/>
              </w:rPr>
              <w:t>31</w:t>
            </w:r>
          </w:p>
          <w:p w14:paraId="0FD5096B" w14:textId="718CDE05" w:rsidR="00E9757B" w:rsidRPr="00E9757B" w:rsidRDefault="00E9757B" w:rsidP="00E9757B">
            <w:pPr>
              <w:jc w:val="right"/>
              <w:rPr>
                <w:sz w:val="22"/>
                <w:szCs w:val="22"/>
              </w:rPr>
            </w:pPr>
          </w:p>
        </w:tc>
        <w:tc>
          <w:tcPr>
            <w:tcW w:w="1549" w:type="dxa"/>
          </w:tcPr>
          <w:p w14:paraId="0C785082" w14:textId="77777777" w:rsidR="00B810CC" w:rsidRDefault="00B810CC" w:rsidP="00B810CC">
            <w:pPr>
              <w:spacing w:after="0"/>
              <w:jc w:val="right"/>
              <w:rPr>
                <w:rFonts w:cs="Calibri"/>
                <w:color w:val="000000"/>
                <w:sz w:val="22"/>
                <w:szCs w:val="22"/>
              </w:rPr>
            </w:pPr>
            <w:r>
              <w:rPr>
                <w:rFonts w:cs="Calibri"/>
                <w:color w:val="000000"/>
                <w:sz w:val="22"/>
                <w:szCs w:val="22"/>
                <w:lang w:val="ga"/>
              </w:rPr>
              <w:t>4.7%</w:t>
            </w:r>
          </w:p>
          <w:p w14:paraId="7AD70FE1" w14:textId="5131761C" w:rsidR="00E9757B" w:rsidRPr="00E9757B" w:rsidRDefault="00E9757B" w:rsidP="00E9757B">
            <w:pPr>
              <w:jc w:val="right"/>
              <w:rPr>
                <w:sz w:val="22"/>
                <w:szCs w:val="22"/>
              </w:rPr>
            </w:pPr>
          </w:p>
        </w:tc>
      </w:tr>
      <w:tr w:rsidR="00E9757B" w:rsidRPr="00E9757B" w14:paraId="67ABA0BB" w14:textId="77777777" w:rsidTr="0072284B">
        <w:tc>
          <w:tcPr>
            <w:tcW w:w="2415" w:type="dxa"/>
          </w:tcPr>
          <w:p w14:paraId="54668F8A" w14:textId="77777777" w:rsidR="00E9757B" w:rsidRPr="00E9757B" w:rsidRDefault="00E9757B" w:rsidP="00E9757B">
            <w:pPr>
              <w:rPr>
                <w:sz w:val="22"/>
                <w:szCs w:val="22"/>
              </w:rPr>
            </w:pPr>
            <w:r>
              <w:rPr>
                <w:rFonts w:cs="Calibri"/>
                <w:color w:val="000000"/>
                <w:sz w:val="22"/>
                <w:szCs w:val="22"/>
                <w:lang w:val="ga"/>
              </w:rPr>
              <w:t>An tÚdarás Sláinte agus Sábháilteachta</w:t>
            </w:r>
          </w:p>
        </w:tc>
        <w:tc>
          <w:tcPr>
            <w:tcW w:w="1559" w:type="dxa"/>
          </w:tcPr>
          <w:p w14:paraId="7D9D91AC" w14:textId="454457B0" w:rsidR="00E9757B" w:rsidRPr="00E9757B" w:rsidRDefault="00E9757B" w:rsidP="00E9757B">
            <w:pPr>
              <w:spacing w:after="0"/>
              <w:jc w:val="right"/>
              <w:rPr>
                <w:sz w:val="22"/>
                <w:szCs w:val="22"/>
              </w:rPr>
            </w:pPr>
            <w:r>
              <w:rPr>
                <w:rFonts w:cs="Calibri"/>
                <w:color w:val="000000"/>
                <w:sz w:val="22"/>
                <w:szCs w:val="22"/>
                <w:lang w:val="ga"/>
              </w:rPr>
              <w:t>210</w:t>
            </w:r>
          </w:p>
        </w:tc>
        <w:tc>
          <w:tcPr>
            <w:tcW w:w="1560" w:type="dxa"/>
          </w:tcPr>
          <w:p w14:paraId="20EA6CF2" w14:textId="5338E037" w:rsidR="00E9757B" w:rsidRPr="00E9757B" w:rsidRDefault="00E9757B" w:rsidP="00E9757B">
            <w:pPr>
              <w:spacing w:after="0"/>
              <w:jc w:val="right"/>
              <w:rPr>
                <w:sz w:val="22"/>
                <w:szCs w:val="22"/>
              </w:rPr>
            </w:pPr>
            <w:r>
              <w:rPr>
                <w:rFonts w:cs="Calibri"/>
                <w:color w:val="000000"/>
                <w:sz w:val="22"/>
                <w:szCs w:val="22"/>
                <w:lang w:val="ga"/>
              </w:rPr>
              <w:t>16</w:t>
            </w:r>
          </w:p>
        </w:tc>
        <w:tc>
          <w:tcPr>
            <w:tcW w:w="1549" w:type="dxa"/>
          </w:tcPr>
          <w:p w14:paraId="5C624452" w14:textId="0545C73A" w:rsidR="00E9757B" w:rsidRPr="00E9757B" w:rsidRDefault="00E9757B" w:rsidP="00E9757B">
            <w:pPr>
              <w:spacing w:after="0"/>
              <w:jc w:val="right"/>
              <w:rPr>
                <w:sz w:val="22"/>
                <w:szCs w:val="22"/>
              </w:rPr>
            </w:pPr>
            <w:r>
              <w:rPr>
                <w:rFonts w:cs="Calibri"/>
                <w:color w:val="000000"/>
                <w:sz w:val="22"/>
                <w:szCs w:val="22"/>
                <w:lang w:val="ga"/>
              </w:rPr>
              <w:t>7.6%</w:t>
            </w:r>
          </w:p>
        </w:tc>
        <w:tc>
          <w:tcPr>
            <w:tcW w:w="1286" w:type="dxa"/>
          </w:tcPr>
          <w:p w14:paraId="6C05A200" w14:textId="77777777" w:rsidR="00E9757B" w:rsidRDefault="00E9757B" w:rsidP="00E9757B">
            <w:pPr>
              <w:spacing w:after="0"/>
              <w:jc w:val="right"/>
              <w:rPr>
                <w:rFonts w:cs="Calibri"/>
                <w:color w:val="000000"/>
                <w:sz w:val="22"/>
                <w:szCs w:val="22"/>
              </w:rPr>
            </w:pPr>
            <w:r>
              <w:rPr>
                <w:rFonts w:cs="Calibri"/>
                <w:color w:val="000000"/>
                <w:sz w:val="22"/>
                <w:szCs w:val="22"/>
                <w:lang w:val="ga"/>
              </w:rPr>
              <w:t>232</w:t>
            </w:r>
          </w:p>
          <w:p w14:paraId="40E3F7C6" w14:textId="486CC8E4" w:rsidR="00E9757B" w:rsidRPr="00E9757B" w:rsidRDefault="00E9757B" w:rsidP="00E9757B">
            <w:pPr>
              <w:jc w:val="right"/>
              <w:rPr>
                <w:sz w:val="22"/>
                <w:szCs w:val="22"/>
              </w:rPr>
            </w:pPr>
          </w:p>
        </w:tc>
        <w:tc>
          <w:tcPr>
            <w:tcW w:w="1559" w:type="dxa"/>
          </w:tcPr>
          <w:p w14:paraId="4904D10D" w14:textId="77777777" w:rsidR="00B810CC" w:rsidRDefault="00B810CC" w:rsidP="00B810CC">
            <w:pPr>
              <w:spacing w:after="0"/>
              <w:jc w:val="right"/>
              <w:rPr>
                <w:rFonts w:cs="Calibri"/>
                <w:color w:val="000000"/>
                <w:sz w:val="22"/>
                <w:szCs w:val="22"/>
              </w:rPr>
            </w:pPr>
            <w:r>
              <w:rPr>
                <w:rFonts w:cs="Calibri"/>
                <w:color w:val="000000"/>
                <w:sz w:val="22"/>
                <w:szCs w:val="22"/>
                <w:lang w:val="ga"/>
              </w:rPr>
              <w:t>12</w:t>
            </w:r>
          </w:p>
          <w:p w14:paraId="04A535AF" w14:textId="198CC4F6" w:rsidR="00E9757B" w:rsidRPr="00E9757B" w:rsidRDefault="00E9757B" w:rsidP="00E9757B">
            <w:pPr>
              <w:jc w:val="right"/>
              <w:rPr>
                <w:sz w:val="22"/>
                <w:szCs w:val="22"/>
              </w:rPr>
            </w:pPr>
          </w:p>
        </w:tc>
        <w:tc>
          <w:tcPr>
            <w:tcW w:w="1549" w:type="dxa"/>
          </w:tcPr>
          <w:p w14:paraId="48629FBC" w14:textId="77777777" w:rsidR="00B810CC" w:rsidRDefault="00B810CC" w:rsidP="00B810CC">
            <w:pPr>
              <w:spacing w:after="0"/>
              <w:jc w:val="right"/>
              <w:rPr>
                <w:rFonts w:cs="Calibri"/>
                <w:color w:val="000000"/>
                <w:sz w:val="22"/>
                <w:szCs w:val="22"/>
              </w:rPr>
            </w:pPr>
            <w:r>
              <w:rPr>
                <w:rFonts w:cs="Calibri"/>
                <w:color w:val="000000"/>
                <w:sz w:val="22"/>
                <w:szCs w:val="22"/>
                <w:lang w:val="ga"/>
              </w:rPr>
              <w:t>5.2%</w:t>
            </w:r>
          </w:p>
          <w:p w14:paraId="51092A61" w14:textId="417751E0" w:rsidR="00E9757B" w:rsidRPr="00E9757B" w:rsidRDefault="00E9757B" w:rsidP="00E9757B">
            <w:pPr>
              <w:jc w:val="right"/>
              <w:rPr>
                <w:sz w:val="22"/>
                <w:szCs w:val="22"/>
              </w:rPr>
            </w:pPr>
          </w:p>
        </w:tc>
      </w:tr>
      <w:tr w:rsidR="00E9757B" w:rsidRPr="00E9757B" w14:paraId="3F2E65BB" w14:textId="77777777" w:rsidTr="0072284B">
        <w:tc>
          <w:tcPr>
            <w:tcW w:w="2415" w:type="dxa"/>
          </w:tcPr>
          <w:p w14:paraId="3E420970" w14:textId="77777777" w:rsidR="00E9757B" w:rsidRPr="00E9757B" w:rsidRDefault="00E9757B" w:rsidP="00E9757B">
            <w:pPr>
              <w:spacing w:after="0"/>
              <w:rPr>
                <w:sz w:val="22"/>
                <w:szCs w:val="22"/>
              </w:rPr>
            </w:pPr>
            <w:r>
              <w:rPr>
                <w:rFonts w:cs="Calibri"/>
                <w:color w:val="000000"/>
                <w:sz w:val="22"/>
                <w:szCs w:val="22"/>
                <w:lang w:val="ga"/>
              </w:rPr>
              <w:t>GFT Éireann</w:t>
            </w:r>
          </w:p>
        </w:tc>
        <w:tc>
          <w:tcPr>
            <w:tcW w:w="1559" w:type="dxa"/>
          </w:tcPr>
          <w:p w14:paraId="0670EFEC" w14:textId="0D27FACF" w:rsidR="00E9757B" w:rsidRPr="00E9757B" w:rsidRDefault="00E9757B" w:rsidP="00E9757B">
            <w:pPr>
              <w:spacing w:after="0"/>
              <w:jc w:val="right"/>
              <w:rPr>
                <w:sz w:val="22"/>
                <w:szCs w:val="22"/>
              </w:rPr>
            </w:pPr>
            <w:r>
              <w:rPr>
                <w:rFonts w:cs="Calibri"/>
                <w:color w:val="000000"/>
                <w:sz w:val="22"/>
                <w:szCs w:val="22"/>
                <w:lang w:val="ga"/>
              </w:rPr>
              <w:t>354</w:t>
            </w:r>
          </w:p>
        </w:tc>
        <w:tc>
          <w:tcPr>
            <w:tcW w:w="1560" w:type="dxa"/>
          </w:tcPr>
          <w:p w14:paraId="35B0E93B" w14:textId="098F3639" w:rsidR="00E9757B" w:rsidRPr="00E9757B" w:rsidRDefault="00E9757B" w:rsidP="00E9757B">
            <w:pPr>
              <w:spacing w:after="0"/>
              <w:jc w:val="right"/>
              <w:rPr>
                <w:sz w:val="22"/>
                <w:szCs w:val="22"/>
              </w:rPr>
            </w:pPr>
            <w:r>
              <w:rPr>
                <w:rFonts w:cs="Calibri"/>
                <w:color w:val="000000"/>
                <w:sz w:val="22"/>
                <w:szCs w:val="22"/>
                <w:lang w:val="ga"/>
              </w:rPr>
              <w:t>26</w:t>
            </w:r>
          </w:p>
        </w:tc>
        <w:tc>
          <w:tcPr>
            <w:tcW w:w="1549" w:type="dxa"/>
          </w:tcPr>
          <w:p w14:paraId="5EF0549F" w14:textId="3FBE1C2B" w:rsidR="00E9757B" w:rsidRPr="00E9757B" w:rsidRDefault="00E9757B" w:rsidP="00E9757B">
            <w:pPr>
              <w:spacing w:after="0"/>
              <w:jc w:val="right"/>
              <w:rPr>
                <w:sz w:val="22"/>
                <w:szCs w:val="22"/>
              </w:rPr>
            </w:pPr>
            <w:r>
              <w:rPr>
                <w:rFonts w:cs="Calibri"/>
                <w:color w:val="000000"/>
                <w:sz w:val="22"/>
                <w:szCs w:val="22"/>
                <w:lang w:val="ga"/>
              </w:rPr>
              <w:t>7.3%</w:t>
            </w:r>
          </w:p>
        </w:tc>
        <w:tc>
          <w:tcPr>
            <w:tcW w:w="1286" w:type="dxa"/>
          </w:tcPr>
          <w:p w14:paraId="4C3100D2" w14:textId="77777777" w:rsidR="00E9757B" w:rsidRDefault="00E9757B" w:rsidP="00E9757B">
            <w:pPr>
              <w:spacing w:after="0"/>
              <w:jc w:val="right"/>
              <w:rPr>
                <w:rFonts w:cs="Calibri"/>
                <w:color w:val="000000"/>
                <w:sz w:val="22"/>
                <w:szCs w:val="22"/>
              </w:rPr>
            </w:pPr>
            <w:r>
              <w:rPr>
                <w:rFonts w:cs="Calibri"/>
                <w:color w:val="000000"/>
                <w:sz w:val="22"/>
                <w:szCs w:val="22"/>
                <w:lang w:val="ga"/>
              </w:rPr>
              <w:t>360</w:t>
            </w:r>
          </w:p>
          <w:p w14:paraId="44EB4FF2" w14:textId="4A36BEC5" w:rsidR="00E9757B" w:rsidRPr="00E9757B" w:rsidRDefault="00E9757B" w:rsidP="00E9757B">
            <w:pPr>
              <w:jc w:val="right"/>
              <w:rPr>
                <w:sz w:val="22"/>
                <w:szCs w:val="22"/>
              </w:rPr>
            </w:pPr>
          </w:p>
        </w:tc>
        <w:tc>
          <w:tcPr>
            <w:tcW w:w="1559" w:type="dxa"/>
          </w:tcPr>
          <w:p w14:paraId="3A5B26EB" w14:textId="77777777" w:rsidR="00B810CC" w:rsidRDefault="00B810CC" w:rsidP="00B810CC">
            <w:pPr>
              <w:spacing w:after="0"/>
              <w:jc w:val="right"/>
              <w:rPr>
                <w:rFonts w:cs="Calibri"/>
                <w:color w:val="000000"/>
                <w:sz w:val="22"/>
                <w:szCs w:val="22"/>
              </w:rPr>
            </w:pPr>
            <w:r>
              <w:rPr>
                <w:rFonts w:cs="Calibri"/>
                <w:color w:val="000000"/>
                <w:sz w:val="22"/>
                <w:szCs w:val="22"/>
                <w:lang w:val="ga"/>
              </w:rPr>
              <w:t>26</w:t>
            </w:r>
          </w:p>
          <w:p w14:paraId="1266DE3E" w14:textId="5890E890" w:rsidR="00E9757B" w:rsidRPr="00E9757B" w:rsidRDefault="00E9757B" w:rsidP="00E9757B">
            <w:pPr>
              <w:jc w:val="right"/>
              <w:rPr>
                <w:sz w:val="22"/>
                <w:szCs w:val="22"/>
              </w:rPr>
            </w:pPr>
          </w:p>
        </w:tc>
        <w:tc>
          <w:tcPr>
            <w:tcW w:w="1549" w:type="dxa"/>
          </w:tcPr>
          <w:p w14:paraId="0B6EE961" w14:textId="77777777" w:rsidR="00B810CC" w:rsidRDefault="00B810CC" w:rsidP="00B810CC">
            <w:pPr>
              <w:spacing w:after="0"/>
              <w:jc w:val="right"/>
              <w:rPr>
                <w:rFonts w:cs="Calibri"/>
                <w:color w:val="000000"/>
                <w:sz w:val="22"/>
                <w:szCs w:val="22"/>
              </w:rPr>
            </w:pPr>
            <w:r>
              <w:rPr>
                <w:rFonts w:cs="Calibri"/>
                <w:color w:val="000000"/>
                <w:sz w:val="22"/>
                <w:szCs w:val="22"/>
                <w:lang w:val="ga"/>
              </w:rPr>
              <w:t>7.2%</w:t>
            </w:r>
          </w:p>
          <w:p w14:paraId="0F68B682" w14:textId="10639D29" w:rsidR="00E9757B" w:rsidRPr="00E9757B" w:rsidRDefault="00E9757B" w:rsidP="00E9757B">
            <w:pPr>
              <w:jc w:val="right"/>
              <w:rPr>
                <w:sz w:val="22"/>
                <w:szCs w:val="22"/>
              </w:rPr>
            </w:pPr>
          </w:p>
        </w:tc>
      </w:tr>
      <w:tr w:rsidR="00E9757B" w:rsidRPr="00E9757B" w14:paraId="430EF502" w14:textId="77777777" w:rsidTr="0072284B">
        <w:tc>
          <w:tcPr>
            <w:tcW w:w="2415" w:type="dxa"/>
          </w:tcPr>
          <w:p w14:paraId="72017BDD" w14:textId="77777777" w:rsidR="00E9757B" w:rsidRPr="00E9757B" w:rsidRDefault="00E9757B" w:rsidP="00E9757B">
            <w:pPr>
              <w:rPr>
                <w:sz w:val="22"/>
                <w:szCs w:val="22"/>
              </w:rPr>
            </w:pPr>
            <w:r>
              <w:rPr>
                <w:rFonts w:cs="Calibri"/>
                <w:color w:val="000000"/>
                <w:sz w:val="22"/>
                <w:szCs w:val="22"/>
                <w:lang w:val="ga"/>
              </w:rPr>
              <w:t>Idir-Thrádáil Éireann</w:t>
            </w:r>
          </w:p>
        </w:tc>
        <w:tc>
          <w:tcPr>
            <w:tcW w:w="1559" w:type="dxa"/>
          </w:tcPr>
          <w:p w14:paraId="3DF9D1AF" w14:textId="553401AF" w:rsidR="00E9757B" w:rsidRPr="00E9757B" w:rsidRDefault="00E9757B" w:rsidP="00E9757B">
            <w:pPr>
              <w:spacing w:after="0"/>
              <w:jc w:val="right"/>
              <w:rPr>
                <w:sz w:val="22"/>
                <w:szCs w:val="22"/>
              </w:rPr>
            </w:pPr>
            <w:r>
              <w:rPr>
                <w:rFonts w:cs="Calibri"/>
                <w:color w:val="000000"/>
                <w:sz w:val="22"/>
                <w:szCs w:val="22"/>
                <w:lang w:val="ga"/>
              </w:rPr>
              <w:t>56</w:t>
            </w:r>
          </w:p>
        </w:tc>
        <w:tc>
          <w:tcPr>
            <w:tcW w:w="1560" w:type="dxa"/>
          </w:tcPr>
          <w:p w14:paraId="33EDFEEA" w14:textId="1DD359D2" w:rsidR="00E9757B" w:rsidRPr="00E9757B" w:rsidRDefault="00E9757B" w:rsidP="00E9757B">
            <w:pPr>
              <w:spacing w:after="0"/>
              <w:jc w:val="right"/>
              <w:rPr>
                <w:sz w:val="22"/>
                <w:szCs w:val="22"/>
              </w:rPr>
            </w:pPr>
            <w:r>
              <w:rPr>
                <w:rFonts w:cs="Calibri"/>
                <w:color w:val="000000"/>
                <w:sz w:val="22"/>
                <w:szCs w:val="22"/>
                <w:lang w:val="ga"/>
              </w:rPr>
              <w:t>3</w:t>
            </w:r>
          </w:p>
        </w:tc>
        <w:tc>
          <w:tcPr>
            <w:tcW w:w="1549" w:type="dxa"/>
          </w:tcPr>
          <w:p w14:paraId="4C5936C4" w14:textId="1A522E9C" w:rsidR="00E9757B" w:rsidRPr="00E9757B" w:rsidRDefault="00E9757B" w:rsidP="00E9757B">
            <w:pPr>
              <w:spacing w:after="0"/>
              <w:jc w:val="right"/>
              <w:rPr>
                <w:sz w:val="22"/>
                <w:szCs w:val="22"/>
              </w:rPr>
            </w:pPr>
            <w:r>
              <w:rPr>
                <w:rFonts w:cs="Calibri"/>
                <w:color w:val="000000"/>
                <w:sz w:val="22"/>
                <w:szCs w:val="22"/>
                <w:lang w:val="ga"/>
              </w:rPr>
              <w:t>5.4%</w:t>
            </w:r>
          </w:p>
        </w:tc>
        <w:tc>
          <w:tcPr>
            <w:tcW w:w="1286" w:type="dxa"/>
          </w:tcPr>
          <w:p w14:paraId="780D8963" w14:textId="77777777" w:rsidR="00E9757B" w:rsidRDefault="00E9757B" w:rsidP="00E9757B">
            <w:pPr>
              <w:spacing w:after="0"/>
              <w:jc w:val="right"/>
              <w:rPr>
                <w:rFonts w:cs="Calibri"/>
                <w:color w:val="000000"/>
                <w:sz w:val="22"/>
                <w:szCs w:val="22"/>
              </w:rPr>
            </w:pPr>
            <w:r>
              <w:rPr>
                <w:rFonts w:cs="Calibri"/>
                <w:color w:val="000000"/>
                <w:sz w:val="22"/>
                <w:szCs w:val="22"/>
                <w:lang w:val="ga"/>
              </w:rPr>
              <w:t>47</w:t>
            </w:r>
          </w:p>
          <w:p w14:paraId="1596DC4A" w14:textId="78FA49AD" w:rsidR="00E9757B" w:rsidRPr="00E9757B" w:rsidRDefault="00E9757B" w:rsidP="00E9757B">
            <w:pPr>
              <w:jc w:val="right"/>
              <w:rPr>
                <w:sz w:val="22"/>
                <w:szCs w:val="22"/>
              </w:rPr>
            </w:pPr>
          </w:p>
        </w:tc>
        <w:tc>
          <w:tcPr>
            <w:tcW w:w="1559" w:type="dxa"/>
          </w:tcPr>
          <w:p w14:paraId="042132BC" w14:textId="77777777" w:rsidR="00B810CC" w:rsidRDefault="00B810CC" w:rsidP="00B810CC">
            <w:pPr>
              <w:spacing w:after="0"/>
              <w:jc w:val="right"/>
              <w:rPr>
                <w:rFonts w:cs="Calibri"/>
                <w:color w:val="000000"/>
                <w:sz w:val="22"/>
                <w:szCs w:val="22"/>
              </w:rPr>
            </w:pPr>
            <w:r>
              <w:rPr>
                <w:rFonts w:cs="Calibri"/>
                <w:color w:val="000000"/>
                <w:sz w:val="22"/>
                <w:szCs w:val="22"/>
                <w:lang w:val="ga"/>
              </w:rPr>
              <w:t>3</w:t>
            </w:r>
          </w:p>
          <w:p w14:paraId="578DC99D" w14:textId="32FEEDEC" w:rsidR="00E9757B" w:rsidRPr="00E9757B" w:rsidRDefault="00E9757B" w:rsidP="00E9757B">
            <w:pPr>
              <w:jc w:val="right"/>
              <w:rPr>
                <w:sz w:val="22"/>
                <w:szCs w:val="22"/>
              </w:rPr>
            </w:pPr>
          </w:p>
        </w:tc>
        <w:tc>
          <w:tcPr>
            <w:tcW w:w="1549" w:type="dxa"/>
          </w:tcPr>
          <w:p w14:paraId="316D3EA2" w14:textId="77777777" w:rsidR="00B810CC" w:rsidRDefault="00B810CC" w:rsidP="00B810CC">
            <w:pPr>
              <w:spacing w:after="0"/>
              <w:jc w:val="right"/>
              <w:rPr>
                <w:rFonts w:cs="Calibri"/>
                <w:color w:val="000000"/>
                <w:sz w:val="22"/>
                <w:szCs w:val="22"/>
              </w:rPr>
            </w:pPr>
            <w:r>
              <w:rPr>
                <w:rFonts w:cs="Calibri"/>
                <w:color w:val="000000"/>
                <w:sz w:val="22"/>
                <w:szCs w:val="22"/>
                <w:lang w:val="ga"/>
              </w:rPr>
              <w:t>6.4%</w:t>
            </w:r>
          </w:p>
          <w:p w14:paraId="757C77DB" w14:textId="314158F8" w:rsidR="00E9757B" w:rsidRPr="00E9757B" w:rsidRDefault="00E9757B" w:rsidP="00E9757B">
            <w:pPr>
              <w:jc w:val="right"/>
              <w:rPr>
                <w:sz w:val="22"/>
                <w:szCs w:val="22"/>
              </w:rPr>
            </w:pPr>
          </w:p>
        </w:tc>
      </w:tr>
      <w:tr w:rsidR="00E9757B" w:rsidRPr="00E9757B" w14:paraId="46E15B25" w14:textId="77777777" w:rsidTr="0072284B">
        <w:tc>
          <w:tcPr>
            <w:tcW w:w="2415" w:type="dxa"/>
          </w:tcPr>
          <w:p w14:paraId="2FDA2FA9" w14:textId="77777777" w:rsidR="00E9757B" w:rsidRPr="00E9757B" w:rsidRDefault="00E9757B" w:rsidP="00E9757B">
            <w:pPr>
              <w:rPr>
                <w:sz w:val="22"/>
                <w:szCs w:val="22"/>
              </w:rPr>
            </w:pPr>
            <w:r>
              <w:rPr>
                <w:rFonts w:cs="Calibri"/>
                <w:color w:val="000000"/>
                <w:sz w:val="22"/>
                <w:szCs w:val="22"/>
                <w:lang w:val="ga"/>
              </w:rPr>
              <w:t>An tÚdarás um Chaighdeáin Náisiúnta na hÉireann</w:t>
            </w:r>
          </w:p>
        </w:tc>
        <w:tc>
          <w:tcPr>
            <w:tcW w:w="1559" w:type="dxa"/>
          </w:tcPr>
          <w:p w14:paraId="60632961" w14:textId="4E704727" w:rsidR="00E9757B" w:rsidRPr="00E9757B" w:rsidRDefault="00E9757B" w:rsidP="00E9757B">
            <w:pPr>
              <w:spacing w:after="0"/>
              <w:jc w:val="right"/>
              <w:rPr>
                <w:sz w:val="22"/>
                <w:szCs w:val="22"/>
              </w:rPr>
            </w:pPr>
            <w:r>
              <w:rPr>
                <w:rFonts w:cs="Calibri"/>
                <w:color w:val="000000"/>
                <w:sz w:val="22"/>
                <w:szCs w:val="22"/>
                <w:lang w:val="ga"/>
              </w:rPr>
              <w:t>177</w:t>
            </w:r>
          </w:p>
        </w:tc>
        <w:tc>
          <w:tcPr>
            <w:tcW w:w="1560" w:type="dxa"/>
          </w:tcPr>
          <w:p w14:paraId="573756E9" w14:textId="6434E5C0" w:rsidR="00E9757B" w:rsidRPr="00E9757B" w:rsidRDefault="00E9757B" w:rsidP="00E9757B">
            <w:pPr>
              <w:spacing w:after="0"/>
              <w:jc w:val="right"/>
              <w:rPr>
                <w:sz w:val="22"/>
                <w:szCs w:val="22"/>
              </w:rPr>
            </w:pPr>
            <w:r>
              <w:rPr>
                <w:rFonts w:cs="Calibri"/>
                <w:color w:val="000000"/>
                <w:sz w:val="22"/>
                <w:szCs w:val="22"/>
                <w:lang w:val="ga"/>
              </w:rPr>
              <w:t>6</w:t>
            </w:r>
          </w:p>
        </w:tc>
        <w:tc>
          <w:tcPr>
            <w:tcW w:w="1549" w:type="dxa"/>
          </w:tcPr>
          <w:p w14:paraId="010E1F56" w14:textId="7C11D4EB" w:rsidR="00E9757B" w:rsidRPr="00E9757B" w:rsidRDefault="00E9757B" w:rsidP="00E9757B">
            <w:pPr>
              <w:spacing w:after="0"/>
              <w:jc w:val="right"/>
              <w:rPr>
                <w:sz w:val="22"/>
                <w:szCs w:val="22"/>
              </w:rPr>
            </w:pPr>
            <w:r>
              <w:rPr>
                <w:rFonts w:cs="Calibri"/>
                <w:color w:val="000000"/>
                <w:sz w:val="22"/>
                <w:szCs w:val="22"/>
                <w:lang w:val="ga"/>
              </w:rPr>
              <w:t>3.4%</w:t>
            </w:r>
          </w:p>
        </w:tc>
        <w:tc>
          <w:tcPr>
            <w:tcW w:w="1286" w:type="dxa"/>
          </w:tcPr>
          <w:p w14:paraId="1FAFAD73" w14:textId="77777777" w:rsidR="00E9757B" w:rsidRDefault="00E9757B" w:rsidP="00E9757B">
            <w:pPr>
              <w:spacing w:after="0"/>
              <w:jc w:val="right"/>
              <w:rPr>
                <w:rFonts w:cs="Calibri"/>
                <w:color w:val="000000"/>
                <w:sz w:val="22"/>
                <w:szCs w:val="22"/>
              </w:rPr>
            </w:pPr>
            <w:r>
              <w:rPr>
                <w:rFonts w:cs="Calibri"/>
                <w:color w:val="000000"/>
                <w:sz w:val="22"/>
                <w:szCs w:val="22"/>
                <w:lang w:val="ga"/>
              </w:rPr>
              <w:t>196</w:t>
            </w:r>
          </w:p>
          <w:p w14:paraId="15D4CEEE" w14:textId="5FC5938E" w:rsidR="00E9757B" w:rsidRPr="00E9757B" w:rsidRDefault="00E9757B" w:rsidP="00E9757B">
            <w:pPr>
              <w:jc w:val="right"/>
              <w:rPr>
                <w:sz w:val="22"/>
                <w:szCs w:val="22"/>
              </w:rPr>
            </w:pPr>
          </w:p>
        </w:tc>
        <w:tc>
          <w:tcPr>
            <w:tcW w:w="1559" w:type="dxa"/>
          </w:tcPr>
          <w:p w14:paraId="6A73688C" w14:textId="77777777" w:rsidR="00B810CC" w:rsidRDefault="00B810CC" w:rsidP="00B810CC">
            <w:pPr>
              <w:spacing w:after="0"/>
              <w:jc w:val="right"/>
              <w:rPr>
                <w:rFonts w:cs="Calibri"/>
                <w:color w:val="000000"/>
                <w:sz w:val="22"/>
                <w:szCs w:val="22"/>
              </w:rPr>
            </w:pPr>
            <w:r>
              <w:rPr>
                <w:rFonts w:cs="Calibri"/>
                <w:color w:val="000000"/>
                <w:sz w:val="22"/>
                <w:szCs w:val="22"/>
                <w:lang w:val="ga"/>
              </w:rPr>
              <w:t>12</w:t>
            </w:r>
          </w:p>
          <w:p w14:paraId="20134C24" w14:textId="7B39497F" w:rsidR="00E9757B" w:rsidRPr="00E9757B" w:rsidRDefault="00E9757B" w:rsidP="00E9757B">
            <w:pPr>
              <w:jc w:val="right"/>
              <w:rPr>
                <w:sz w:val="22"/>
                <w:szCs w:val="22"/>
              </w:rPr>
            </w:pPr>
          </w:p>
        </w:tc>
        <w:tc>
          <w:tcPr>
            <w:tcW w:w="1549" w:type="dxa"/>
          </w:tcPr>
          <w:p w14:paraId="2C04866C" w14:textId="77777777" w:rsidR="00B810CC" w:rsidRDefault="00B810CC" w:rsidP="00B810CC">
            <w:pPr>
              <w:spacing w:after="0"/>
              <w:jc w:val="right"/>
              <w:rPr>
                <w:rFonts w:cs="Calibri"/>
                <w:color w:val="000000"/>
                <w:sz w:val="22"/>
                <w:szCs w:val="22"/>
              </w:rPr>
            </w:pPr>
            <w:r>
              <w:rPr>
                <w:rFonts w:cs="Calibri"/>
                <w:color w:val="000000"/>
                <w:sz w:val="22"/>
                <w:szCs w:val="22"/>
                <w:lang w:val="ga"/>
              </w:rPr>
              <w:t>6.1%</w:t>
            </w:r>
          </w:p>
          <w:p w14:paraId="1F5CD197" w14:textId="34E974F9" w:rsidR="00E9757B" w:rsidRPr="00E9757B" w:rsidRDefault="00E9757B" w:rsidP="00E9757B">
            <w:pPr>
              <w:jc w:val="right"/>
              <w:rPr>
                <w:sz w:val="22"/>
                <w:szCs w:val="22"/>
              </w:rPr>
            </w:pPr>
          </w:p>
        </w:tc>
      </w:tr>
      <w:tr w:rsidR="00E9757B" w:rsidRPr="00E9757B" w14:paraId="18EF3063" w14:textId="77777777" w:rsidTr="0072284B">
        <w:tc>
          <w:tcPr>
            <w:tcW w:w="2415" w:type="dxa"/>
          </w:tcPr>
          <w:p w14:paraId="4E726EFF" w14:textId="77777777" w:rsidR="00E9757B" w:rsidRPr="00E9757B" w:rsidRDefault="00E9757B" w:rsidP="00E9757B">
            <w:pPr>
              <w:rPr>
                <w:sz w:val="22"/>
                <w:szCs w:val="22"/>
              </w:rPr>
            </w:pPr>
            <w:r>
              <w:rPr>
                <w:rFonts w:cs="Calibri"/>
                <w:color w:val="000000"/>
                <w:sz w:val="22"/>
                <w:szCs w:val="22"/>
                <w:lang w:val="ga"/>
              </w:rPr>
              <w:t>An Bord Measúnaithe Díobhálacha Pearsanta</w:t>
            </w:r>
          </w:p>
        </w:tc>
        <w:tc>
          <w:tcPr>
            <w:tcW w:w="1559" w:type="dxa"/>
          </w:tcPr>
          <w:p w14:paraId="171918FC" w14:textId="2D7A0902" w:rsidR="00E9757B" w:rsidRPr="00E9757B" w:rsidRDefault="00E9757B" w:rsidP="00E9757B">
            <w:pPr>
              <w:spacing w:after="0"/>
              <w:jc w:val="right"/>
              <w:rPr>
                <w:sz w:val="22"/>
                <w:szCs w:val="22"/>
              </w:rPr>
            </w:pPr>
            <w:r>
              <w:rPr>
                <w:rFonts w:cs="Calibri"/>
                <w:color w:val="000000"/>
                <w:sz w:val="22"/>
                <w:szCs w:val="22"/>
                <w:lang w:val="ga"/>
              </w:rPr>
              <w:t>77</w:t>
            </w:r>
          </w:p>
        </w:tc>
        <w:tc>
          <w:tcPr>
            <w:tcW w:w="1560" w:type="dxa"/>
          </w:tcPr>
          <w:p w14:paraId="38E0480D" w14:textId="40C4D0DE" w:rsidR="00E9757B" w:rsidRPr="00E9757B" w:rsidRDefault="00E9757B" w:rsidP="00E9757B">
            <w:pPr>
              <w:spacing w:after="0"/>
              <w:jc w:val="right"/>
              <w:rPr>
                <w:sz w:val="22"/>
                <w:szCs w:val="22"/>
              </w:rPr>
            </w:pPr>
            <w:r>
              <w:rPr>
                <w:rFonts w:cs="Calibri"/>
                <w:color w:val="000000"/>
                <w:sz w:val="22"/>
                <w:szCs w:val="22"/>
                <w:lang w:val="ga"/>
              </w:rPr>
              <w:t>9</w:t>
            </w:r>
          </w:p>
        </w:tc>
        <w:tc>
          <w:tcPr>
            <w:tcW w:w="1549" w:type="dxa"/>
          </w:tcPr>
          <w:p w14:paraId="0F38DFA9" w14:textId="64B2F85F" w:rsidR="00E9757B" w:rsidRPr="00E9757B" w:rsidRDefault="00E9757B" w:rsidP="00E9757B">
            <w:pPr>
              <w:spacing w:after="0"/>
              <w:jc w:val="right"/>
              <w:rPr>
                <w:sz w:val="22"/>
                <w:szCs w:val="22"/>
              </w:rPr>
            </w:pPr>
            <w:r>
              <w:rPr>
                <w:rFonts w:cs="Calibri"/>
                <w:color w:val="000000"/>
                <w:sz w:val="22"/>
                <w:szCs w:val="22"/>
                <w:lang w:val="ga"/>
              </w:rPr>
              <w:t>11.7%</w:t>
            </w:r>
          </w:p>
        </w:tc>
        <w:tc>
          <w:tcPr>
            <w:tcW w:w="1286" w:type="dxa"/>
          </w:tcPr>
          <w:p w14:paraId="52D62D30" w14:textId="77777777" w:rsidR="00E9757B" w:rsidRDefault="00E9757B" w:rsidP="00E9757B">
            <w:pPr>
              <w:spacing w:after="0"/>
              <w:jc w:val="right"/>
              <w:rPr>
                <w:rFonts w:cs="Calibri"/>
                <w:color w:val="000000"/>
                <w:sz w:val="22"/>
                <w:szCs w:val="22"/>
              </w:rPr>
            </w:pPr>
            <w:r>
              <w:rPr>
                <w:rFonts w:cs="Calibri"/>
                <w:color w:val="000000"/>
                <w:sz w:val="22"/>
                <w:szCs w:val="22"/>
                <w:lang w:val="ga"/>
              </w:rPr>
              <w:t>74</w:t>
            </w:r>
          </w:p>
          <w:p w14:paraId="13E90E12" w14:textId="0C74CAEA" w:rsidR="00E9757B" w:rsidRPr="00E9757B" w:rsidRDefault="00E9757B" w:rsidP="00E9757B">
            <w:pPr>
              <w:jc w:val="right"/>
              <w:rPr>
                <w:sz w:val="22"/>
                <w:szCs w:val="22"/>
              </w:rPr>
            </w:pPr>
          </w:p>
        </w:tc>
        <w:tc>
          <w:tcPr>
            <w:tcW w:w="1559" w:type="dxa"/>
          </w:tcPr>
          <w:p w14:paraId="61B2C905" w14:textId="77777777" w:rsidR="00B810CC" w:rsidRDefault="00B810CC" w:rsidP="00B810CC">
            <w:pPr>
              <w:spacing w:after="0"/>
              <w:jc w:val="right"/>
              <w:rPr>
                <w:rFonts w:cs="Calibri"/>
                <w:color w:val="000000"/>
                <w:sz w:val="22"/>
                <w:szCs w:val="22"/>
              </w:rPr>
            </w:pPr>
            <w:r>
              <w:rPr>
                <w:rFonts w:cs="Calibri"/>
                <w:color w:val="000000"/>
                <w:sz w:val="22"/>
                <w:szCs w:val="22"/>
                <w:lang w:val="ga"/>
              </w:rPr>
              <w:t>12</w:t>
            </w:r>
          </w:p>
          <w:p w14:paraId="6ECD7A70" w14:textId="490CD5D9" w:rsidR="00E9757B" w:rsidRPr="00E9757B" w:rsidRDefault="00E9757B" w:rsidP="00E9757B">
            <w:pPr>
              <w:jc w:val="right"/>
              <w:rPr>
                <w:sz w:val="22"/>
                <w:szCs w:val="22"/>
              </w:rPr>
            </w:pPr>
          </w:p>
        </w:tc>
        <w:tc>
          <w:tcPr>
            <w:tcW w:w="1549" w:type="dxa"/>
          </w:tcPr>
          <w:p w14:paraId="0289D0CE" w14:textId="77777777" w:rsidR="00B810CC" w:rsidRDefault="00B810CC" w:rsidP="00B810CC">
            <w:pPr>
              <w:spacing w:after="0"/>
              <w:jc w:val="right"/>
              <w:rPr>
                <w:rFonts w:cs="Calibri"/>
                <w:color w:val="000000"/>
                <w:sz w:val="22"/>
                <w:szCs w:val="22"/>
              </w:rPr>
            </w:pPr>
            <w:r>
              <w:rPr>
                <w:rFonts w:cs="Calibri"/>
                <w:color w:val="000000"/>
                <w:sz w:val="22"/>
                <w:szCs w:val="22"/>
                <w:lang w:val="ga"/>
              </w:rPr>
              <w:t>16.2%</w:t>
            </w:r>
          </w:p>
          <w:p w14:paraId="5BDF19D7" w14:textId="39BAA9B2" w:rsidR="00E9757B" w:rsidRPr="00E9757B" w:rsidRDefault="00E9757B" w:rsidP="00E9757B">
            <w:pPr>
              <w:jc w:val="right"/>
              <w:rPr>
                <w:sz w:val="22"/>
                <w:szCs w:val="22"/>
              </w:rPr>
            </w:pPr>
          </w:p>
        </w:tc>
      </w:tr>
      <w:tr w:rsidR="00E9757B" w:rsidRPr="00611BF3" w14:paraId="6CFBC120" w14:textId="77777777" w:rsidTr="0072284B">
        <w:tc>
          <w:tcPr>
            <w:tcW w:w="2415" w:type="dxa"/>
          </w:tcPr>
          <w:p w14:paraId="4418ACBE" w14:textId="77777777" w:rsidR="00E9757B" w:rsidRPr="00E9757B" w:rsidRDefault="00E9757B" w:rsidP="00E9757B">
            <w:pPr>
              <w:pStyle w:val="TableHead"/>
              <w:spacing w:after="240"/>
              <w:rPr>
                <w:sz w:val="22"/>
                <w:szCs w:val="22"/>
              </w:rPr>
            </w:pPr>
            <w:r>
              <w:rPr>
                <w:bCs/>
                <w:sz w:val="22"/>
                <w:szCs w:val="22"/>
                <w:lang w:val="ga"/>
              </w:rPr>
              <w:t>Mór-Iomlán</w:t>
            </w:r>
          </w:p>
        </w:tc>
        <w:tc>
          <w:tcPr>
            <w:tcW w:w="1559" w:type="dxa"/>
          </w:tcPr>
          <w:p w14:paraId="5E6064EC"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1673</w:t>
            </w:r>
          </w:p>
          <w:p w14:paraId="1CD1D04E" w14:textId="77777777" w:rsidR="00E9757B" w:rsidRPr="00E9757B" w:rsidRDefault="00E9757B" w:rsidP="00E9757B">
            <w:pPr>
              <w:spacing w:after="0"/>
              <w:jc w:val="right"/>
              <w:rPr>
                <w:sz w:val="22"/>
                <w:szCs w:val="22"/>
              </w:rPr>
            </w:pPr>
          </w:p>
        </w:tc>
        <w:tc>
          <w:tcPr>
            <w:tcW w:w="1560" w:type="dxa"/>
          </w:tcPr>
          <w:p w14:paraId="598DA472" w14:textId="77777777" w:rsidR="00E9757B" w:rsidRPr="00E9757B" w:rsidRDefault="00E9757B" w:rsidP="00E9757B">
            <w:pPr>
              <w:spacing w:after="0"/>
              <w:jc w:val="right"/>
              <w:rPr>
                <w:rFonts w:cs="Calibri"/>
                <w:b/>
                <w:bCs/>
                <w:color w:val="000000"/>
                <w:sz w:val="22"/>
                <w:szCs w:val="22"/>
              </w:rPr>
            </w:pPr>
            <w:r>
              <w:rPr>
                <w:rFonts w:cs="Calibri"/>
                <w:b/>
                <w:bCs/>
                <w:color w:val="000000"/>
                <w:sz w:val="22"/>
                <w:szCs w:val="22"/>
                <w:lang w:val="ga"/>
              </w:rPr>
              <w:t>101</w:t>
            </w:r>
          </w:p>
          <w:p w14:paraId="4C5EE932" w14:textId="77777777" w:rsidR="00E9757B" w:rsidRPr="00E9757B" w:rsidRDefault="00E9757B" w:rsidP="00E9757B">
            <w:pPr>
              <w:pStyle w:val="TableHead"/>
              <w:spacing w:after="240"/>
              <w:jc w:val="right"/>
              <w:rPr>
                <w:sz w:val="22"/>
                <w:szCs w:val="22"/>
              </w:rPr>
            </w:pPr>
          </w:p>
        </w:tc>
        <w:tc>
          <w:tcPr>
            <w:tcW w:w="1549" w:type="dxa"/>
          </w:tcPr>
          <w:p w14:paraId="60C51603"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6.0%</w:t>
            </w:r>
          </w:p>
          <w:p w14:paraId="70250AB6" w14:textId="0EE76D58" w:rsidR="00E9757B" w:rsidRPr="00E9757B" w:rsidRDefault="00E9757B" w:rsidP="00E9757B">
            <w:pPr>
              <w:spacing w:after="0"/>
              <w:jc w:val="right"/>
              <w:rPr>
                <w:sz w:val="22"/>
                <w:szCs w:val="22"/>
              </w:rPr>
            </w:pPr>
          </w:p>
        </w:tc>
        <w:tc>
          <w:tcPr>
            <w:tcW w:w="1286" w:type="dxa"/>
          </w:tcPr>
          <w:p w14:paraId="4455F495" w14:textId="77777777" w:rsidR="00B810CC" w:rsidRDefault="00B810CC" w:rsidP="00B810CC">
            <w:pPr>
              <w:spacing w:after="0"/>
              <w:jc w:val="right"/>
              <w:rPr>
                <w:rFonts w:cs="Calibri"/>
                <w:b/>
                <w:bCs/>
                <w:color w:val="000000"/>
                <w:sz w:val="22"/>
                <w:szCs w:val="22"/>
              </w:rPr>
            </w:pPr>
            <w:r>
              <w:rPr>
                <w:rFonts w:cs="Calibri"/>
                <w:b/>
                <w:bCs/>
                <w:color w:val="000000"/>
                <w:sz w:val="22"/>
                <w:szCs w:val="22"/>
                <w:lang w:val="ga"/>
              </w:rPr>
              <w:t>1708</w:t>
            </w:r>
          </w:p>
          <w:p w14:paraId="4EBDA1BA" w14:textId="77777777" w:rsidR="00E9757B" w:rsidRPr="00E9757B" w:rsidRDefault="00E9757B" w:rsidP="00E9757B">
            <w:pPr>
              <w:pStyle w:val="TableHead"/>
              <w:spacing w:after="240"/>
              <w:jc w:val="right"/>
              <w:rPr>
                <w:sz w:val="22"/>
                <w:szCs w:val="22"/>
              </w:rPr>
            </w:pPr>
          </w:p>
        </w:tc>
        <w:tc>
          <w:tcPr>
            <w:tcW w:w="1559" w:type="dxa"/>
          </w:tcPr>
          <w:p w14:paraId="509390D7" w14:textId="77777777" w:rsidR="00B810CC" w:rsidRDefault="00B810CC" w:rsidP="00B810CC">
            <w:pPr>
              <w:spacing w:after="0"/>
              <w:jc w:val="right"/>
              <w:rPr>
                <w:rFonts w:cs="Calibri"/>
                <w:b/>
                <w:bCs/>
                <w:color w:val="000000"/>
                <w:sz w:val="22"/>
                <w:szCs w:val="22"/>
              </w:rPr>
            </w:pPr>
            <w:r>
              <w:rPr>
                <w:rFonts w:cs="Calibri"/>
                <w:b/>
                <w:bCs/>
                <w:color w:val="000000"/>
                <w:sz w:val="22"/>
                <w:szCs w:val="22"/>
                <w:lang w:val="ga"/>
              </w:rPr>
              <w:t>107</w:t>
            </w:r>
          </w:p>
          <w:p w14:paraId="7432A1EE" w14:textId="77777777" w:rsidR="00E9757B" w:rsidRPr="00E9757B" w:rsidRDefault="00E9757B" w:rsidP="00E9757B">
            <w:pPr>
              <w:pStyle w:val="TableHead"/>
              <w:spacing w:after="240"/>
              <w:jc w:val="right"/>
              <w:rPr>
                <w:sz w:val="22"/>
                <w:szCs w:val="22"/>
              </w:rPr>
            </w:pPr>
          </w:p>
        </w:tc>
        <w:tc>
          <w:tcPr>
            <w:tcW w:w="1549" w:type="dxa"/>
          </w:tcPr>
          <w:p w14:paraId="5C880E91" w14:textId="77777777" w:rsidR="00E9757B" w:rsidRDefault="00E9757B" w:rsidP="00E9757B">
            <w:pPr>
              <w:spacing w:after="0"/>
              <w:jc w:val="right"/>
              <w:rPr>
                <w:rFonts w:cs="Calibri"/>
                <w:b/>
                <w:bCs/>
                <w:color w:val="000000"/>
                <w:sz w:val="22"/>
                <w:szCs w:val="22"/>
              </w:rPr>
            </w:pPr>
            <w:r>
              <w:rPr>
                <w:rFonts w:cs="Calibri"/>
                <w:b/>
                <w:bCs/>
                <w:color w:val="000000"/>
                <w:sz w:val="22"/>
                <w:szCs w:val="22"/>
                <w:lang w:val="ga"/>
              </w:rPr>
              <w:t>6.3%</w:t>
            </w:r>
          </w:p>
          <w:p w14:paraId="557B0F03" w14:textId="779927C1" w:rsidR="00E9757B" w:rsidRPr="00E9757B" w:rsidRDefault="00E9757B" w:rsidP="00E9757B">
            <w:pPr>
              <w:pStyle w:val="TableHead"/>
              <w:spacing w:after="240"/>
              <w:jc w:val="right"/>
              <w:rPr>
                <w:sz w:val="22"/>
                <w:szCs w:val="22"/>
              </w:rPr>
            </w:pPr>
          </w:p>
        </w:tc>
      </w:tr>
    </w:tbl>
    <w:p w14:paraId="564B1248" w14:textId="4BE5B69B" w:rsidR="00E46650" w:rsidRDefault="00E46650" w:rsidP="00EF2C8B">
      <w:pPr>
        <w:pStyle w:val="TableSummary"/>
        <w:ind w:left="0"/>
        <w:jc w:val="left"/>
        <w:rPr>
          <w:i w:val="0"/>
        </w:rPr>
      </w:pPr>
    </w:p>
    <w:p w14:paraId="469B3272" w14:textId="77777777" w:rsidR="00E46650" w:rsidRDefault="00E46650">
      <w:pPr>
        <w:spacing w:after="0"/>
      </w:pPr>
      <w:r>
        <w:rPr>
          <w:i/>
          <w:iCs/>
          <w:lang w:val="ga"/>
        </w:rPr>
        <w:br w:type="page"/>
      </w:r>
    </w:p>
    <w:p w14:paraId="0DBE33F1" w14:textId="77777777" w:rsidR="00674AB0" w:rsidRPr="00B810CC" w:rsidRDefault="00674AB0" w:rsidP="00DA2B08"/>
    <w:p w14:paraId="0D6A4AD0" w14:textId="71135559" w:rsidR="001B6E03" w:rsidRPr="00B810CC" w:rsidRDefault="001B6E03" w:rsidP="001624B2">
      <w:pPr>
        <w:pStyle w:val="Heading2"/>
        <w:jc w:val="center"/>
        <w:rPr>
          <w:color w:val="000000" w:themeColor="text1"/>
        </w:rPr>
      </w:pPr>
      <w:bookmarkStart w:id="74" w:name="_Toc147910090"/>
      <w:r>
        <w:rPr>
          <w:bCs/>
          <w:color w:val="000000" w:themeColor="text1"/>
          <w:lang w:val="ga"/>
        </w:rPr>
        <w:t>An Roinn Airgeadais</w:t>
      </w:r>
      <w:bookmarkEnd w:id="74"/>
    </w:p>
    <w:tbl>
      <w:tblPr>
        <w:tblStyle w:val="TableGrid"/>
        <w:tblpPr w:leftFromText="180" w:rightFromText="180" w:vertAnchor="text" w:horzAnchor="margin" w:tblpXSpec="center" w:tblpY="209"/>
        <w:tblW w:w="11477" w:type="dxa"/>
        <w:tblLayout w:type="fixed"/>
        <w:tblLook w:val="04A0" w:firstRow="1" w:lastRow="0" w:firstColumn="1" w:lastColumn="0" w:noHBand="0" w:noVBand="1"/>
        <w:tblCaption w:val="Department of Finance "/>
      </w:tblPr>
      <w:tblGrid>
        <w:gridCol w:w="2415"/>
        <w:gridCol w:w="1559"/>
        <w:gridCol w:w="1560"/>
        <w:gridCol w:w="1549"/>
        <w:gridCol w:w="1286"/>
        <w:gridCol w:w="1559"/>
        <w:gridCol w:w="1549"/>
      </w:tblGrid>
      <w:tr w:rsidR="00EF2C8B" w:rsidRPr="00B810CC" w14:paraId="45A6D92E" w14:textId="77777777" w:rsidTr="0072284B">
        <w:trPr>
          <w:tblHeader/>
        </w:trPr>
        <w:tc>
          <w:tcPr>
            <w:tcW w:w="2415" w:type="dxa"/>
          </w:tcPr>
          <w:p w14:paraId="698F80E9" w14:textId="77777777" w:rsidR="00EF2C8B" w:rsidRPr="00B810CC" w:rsidRDefault="00EF2C8B" w:rsidP="00EF2C8B">
            <w:pPr>
              <w:pStyle w:val="TableHead"/>
              <w:rPr>
                <w:sz w:val="22"/>
                <w:szCs w:val="22"/>
              </w:rPr>
            </w:pPr>
            <w:r>
              <w:rPr>
                <w:bCs/>
                <w:sz w:val="22"/>
                <w:szCs w:val="22"/>
                <w:lang w:val="ga"/>
              </w:rPr>
              <w:t>Comhlacht Poiblí</w:t>
            </w:r>
          </w:p>
        </w:tc>
        <w:tc>
          <w:tcPr>
            <w:tcW w:w="1559" w:type="dxa"/>
          </w:tcPr>
          <w:p w14:paraId="4DCB07F3" w14:textId="77777777" w:rsidR="00F516FE" w:rsidRPr="00B810CC" w:rsidRDefault="00EF2C8B" w:rsidP="00EF2C8B">
            <w:pPr>
              <w:pStyle w:val="TableHead"/>
              <w:rPr>
                <w:sz w:val="22"/>
                <w:szCs w:val="22"/>
              </w:rPr>
            </w:pPr>
            <w:r>
              <w:rPr>
                <w:bCs/>
                <w:sz w:val="22"/>
                <w:szCs w:val="22"/>
                <w:lang w:val="ga"/>
              </w:rPr>
              <w:t xml:space="preserve">An líon iomlán </w:t>
            </w:r>
          </w:p>
          <w:p w14:paraId="41516514" w14:textId="70EE4E9B" w:rsidR="00EF2C8B" w:rsidRPr="00B810CC" w:rsidRDefault="00EF2C8B" w:rsidP="00EF2C8B">
            <w:pPr>
              <w:pStyle w:val="TableHead"/>
              <w:rPr>
                <w:sz w:val="22"/>
                <w:szCs w:val="22"/>
              </w:rPr>
            </w:pPr>
            <w:r>
              <w:rPr>
                <w:bCs/>
                <w:sz w:val="22"/>
                <w:szCs w:val="22"/>
                <w:lang w:val="ga"/>
              </w:rPr>
              <w:t>fostaithe 2021</w:t>
            </w:r>
          </w:p>
        </w:tc>
        <w:tc>
          <w:tcPr>
            <w:tcW w:w="1560" w:type="dxa"/>
          </w:tcPr>
          <w:p w14:paraId="6A9F8276" w14:textId="3BAD8B7D" w:rsidR="00EF2C8B" w:rsidRPr="00B810CC" w:rsidRDefault="00EF2C8B" w:rsidP="00EF2C8B">
            <w:pPr>
              <w:pStyle w:val="TableHead"/>
              <w:rPr>
                <w:sz w:val="22"/>
                <w:szCs w:val="22"/>
              </w:rPr>
            </w:pPr>
            <w:r>
              <w:rPr>
                <w:bCs/>
                <w:sz w:val="22"/>
                <w:szCs w:val="22"/>
                <w:lang w:val="ga"/>
              </w:rPr>
              <w:t xml:space="preserve">An líon fostaithe a thuairiscigh míchumas </w:t>
            </w:r>
          </w:p>
          <w:p w14:paraId="045CCCAD" w14:textId="233AF310" w:rsidR="00EF2C8B" w:rsidRPr="00B810CC" w:rsidRDefault="00EF2C8B" w:rsidP="00EF2C8B">
            <w:pPr>
              <w:pStyle w:val="TableHead"/>
              <w:rPr>
                <w:sz w:val="22"/>
                <w:szCs w:val="22"/>
              </w:rPr>
            </w:pPr>
            <w:r>
              <w:rPr>
                <w:bCs/>
                <w:sz w:val="22"/>
                <w:szCs w:val="22"/>
                <w:lang w:val="ga"/>
              </w:rPr>
              <w:t>2021</w:t>
            </w:r>
          </w:p>
        </w:tc>
        <w:tc>
          <w:tcPr>
            <w:tcW w:w="1549" w:type="dxa"/>
          </w:tcPr>
          <w:p w14:paraId="7724BA39" w14:textId="77777777" w:rsidR="00EF2C8B" w:rsidRPr="00B810CC" w:rsidRDefault="00EF2C8B" w:rsidP="00EF2C8B">
            <w:pPr>
              <w:pStyle w:val="TableHead"/>
              <w:rPr>
                <w:sz w:val="22"/>
                <w:szCs w:val="22"/>
              </w:rPr>
            </w:pPr>
            <w:r>
              <w:rPr>
                <w:bCs/>
                <w:sz w:val="22"/>
                <w:szCs w:val="22"/>
                <w:lang w:val="ga"/>
              </w:rPr>
              <w:t>An % d’fhostaithe a thuairiscigh</w:t>
            </w:r>
          </w:p>
          <w:p w14:paraId="57091172" w14:textId="2AFC5CE9" w:rsidR="00EF2C8B" w:rsidRPr="00B810CC" w:rsidRDefault="00EF2C8B" w:rsidP="00EF2C8B">
            <w:pPr>
              <w:pStyle w:val="TableHead"/>
              <w:rPr>
                <w:sz w:val="22"/>
                <w:szCs w:val="22"/>
              </w:rPr>
            </w:pPr>
            <w:r>
              <w:rPr>
                <w:bCs/>
                <w:sz w:val="22"/>
                <w:szCs w:val="22"/>
                <w:lang w:val="ga"/>
              </w:rPr>
              <w:t>míchumas 2021</w:t>
            </w:r>
          </w:p>
        </w:tc>
        <w:tc>
          <w:tcPr>
            <w:tcW w:w="1286" w:type="dxa"/>
          </w:tcPr>
          <w:p w14:paraId="431238F1" w14:textId="77777777" w:rsidR="00F516FE" w:rsidRPr="00B810CC" w:rsidRDefault="00EF2C8B" w:rsidP="00EF2C8B">
            <w:pPr>
              <w:pStyle w:val="TableHead"/>
              <w:rPr>
                <w:sz w:val="22"/>
                <w:szCs w:val="22"/>
              </w:rPr>
            </w:pPr>
            <w:r>
              <w:rPr>
                <w:bCs/>
                <w:sz w:val="22"/>
                <w:szCs w:val="22"/>
                <w:lang w:val="ga"/>
              </w:rPr>
              <w:t xml:space="preserve">An líon iomlán </w:t>
            </w:r>
          </w:p>
          <w:p w14:paraId="11EF1C42" w14:textId="41B27F8F" w:rsidR="00EF2C8B" w:rsidRPr="00B810CC" w:rsidRDefault="00EF2C8B" w:rsidP="00EF2C8B">
            <w:pPr>
              <w:pStyle w:val="TableHead"/>
              <w:rPr>
                <w:sz w:val="22"/>
                <w:szCs w:val="22"/>
              </w:rPr>
            </w:pPr>
            <w:r>
              <w:rPr>
                <w:bCs/>
                <w:sz w:val="22"/>
                <w:szCs w:val="22"/>
                <w:lang w:val="ga"/>
              </w:rPr>
              <w:t>fostaithe 2022</w:t>
            </w:r>
          </w:p>
        </w:tc>
        <w:tc>
          <w:tcPr>
            <w:tcW w:w="1559" w:type="dxa"/>
          </w:tcPr>
          <w:p w14:paraId="1D1BBB4A" w14:textId="77777777" w:rsidR="00EF2C8B" w:rsidRPr="00B810CC" w:rsidRDefault="00EF2C8B" w:rsidP="00EF2C8B">
            <w:pPr>
              <w:pStyle w:val="TableHead"/>
              <w:rPr>
                <w:sz w:val="22"/>
                <w:szCs w:val="22"/>
              </w:rPr>
            </w:pPr>
            <w:r>
              <w:rPr>
                <w:bCs/>
                <w:sz w:val="22"/>
                <w:szCs w:val="22"/>
                <w:lang w:val="ga"/>
              </w:rPr>
              <w:t>An líon fostaithe a thuairiscigh míchumas</w:t>
            </w:r>
          </w:p>
          <w:p w14:paraId="4BECB8E9" w14:textId="29585CDF" w:rsidR="00EF2C8B" w:rsidRPr="00B810CC" w:rsidRDefault="00EF2C8B" w:rsidP="00EF2C8B">
            <w:pPr>
              <w:pStyle w:val="TableHead"/>
              <w:rPr>
                <w:sz w:val="22"/>
                <w:szCs w:val="22"/>
              </w:rPr>
            </w:pPr>
            <w:r>
              <w:rPr>
                <w:bCs/>
                <w:sz w:val="22"/>
                <w:szCs w:val="22"/>
                <w:lang w:val="ga"/>
              </w:rPr>
              <w:t>2022</w:t>
            </w:r>
          </w:p>
        </w:tc>
        <w:tc>
          <w:tcPr>
            <w:tcW w:w="1549" w:type="dxa"/>
          </w:tcPr>
          <w:p w14:paraId="537E90DE" w14:textId="77777777" w:rsidR="00EF2C8B" w:rsidRPr="00B810CC" w:rsidRDefault="00EF2C8B" w:rsidP="00EF2C8B">
            <w:pPr>
              <w:pStyle w:val="TableHead"/>
              <w:rPr>
                <w:sz w:val="22"/>
                <w:szCs w:val="22"/>
              </w:rPr>
            </w:pPr>
            <w:r>
              <w:rPr>
                <w:bCs/>
                <w:sz w:val="22"/>
                <w:szCs w:val="22"/>
                <w:lang w:val="ga"/>
              </w:rPr>
              <w:t>An % d’fhostaithe a thuairiscigh</w:t>
            </w:r>
          </w:p>
          <w:p w14:paraId="398886C4" w14:textId="2BDF9538" w:rsidR="00EF2C8B" w:rsidRPr="00B810CC" w:rsidRDefault="00EF2C8B" w:rsidP="00EF2C8B">
            <w:pPr>
              <w:pStyle w:val="TableHead"/>
              <w:rPr>
                <w:sz w:val="24"/>
              </w:rPr>
            </w:pPr>
            <w:r>
              <w:rPr>
                <w:bCs/>
                <w:sz w:val="22"/>
                <w:szCs w:val="22"/>
                <w:lang w:val="ga"/>
              </w:rPr>
              <w:t>míchumas 2022</w:t>
            </w:r>
          </w:p>
        </w:tc>
      </w:tr>
      <w:tr w:rsidR="00B810CC" w:rsidRPr="00B810CC" w14:paraId="2A581A55" w14:textId="77777777" w:rsidTr="0072284B">
        <w:tc>
          <w:tcPr>
            <w:tcW w:w="2415" w:type="dxa"/>
          </w:tcPr>
          <w:p w14:paraId="2CE69A98" w14:textId="77777777" w:rsidR="00B810CC" w:rsidRPr="00B810CC" w:rsidRDefault="00B810CC" w:rsidP="00B810CC">
            <w:pPr>
              <w:spacing w:after="0"/>
              <w:rPr>
                <w:rFonts w:cs="Calibri"/>
                <w:color w:val="000000"/>
                <w:sz w:val="22"/>
                <w:szCs w:val="22"/>
              </w:rPr>
            </w:pPr>
            <w:r>
              <w:rPr>
                <w:rFonts w:cs="Calibri"/>
                <w:color w:val="000000"/>
                <w:sz w:val="22"/>
                <w:szCs w:val="22"/>
                <w:lang w:val="ga"/>
              </w:rPr>
              <w:t>Gníomhaireacht Bainistíochta an Chisteáin Náisiúnta</w:t>
            </w:r>
          </w:p>
          <w:p w14:paraId="25C58DBD" w14:textId="77777777" w:rsidR="00B810CC" w:rsidRPr="00B810CC" w:rsidRDefault="00B810CC" w:rsidP="00B810CC">
            <w:pPr>
              <w:rPr>
                <w:sz w:val="22"/>
                <w:szCs w:val="22"/>
              </w:rPr>
            </w:pPr>
          </w:p>
        </w:tc>
        <w:tc>
          <w:tcPr>
            <w:tcW w:w="1559" w:type="dxa"/>
          </w:tcPr>
          <w:p w14:paraId="43F4F654"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788</w:t>
            </w:r>
          </w:p>
          <w:p w14:paraId="4930B86A" w14:textId="77777777" w:rsidR="00B810CC" w:rsidRPr="00B810CC" w:rsidRDefault="00B810CC" w:rsidP="00B810CC">
            <w:pPr>
              <w:jc w:val="right"/>
              <w:rPr>
                <w:sz w:val="22"/>
                <w:szCs w:val="22"/>
              </w:rPr>
            </w:pPr>
          </w:p>
        </w:tc>
        <w:tc>
          <w:tcPr>
            <w:tcW w:w="1560" w:type="dxa"/>
          </w:tcPr>
          <w:p w14:paraId="279ACE65"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33</w:t>
            </w:r>
          </w:p>
          <w:p w14:paraId="6F90ABBE" w14:textId="77777777" w:rsidR="00B810CC" w:rsidRPr="00B810CC" w:rsidRDefault="00B810CC" w:rsidP="00B810CC">
            <w:pPr>
              <w:jc w:val="right"/>
              <w:rPr>
                <w:sz w:val="22"/>
                <w:szCs w:val="22"/>
              </w:rPr>
            </w:pPr>
          </w:p>
        </w:tc>
        <w:tc>
          <w:tcPr>
            <w:tcW w:w="1549" w:type="dxa"/>
          </w:tcPr>
          <w:p w14:paraId="78ECBAA0"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4.2%</w:t>
            </w:r>
          </w:p>
          <w:p w14:paraId="1BA449D2" w14:textId="77777777" w:rsidR="00B810CC" w:rsidRPr="00B810CC" w:rsidRDefault="00B810CC" w:rsidP="00B810CC">
            <w:pPr>
              <w:jc w:val="right"/>
              <w:rPr>
                <w:sz w:val="22"/>
                <w:szCs w:val="22"/>
              </w:rPr>
            </w:pPr>
          </w:p>
        </w:tc>
        <w:tc>
          <w:tcPr>
            <w:tcW w:w="1286" w:type="dxa"/>
          </w:tcPr>
          <w:p w14:paraId="16970519"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782</w:t>
            </w:r>
          </w:p>
          <w:p w14:paraId="011A971B" w14:textId="77777777" w:rsidR="00B810CC" w:rsidRPr="00B810CC" w:rsidRDefault="00B810CC" w:rsidP="00B810CC">
            <w:pPr>
              <w:jc w:val="right"/>
              <w:rPr>
                <w:sz w:val="22"/>
                <w:szCs w:val="22"/>
              </w:rPr>
            </w:pPr>
          </w:p>
        </w:tc>
        <w:tc>
          <w:tcPr>
            <w:tcW w:w="1559" w:type="dxa"/>
          </w:tcPr>
          <w:p w14:paraId="168E7130"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28</w:t>
            </w:r>
          </w:p>
          <w:p w14:paraId="168F00ED" w14:textId="77777777" w:rsidR="00B810CC" w:rsidRPr="00B810CC" w:rsidRDefault="00B810CC" w:rsidP="00B810CC">
            <w:pPr>
              <w:jc w:val="right"/>
              <w:rPr>
                <w:sz w:val="22"/>
                <w:szCs w:val="22"/>
              </w:rPr>
            </w:pPr>
          </w:p>
        </w:tc>
        <w:tc>
          <w:tcPr>
            <w:tcW w:w="1549" w:type="dxa"/>
          </w:tcPr>
          <w:p w14:paraId="4B762624" w14:textId="77777777" w:rsidR="00B810CC" w:rsidRPr="00B810CC" w:rsidRDefault="00B810CC" w:rsidP="00B810CC">
            <w:pPr>
              <w:spacing w:after="0"/>
              <w:jc w:val="right"/>
              <w:rPr>
                <w:rFonts w:cs="Calibri"/>
                <w:color w:val="000000"/>
                <w:sz w:val="22"/>
                <w:szCs w:val="22"/>
              </w:rPr>
            </w:pPr>
            <w:r>
              <w:rPr>
                <w:rFonts w:cs="Calibri"/>
                <w:color w:val="000000"/>
                <w:sz w:val="22"/>
                <w:szCs w:val="22"/>
                <w:lang w:val="ga"/>
              </w:rPr>
              <w:t>3.6%</w:t>
            </w:r>
          </w:p>
          <w:p w14:paraId="6EBB8131" w14:textId="77777777" w:rsidR="00B810CC" w:rsidRPr="00B810CC" w:rsidRDefault="00B810CC" w:rsidP="00B810CC">
            <w:pPr>
              <w:jc w:val="right"/>
              <w:rPr>
                <w:sz w:val="22"/>
                <w:szCs w:val="22"/>
              </w:rPr>
            </w:pPr>
          </w:p>
        </w:tc>
      </w:tr>
      <w:tr w:rsidR="00B810CC" w:rsidRPr="00B810CC" w14:paraId="7919C630" w14:textId="77777777" w:rsidTr="0072284B">
        <w:tc>
          <w:tcPr>
            <w:tcW w:w="2415" w:type="dxa"/>
          </w:tcPr>
          <w:p w14:paraId="10F6E727" w14:textId="77777777" w:rsidR="00B810CC" w:rsidRPr="00B810CC" w:rsidRDefault="00B810CC" w:rsidP="00B810CC">
            <w:pPr>
              <w:pStyle w:val="TableHead"/>
              <w:spacing w:after="240"/>
              <w:rPr>
                <w:sz w:val="22"/>
                <w:szCs w:val="22"/>
              </w:rPr>
            </w:pPr>
            <w:r>
              <w:rPr>
                <w:bCs/>
                <w:sz w:val="22"/>
                <w:szCs w:val="22"/>
                <w:lang w:val="ga"/>
              </w:rPr>
              <w:t>Mór-Iomlán</w:t>
            </w:r>
          </w:p>
        </w:tc>
        <w:tc>
          <w:tcPr>
            <w:tcW w:w="1559" w:type="dxa"/>
          </w:tcPr>
          <w:p w14:paraId="6B0E8674" w14:textId="6A8499FD" w:rsidR="00B810CC" w:rsidRPr="00B810CC" w:rsidRDefault="00B810CC" w:rsidP="00B810CC">
            <w:pPr>
              <w:pStyle w:val="TableHead"/>
              <w:spacing w:after="240"/>
              <w:jc w:val="right"/>
              <w:rPr>
                <w:sz w:val="22"/>
                <w:szCs w:val="22"/>
              </w:rPr>
            </w:pPr>
            <w:r>
              <w:rPr>
                <w:bCs/>
                <w:sz w:val="22"/>
                <w:szCs w:val="22"/>
                <w:lang w:val="ga"/>
              </w:rPr>
              <w:t>788</w:t>
            </w:r>
          </w:p>
        </w:tc>
        <w:tc>
          <w:tcPr>
            <w:tcW w:w="1560" w:type="dxa"/>
          </w:tcPr>
          <w:p w14:paraId="2748EE54" w14:textId="39AAE9B7" w:rsidR="00B810CC" w:rsidRPr="00B810CC" w:rsidRDefault="00B810CC" w:rsidP="00B810CC">
            <w:pPr>
              <w:pStyle w:val="TableHead"/>
              <w:spacing w:after="240"/>
              <w:jc w:val="right"/>
              <w:rPr>
                <w:sz w:val="22"/>
                <w:szCs w:val="22"/>
              </w:rPr>
            </w:pPr>
            <w:r>
              <w:rPr>
                <w:bCs/>
                <w:sz w:val="22"/>
                <w:szCs w:val="22"/>
                <w:lang w:val="ga"/>
              </w:rPr>
              <w:t>33</w:t>
            </w:r>
          </w:p>
        </w:tc>
        <w:tc>
          <w:tcPr>
            <w:tcW w:w="1549" w:type="dxa"/>
          </w:tcPr>
          <w:p w14:paraId="33EBCC6E" w14:textId="3FD8B483" w:rsidR="00B810CC" w:rsidRPr="00B810CC" w:rsidRDefault="00B810CC" w:rsidP="00B810CC">
            <w:pPr>
              <w:pStyle w:val="TableHead"/>
              <w:spacing w:after="240"/>
              <w:jc w:val="right"/>
              <w:rPr>
                <w:sz w:val="22"/>
                <w:szCs w:val="22"/>
              </w:rPr>
            </w:pPr>
            <w:r>
              <w:rPr>
                <w:bCs/>
                <w:sz w:val="22"/>
                <w:szCs w:val="22"/>
                <w:lang w:val="ga"/>
              </w:rPr>
              <w:t>4.2%</w:t>
            </w:r>
          </w:p>
        </w:tc>
        <w:tc>
          <w:tcPr>
            <w:tcW w:w="1286" w:type="dxa"/>
          </w:tcPr>
          <w:p w14:paraId="233F5913" w14:textId="77777777" w:rsidR="00B810CC" w:rsidRDefault="00B810CC" w:rsidP="00B810CC">
            <w:pPr>
              <w:spacing w:after="0"/>
              <w:jc w:val="right"/>
              <w:rPr>
                <w:rFonts w:cs="Calibri"/>
                <w:b/>
                <w:bCs/>
                <w:color w:val="000000"/>
                <w:sz w:val="22"/>
                <w:szCs w:val="22"/>
              </w:rPr>
            </w:pPr>
            <w:r>
              <w:rPr>
                <w:rFonts w:cs="Calibri"/>
                <w:b/>
                <w:bCs/>
                <w:color w:val="000000"/>
                <w:sz w:val="22"/>
                <w:szCs w:val="22"/>
                <w:lang w:val="ga"/>
              </w:rPr>
              <w:t>782</w:t>
            </w:r>
          </w:p>
          <w:p w14:paraId="780E6F79" w14:textId="18FD1DC5" w:rsidR="00B810CC" w:rsidRPr="00B810CC" w:rsidRDefault="00B810CC" w:rsidP="00B810CC">
            <w:pPr>
              <w:pStyle w:val="TableHead"/>
              <w:spacing w:after="240"/>
              <w:jc w:val="right"/>
              <w:rPr>
                <w:sz w:val="22"/>
                <w:szCs w:val="22"/>
              </w:rPr>
            </w:pPr>
          </w:p>
        </w:tc>
        <w:tc>
          <w:tcPr>
            <w:tcW w:w="1559" w:type="dxa"/>
          </w:tcPr>
          <w:p w14:paraId="2B259732" w14:textId="77777777" w:rsidR="00B810CC" w:rsidRDefault="00B810CC" w:rsidP="00B810CC">
            <w:pPr>
              <w:spacing w:after="0"/>
              <w:jc w:val="right"/>
              <w:rPr>
                <w:rFonts w:cs="Calibri"/>
                <w:b/>
                <w:bCs/>
                <w:color w:val="000000"/>
                <w:sz w:val="22"/>
                <w:szCs w:val="22"/>
              </w:rPr>
            </w:pPr>
            <w:r>
              <w:rPr>
                <w:rFonts w:cs="Calibri"/>
                <w:b/>
                <w:bCs/>
                <w:color w:val="000000"/>
                <w:sz w:val="22"/>
                <w:szCs w:val="22"/>
                <w:lang w:val="ga"/>
              </w:rPr>
              <w:t>28</w:t>
            </w:r>
          </w:p>
          <w:p w14:paraId="5CD77B27" w14:textId="327A4D88" w:rsidR="00B810CC" w:rsidRPr="00B810CC" w:rsidRDefault="00B810CC" w:rsidP="00B810CC">
            <w:pPr>
              <w:pStyle w:val="TableHead"/>
              <w:spacing w:after="240"/>
              <w:jc w:val="right"/>
              <w:rPr>
                <w:sz w:val="22"/>
                <w:szCs w:val="22"/>
              </w:rPr>
            </w:pPr>
          </w:p>
        </w:tc>
        <w:tc>
          <w:tcPr>
            <w:tcW w:w="1549" w:type="dxa"/>
          </w:tcPr>
          <w:p w14:paraId="485E507E" w14:textId="77777777" w:rsidR="00B810CC" w:rsidRDefault="00B810CC" w:rsidP="00B810CC">
            <w:pPr>
              <w:spacing w:after="0"/>
              <w:jc w:val="right"/>
              <w:rPr>
                <w:rFonts w:cs="Calibri"/>
                <w:b/>
                <w:bCs/>
                <w:color w:val="000000"/>
                <w:sz w:val="22"/>
                <w:szCs w:val="22"/>
              </w:rPr>
            </w:pPr>
            <w:r>
              <w:rPr>
                <w:rFonts w:cs="Calibri"/>
                <w:b/>
                <w:bCs/>
                <w:color w:val="000000"/>
                <w:sz w:val="22"/>
                <w:szCs w:val="22"/>
                <w:lang w:val="ga"/>
              </w:rPr>
              <w:t>3.6%</w:t>
            </w:r>
          </w:p>
          <w:p w14:paraId="519C6D4B" w14:textId="7791E139" w:rsidR="00B810CC" w:rsidRPr="00B810CC" w:rsidRDefault="00B810CC" w:rsidP="00B810CC">
            <w:pPr>
              <w:pStyle w:val="TableHead"/>
              <w:spacing w:after="240"/>
              <w:jc w:val="right"/>
              <w:rPr>
                <w:sz w:val="22"/>
                <w:szCs w:val="22"/>
              </w:rPr>
            </w:pPr>
          </w:p>
        </w:tc>
      </w:tr>
    </w:tbl>
    <w:p w14:paraId="2DE512F2" w14:textId="296C1ABD" w:rsidR="00634303" w:rsidRPr="00611BF3" w:rsidRDefault="00634303" w:rsidP="00F051FF">
      <w:pPr>
        <w:pStyle w:val="TableSummary"/>
        <w:ind w:left="0"/>
        <w:jc w:val="left"/>
        <w:rPr>
          <w:highlight w:val="green"/>
        </w:rPr>
      </w:pPr>
    </w:p>
    <w:p w14:paraId="5699D00A" w14:textId="77777777" w:rsidR="00D53074" w:rsidRPr="00611BF3" w:rsidRDefault="00D53074">
      <w:pPr>
        <w:spacing w:after="0"/>
        <w:rPr>
          <w:rFonts w:ascii="Rockwell" w:hAnsi="Rockwell"/>
          <w:b/>
          <w:color w:val="000000" w:themeColor="text1"/>
          <w:sz w:val="32"/>
          <w:szCs w:val="32"/>
          <w:highlight w:val="green"/>
        </w:rPr>
      </w:pPr>
      <w:r>
        <w:rPr>
          <w:color w:val="000000" w:themeColor="text1"/>
          <w:highlight w:val="green"/>
          <w:lang w:val="ga"/>
        </w:rPr>
        <w:br w:type="page"/>
      </w:r>
    </w:p>
    <w:p w14:paraId="57297E20" w14:textId="476264ED" w:rsidR="00624403" w:rsidRDefault="007E64ED" w:rsidP="00EF2C8B">
      <w:pPr>
        <w:pStyle w:val="Heading2"/>
        <w:spacing w:after="120"/>
        <w:jc w:val="center"/>
        <w:rPr>
          <w:bCs/>
          <w:color w:val="000000" w:themeColor="text1"/>
          <w:lang w:val="ga"/>
        </w:rPr>
      </w:pPr>
      <w:bookmarkStart w:id="75" w:name="_Toc147910091"/>
      <w:r>
        <w:rPr>
          <w:bCs/>
          <w:color w:val="000000" w:themeColor="text1"/>
          <w:lang w:val="ga"/>
        </w:rPr>
        <w:lastRenderedPageBreak/>
        <w:t>An Roinn Breisoideachais agus Ardoideachais, Taighde, Nuálaíochta agus Eolaíochta</w:t>
      </w:r>
      <w:bookmarkEnd w:id="75"/>
    </w:p>
    <w:p w14:paraId="24C6A8E0" w14:textId="47F1AC23" w:rsidR="00AA0798" w:rsidRPr="00AA0798" w:rsidRDefault="00AA0798" w:rsidP="00AA0798">
      <w:pPr>
        <w:rPr>
          <w:b/>
          <w:bCs/>
          <w:sz w:val="22"/>
          <w:szCs w:val="22"/>
          <w:lang w:val="ga"/>
        </w:rPr>
      </w:pPr>
      <w:r w:rsidRPr="00AA0798">
        <w:rPr>
          <w:b/>
          <w:bCs/>
          <w:sz w:val="22"/>
          <w:szCs w:val="22"/>
          <w:lang w:val="ga"/>
        </w:rPr>
        <w:t xml:space="preserve">*In 2022, tháinig IT Cheatharlach agus IT Phort Láirge le chéile chun Ollscoil Teicneolaíochta an Oirdheiscirt (SETU) a dhéanamh. Tá sonraí 2021 do IT Cheatharlach agus sonraí 2021 do IT Phort Láirge ar leathanach </w:t>
      </w:r>
      <w:r w:rsidR="00074BE9">
        <w:rPr>
          <w:b/>
          <w:bCs/>
          <w:sz w:val="22"/>
          <w:szCs w:val="22"/>
          <w:lang w:val="ga"/>
        </w:rPr>
        <w:t>40</w:t>
      </w:r>
      <w:r w:rsidRPr="00AA0798">
        <w:rPr>
          <w:b/>
          <w:bCs/>
          <w:sz w:val="22"/>
          <w:szCs w:val="22"/>
          <w:lang w:val="ga"/>
        </w:rPr>
        <w:t xml:space="preserve"> den tuarascáil seo. Tá sonraí 2022 d’Ollscoil Theicneolaíochta an Oirdheiscirt (SETU) ar leathanach </w:t>
      </w:r>
      <w:r w:rsidR="00074BE9">
        <w:rPr>
          <w:b/>
          <w:bCs/>
          <w:sz w:val="22"/>
          <w:szCs w:val="22"/>
          <w:lang w:val="ga"/>
        </w:rPr>
        <w:t>41</w:t>
      </w:r>
      <w:r w:rsidR="00233E80">
        <w:rPr>
          <w:b/>
          <w:bCs/>
          <w:sz w:val="22"/>
          <w:szCs w:val="22"/>
          <w:lang w:val="ga"/>
        </w:rPr>
        <w:t xml:space="preserve"> </w:t>
      </w:r>
      <w:r w:rsidRPr="00AA0798">
        <w:rPr>
          <w:b/>
          <w:bCs/>
          <w:sz w:val="22"/>
          <w:szCs w:val="22"/>
          <w:lang w:val="ga"/>
        </w:rPr>
        <w:t>den tuarascáil</w:t>
      </w:r>
      <w:r w:rsidR="00074BE9">
        <w:rPr>
          <w:b/>
          <w:bCs/>
          <w:sz w:val="22"/>
          <w:szCs w:val="22"/>
          <w:lang w:val="ga"/>
        </w:rPr>
        <w:t>.</w:t>
      </w:r>
    </w:p>
    <w:tbl>
      <w:tblPr>
        <w:tblStyle w:val="TableGrid"/>
        <w:tblW w:w="11477" w:type="dxa"/>
        <w:jc w:val="center"/>
        <w:tblLayout w:type="fixed"/>
        <w:tblLook w:val="04A0" w:firstRow="1" w:lastRow="0" w:firstColumn="1" w:lastColumn="0" w:noHBand="0" w:noVBand="1"/>
        <w:tblCaption w:val="Department of Further &amp; Higher Education, Research Innovation &amp; Science"/>
        <w:tblDescription w:val="Department of Further &amp; Higher Education, Research Innovation &amp; Science (comparison to the former Department of Education &amp; Skills in 2019)"/>
      </w:tblPr>
      <w:tblGrid>
        <w:gridCol w:w="2137"/>
        <w:gridCol w:w="1701"/>
        <w:gridCol w:w="1701"/>
        <w:gridCol w:w="1544"/>
        <w:gridCol w:w="1291"/>
        <w:gridCol w:w="1559"/>
        <w:gridCol w:w="1544"/>
      </w:tblGrid>
      <w:tr w:rsidR="001120E7" w:rsidRPr="00B810CC" w14:paraId="5F5A7963" w14:textId="77777777" w:rsidTr="0072284B">
        <w:trPr>
          <w:tblHeader/>
          <w:jc w:val="center"/>
        </w:trPr>
        <w:tc>
          <w:tcPr>
            <w:tcW w:w="2137" w:type="dxa"/>
          </w:tcPr>
          <w:p w14:paraId="59E28147" w14:textId="77777777" w:rsidR="001120E7" w:rsidRPr="00B810CC" w:rsidRDefault="001120E7" w:rsidP="00812E67">
            <w:pPr>
              <w:pStyle w:val="TableHead"/>
              <w:rPr>
                <w:sz w:val="22"/>
                <w:szCs w:val="22"/>
              </w:rPr>
            </w:pPr>
            <w:r>
              <w:rPr>
                <w:bCs/>
                <w:sz w:val="22"/>
                <w:szCs w:val="22"/>
                <w:lang w:val="ga"/>
              </w:rPr>
              <w:t>Comhlacht Poiblí</w:t>
            </w:r>
          </w:p>
        </w:tc>
        <w:tc>
          <w:tcPr>
            <w:tcW w:w="1701" w:type="dxa"/>
          </w:tcPr>
          <w:p w14:paraId="594A3536" w14:textId="77777777" w:rsidR="00F516FE" w:rsidRPr="00B810CC" w:rsidRDefault="00F1261F" w:rsidP="00812E67">
            <w:pPr>
              <w:pStyle w:val="TableHead"/>
              <w:rPr>
                <w:sz w:val="22"/>
                <w:szCs w:val="22"/>
              </w:rPr>
            </w:pPr>
            <w:r>
              <w:rPr>
                <w:bCs/>
                <w:sz w:val="22"/>
                <w:szCs w:val="22"/>
                <w:lang w:val="ga"/>
              </w:rPr>
              <w:t xml:space="preserve">An líon </w:t>
            </w:r>
          </w:p>
          <w:p w14:paraId="129E315B" w14:textId="77777777" w:rsidR="00F516FE" w:rsidRPr="00B810CC" w:rsidRDefault="00F1261F" w:rsidP="00812E67">
            <w:pPr>
              <w:pStyle w:val="TableHead"/>
              <w:rPr>
                <w:sz w:val="22"/>
                <w:szCs w:val="22"/>
              </w:rPr>
            </w:pPr>
            <w:r>
              <w:rPr>
                <w:bCs/>
                <w:sz w:val="22"/>
                <w:szCs w:val="22"/>
                <w:lang w:val="ga"/>
              </w:rPr>
              <w:t xml:space="preserve">iomlán </w:t>
            </w:r>
          </w:p>
          <w:p w14:paraId="2490FD6B" w14:textId="77777777" w:rsidR="00F516FE" w:rsidRPr="00B810CC" w:rsidRDefault="00F1261F" w:rsidP="00812E67">
            <w:pPr>
              <w:pStyle w:val="TableHead"/>
              <w:rPr>
                <w:sz w:val="22"/>
                <w:szCs w:val="22"/>
              </w:rPr>
            </w:pPr>
            <w:r>
              <w:rPr>
                <w:bCs/>
                <w:sz w:val="22"/>
                <w:szCs w:val="22"/>
                <w:lang w:val="ga"/>
              </w:rPr>
              <w:t xml:space="preserve">fostaithe </w:t>
            </w:r>
          </w:p>
          <w:p w14:paraId="61866FD6" w14:textId="24B1E0AF" w:rsidR="001120E7" w:rsidRPr="00B810CC" w:rsidRDefault="00F1261F" w:rsidP="00812E67">
            <w:pPr>
              <w:pStyle w:val="TableHead"/>
              <w:rPr>
                <w:sz w:val="22"/>
                <w:szCs w:val="22"/>
              </w:rPr>
            </w:pPr>
            <w:r>
              <w:rPr>
                <w:bCs/>
                <w:sz w:val="22"/>
                <w:szCs w:val="22"/>
                <w:lang w:val="ga"/>
              </w:rPr>
              <w:t>2021</w:t>
            </w:r>
          </w:p>
        </w:tc>
        <w:tc>
          <w:tcPr>
            <w:tcW w:w="1701" w:type="dxa"/>
          </w:tcPr>
          <w:p w14:paraId="7D7D45EC" w14:textId="4069EF24" w:rsidR="001120E7" w:rsidRPr="00B810CC" w:rsidRDefault="001120E7" w:rsidP="00812E67">
            <w:pPr>
              <w:pStyle w:val="TableHead"/>
              <w:rPr>
                <w:sz w:val="22"/>
                <w:szCs w:val="22"/>
              </w:rPr>
            </w:pPr>
            <w:r>
              <w:rPr>
                <w:bCs/>
                <w:sz w:val="22"/>
                <w:szCs w:val="22"/>
                <w:lang w:val="ga"/>
              </w:rPr>
              <w:t xml:space="preserve">An líon fostaithe a thuairiscigh míchumas </w:t>
            </w:r>
          </w:p>
          <w:p w14:paraId="49F05F20" w14:textId="05606FBF" w:rsidR="001120E7" w:rsidRPr="00B810CC" w:rsidRDefault="00F1261F" w:rsidP="00812E67">
            <w:pPr>
              <w:pStyle w:val="TableHead"/>
              <w:rPr>
                <w:sz w:val="22"/>
                <w:szCs w:val="22"/>
              </w:rPr>
            </w:pPr>
            <w:r>
              <w:rPr>
                <w:bCs/>
                <w:sz w:val="22"/>
                <w:szCs w:val="22"/>
                <w:lang w:val="ga"/>
              </w:rPr>
              <w:t>2021</w:t>
            </w:r>
          </w:p>
        </w:tc>
        <w:tc>
          <w:tcPr>
            <w:tcW w:w="1544" w:type="dxa"/>
          </w:tcPr>
          <w:p w14:paraId="257E3A26" w14:textId="4D6DDC31" w:rsidR="001120E7" w:rsidRPr="00B810CC" w:rsidRDefault="001120E7" w:rsidP="00812E67">
            <w:pPr>
              <w:pStyle w:val="TableHead"/>
              <w:rPr>
                <w:sz w:val="22"/>
                <w:szCs w:val="22"/>
              </w:rPr>
            </w:pPr>
            <w:r>
              <w:rPr>
                <w:bCs/>
                <w:sz w:val="22"/>
                <w:szCs w:val="22"/>
                <w:lang w:val="ga"/>
              </w:rPr>
              <w:t>An % d’fhostaithe a thuairiscigh</w:t>
            </w:r>
          </w:p>
          <w:p w14:paraId="76899061" w14:textId="576B7C6E" w:rsidR="001120E7" w:rsidRPr="00B810CC" w:rsidRDefault="00254A95" w:rsidP="00812E67">
            <w:pPr>
              <w:pStyle w:val="TableHead"/>
              <w:rPr>
                <w:sz w:val="22"/>
                <w:szCs w:val="22"/>
              </w:rPr>
            </w:pPr>
            <w:r>
              <w:rPr>
                <w:bCs/>
                <w:sz w:val="22"/>
                <w:szCs w:val="22"/>
                <w:lang w:val="ga"/>
              </w:rPr>
              <w:t>míchumas 2021</w:t>
            </w:r>
          </w:p>
        </w:tc>
        <w:tc>
          <w:tcPr>
            <w:tcW w:w="1291" w:type="dxa"/>
          </w:tcPr>
          <w:p w14:paraId="4C814452" w14:textId="77777777" w:rsidR="00F516FE" w:rsidRPr="00B810CC" w:rsidRDefault="00F1261F" w:rsidP="00812E67">
            <w:pPr>
              <w:pStyle w:val="TableHead"/>
              <w:rPr>
                <w:sz w:val="22"/>
                <w:szCs w:val="22"/>
              </w:rPr>
            </w:pPr>
            <w:r>
              <w:rPr>
                <w:bCs/>
                <w:sz w:val="22"/>
                <w:szCs w:val="22"/>
                <w:lang w:val="ga"/>
              </w:rPr>
              <w:t xml:space="preserve">An líon iomlán </w:t>
            </w:r>
          </w:p>
          <w:p w14:paraId="1674CB82" w14:textId="52B21803" w:rsidR="001120E7" w:rsidRPr="00B810CC" w:rsidRDefault="00F1261F" w:rsidP="00812E67">
            <w:pPr>
              <w:pStyle w:val="TableHead"/>
              <w:rPr>
                <w:sz w:val="22"/>
                <w:szCs w:val="22"/>
              </w:rPr>
            </w:pPr>
            <w:r>
              <w:rPr>
                <w:bCs/>
                <w:sz w:val="22"/>
                <w:szCs w:val="22"/>
                <w:lang w:val="ga"/>
              </w:rPr>
              <w:t>fostaithe 2022</w:t>
            </w:r>
          </w:p>
        </w:tc>
        <w:tc>
          <w:tcPr>
            <w:tcW w:w="1559" w:type="dxa"/>
          </w:tcPr>
          <w:p w14:paraId="19AFEDDB" w14:textId="419E9C78" w:rsidR="001120E7" w:rsidRPr="00B810CC" w:rsidRDefault="00254A95" w:rsidP="00812E67">
            <w:pPr>
              <w:pStyle w:val="TableHead"/>
              <w:rPr>
                <w:sz w:val="22"/>
                <w:szCs w:val="22"/>
              </w:rPr>
            </w:pPr>
            <w:r>
              <w:rPr>
                <w:bCs/>
                <w:sz w:val="22"/>
                <w:szCs w:val="22"/>
                <w:lang w:val="ga"/>
              </w:rPr>
              <w:t xml:space="preserve">An líon fostaithe a thuairiscigh míchumas </w:t>
            </w:r>
          </w:p>
          <w:p w14:paraId="0D44A3CF" w14:textId="3C43F454" w:rsidR="001120E7" w:rsidRPr="00B810CC" w:rsidRDefault="00F1261F" w:rsidP="00812E67">
            <w:pPr>
              <w:pStyle w:val="TableHead"/>
              <w:rPr>
                <w:sz w:val="22"/>
                <w:szCs w:val="22"/>
              </w:rPr>
            </w:pPr>
            <w:r>
              <w:rPr>
                <w:bCs/>
                <w:sz w:val="22"/>
                <w:szCs w:val="22"/>
                <w:lang w:val="ga"/>
              </w:rPr>
              <w:t>2022</w:t>
            </w:r>
          </w:p>
        </w:tc>
        <w:tc>
          <w:tcPr>
            <w:tcW w:w="1544" w:type="dxa"/>
          </w:tcPr>
          <w:p w14:paraId="1D4CE6FC" w14:textId="712F3079" w:rsidR="001120E7" w:rsidRPr="00B810CC" w:rsidRDefault="001120E7" w:rsidP="00812E67">
            <w:pPr>
              <w:pStyle w:val="TableHead"/>
              <w:rPr>
                <w:sz w:val="22"/>
                <w:szCs w:val="22"/>
              </w:rPr>
            </w:pPr>
            <w:r>
              <w:rPr>
                <w:bCs/>
                <w:sz w:val="22"/>
                <w:szCs w:val="22"/>
                <w:lang w:val="ga"/>
              </w:rPr>
              <w:t>An % d’fhostaithe a thuairiscigh</w:t>
            </w:r>
          </w:p>
          <w:p w14:paraId="2A462086" w14:textId="41D89FD8" w:rsidR="001120E7" w:rsidRPr="00B810CC" w:rsidRDefault="00254A95" w:rsidP="00812E67">
            <w:pPr>
              <w:pStyle w:val="TableHead"/>
              <w:rPr>
                <w:sz w:val="24"/>
              </w:rPr>
            </w:pPr>
            <w:r>
              <w:rPr>
                <w:bCs/>
                <w:sz w:val="22"/>
                <w:szCs w:val="22"/>
                <w:lang w:val="ga"/>
              </w:rPr>
              <w:t>míchumas 2022</w:t>
            </w:r>
          </w:p>
        </w:tc>
      </w:tr>
      <w:tr w:rsidR="000A4BAB" w:rsidRPr="00B810CC" w14:paraId="304C8DA6" w14:textId="77777777" w:rsidTr="0072284B">
        <w:trPr>
          <w:jc w:val="center"/>
        </w:trPr>
        <w:tc>
          <w:tcPr>
            <w:tcW w:w="2137" w:type="dxa"/>
          </w:tcPr>
          <w:p w14:paraId="64948934" w14:textId="067EC6C9" w:rsidR="000A4BAB" w:rsidRPr="00E33017" w:rsidRDefault="000A4BAB" w:rsidP="000A4BAB">
            <w:pPr>
              <w:rPr>
                <w:rFonts w:cs="Calibri"/>
                <w:color w:val="000000"/>
                <w:sz w:val="22"/>
                <w:szCs w:val="22"/>
              </w:rPr>
            </w:pPr>
            <w:r>
              <w:rPr>
                <w:rFonts w:cs="Calibri"/>
                <w:color w:val="000000"/>
                <w:sz w:val="22"/>
                <w:szCs w:val="22"/>
                <w:lang w:val="ga"/>
              </w:rPr>
              <w:t xml:space="preserve">Ollscoil Teicneolaíochta an Atlantaigh, Dún na nGall (ATU) </w:t>
            </w:r>
            <w:r>
              <w:rPr>
                <w:rFonts w:cs="Calibri"/>
                <w:b/>
                <w:bCs/>
                <w:color w:val="000000"/>
                <w:sz w:val="22"/>
                <w:szCs w:val="22"/>
                <w:lang w:val="ga"/>
              </w:rPr>
              <w:t>(Sa bhliain 2022, d’athraigh Institiúid Teicneolaíochta Leitir Ceanainn a hainm go ‘Ollscoil Teicneolaíochta an Atlantaigh, Dún na nGall (ATU)’)</w:t>
            </w:r>
          </w:p>
        </w:tc>
        <w:tc>
          <w:tcPr>
            <w:tcW w:w="1701" w:type="dxa"/>
          </w:tcPr>
          <w:p w14:paraId="3160757F" w14:textId="04F1193B" w:rsidR="000A4BAB" w:rsidRPr="00E33017" w:rsidRDefault="000A4BAB" w:rsidP="000A4BAB">
            <w:pPr>
              <w:jc w:val="right"/>
              <w:rPr>
                <w:rFonts w:cs="Calibri"/>
                <w:color w:val="000000"/>
                <w:sz w:val="22"/>
                <w:szCs w:val="22"/>
              </w:rPr>
            </w:pPr>
            <w:r>
              <w:rPr>
                <w:rFonts w:cs="Calibri"/>
                <w:color w:val="000000"/>
                <w:sz w:val="22"/>
                <w:szCs w:val="22"/>
                <w:lang w:val="ga"/>
              </w:rPr>
              <w:t>421</w:t>
            </w:r>
          </w:p>
        </w:tc>
        <w:tc>
          <w:tcPr>
            <w:tcW w:w="1701" w:type="dxa"/>
          </w:tcPr>
          <w:p w14:paraId="5C88484D" w14:textId="306198DE" w:rsidR="000A4BAB" w:rsidRPr="00E33017" w:rsidRDefault="000A4BAB" w:rsidP="000A4BAB">
            <w:pPr>
              <w:jc w:val="right"/>
              <w:rPr>
                <w:rFonts w:cs="Calibri"/>
                <w:color w:val="000000"/>
                <w:sz w:val="22"/>
                <w:szCs w:val="22"/>
              </w:rPr>
            </w:pPr>
            <w:r>
              <w:rPr>
                <w:rFonts w:cs="Calibri"/>
                <w:color w:val="000000"/>
                <w:sz w:val="22"/>
                <w:szCs w:val="22"/>
                <w:lang w:val="ga"/>
              </w:rPr>
              <w:t>25</w:t>
            </w:r>
          </w:p>
        </w:tc>
        <w:tc>
          <w:tcPr>
            <w:tcW w:w="1544" w:type="dxa"/>
          </w:tcPr>
          <w:p w14:paraId="734A9088" w14:textId="2B324B79" w:rsidR="000A4BAB" w:rsidRPr="00E33017" w:rsidRDefault="000A4BAB" w:rsidP="000A4BAB">
            <w:pPr>
              <w:jc w:val="right"/>
              <w:rPr>
                <w:rFonts w:cs="Calibri"/>
                <w:color w:val="000000"/>
                <w:sz w:val="22"/>
                <w:szCs w:val="22"/>
              </w:rPr>
            </w:pPr>
            <w:r>
              <w:rPr>
                <w:rFonts w:cs="Calibri"/>
                <w:color w:val="000000"/>
                <w:sz w:val="22"/>
                <w:szCs w:val="22"/>
                <w:lang w:val="ga"/>
              </w:rPr>
              <w:t>5.9%</w:t>
            </w:r>
          </w:p>
        </w:tc>
        <w:tc>
          <w:tcPr>
            <w:tcW w:w="1291" w:type="dxa"/>
          </w:tcPr>
          <w:p w14:paraId="0E979417" w14:textId="41EF863C" w:rsidR="000A4BAB" w:rsidRPr="00E33017" w:rsidRDefault="000A4BAB" w:rsidP="000A4BAB">
            <w:pPr>
              <w:spacing w:after="0"/>
              <w:jc w:val="right"/>
              <w:rPr>
                <w:rFonts w:cs="Calibri"/>
                <w:color w:val="000000"/>
                <w:sz w:val="22"/>
                <w:szCs w:val="22"/>
              </w:rPr>
            </w:pPr>
            <w:r>
              <w:rPr>
                <w:rFonts w:cs="Calibri"/>
                <w:color w:val="000000"/>
                <w:sz w:val="22"/>
                <w:szCs w:val="22"/>
                <w:lang w:val="ga"/>
              </w:rPr>
              <w:t>468</w:t>
            </w:r>
          </w:p>
        </w:tc>
        <w:tc>
          <w:tcPr>
            <w:tcW w:w="1559" w:type="dxa"/>
          </w:tcPr>
          <w:p w14:paraId="014FFC87" w14:textId="48C9ACC2" w:rsidR="000A4BAB" w:rsidRPr="00E33017" w:rsidRDefault="000A4BAB" w:rsidP="000A4BAB">
            <w:pPr>
              <w:spacing w:after="0"/>
              <w:jc w:val="right"/>
              <w:rPr>
                <w:rFonts w:cs="Calibri"/>
                <w:color w:val="000000"/>
                <w:sz w:val="22"/>
                <w:szCs w:val="22"/>
              </w:rPr>
            </w:pPr>
            <w:r>
              <w:rPr>
                <w:rFonts w:cs="Calibri"/>
                <w:color w:val="000000"/>
                <w:sz w:val="22"/>
                <w:szCs w:val="22"/>
                <w:lang w:val="ga"/>
              </w:rPr>
              <w:t>27</w:t>
            </w:r>
          </w:p>
          <w:p w14:paraId="6818F25F" w14:textId="77777777" w:rsidR="000A4BAB" w:rsidRPr="00E33017" w:rsidRDefault="000A4BAB" w:rsidP="000A4BAB">
            <w:pPr>
              <w:spacing w:after="0"/>
              <w:jc w:val="right"/>
              <w:rPr>
                <w:rFonts w:cs="Calibri"/>
                <w:color w:val="000000"/>
                <w:sz w:val="22"/>
                <w:szCs w:val="22"/>
              </w:rPr>
            </w:pPr>
          </w:p>
        </w:tc>
        <w:tc>
          <w:tcPr>
            <w:tcW w:w="1544" w:type="dxa"/>
          </w:tcPr>
          <w:p w14:paraId="7497738C" w14:textId="5ADBB9EC" w:rsidR="000A4BAB" w:rsidRPr="00E33017" w:rsidRDefault="000A4BAB" w:rsidP="000A4BAB">
            <w:pPr>
              <w:spacing w:after="0"/>
              <w:jc w:val="right"/>
              <w:rPr>
                <w:rFonts w:cs="Calibri"/>
                <w:color w:val="000000"/>
                <w:sz w:val="22"/>
                <w:szCs w:val="22"/>
              </w:rPr>
            </w:pPr>
            <w:r>
              <w:rPr>
                <w:rFonts w:cs="Calibri"/>
                <w:color w:val="000000"/>
                <w:sz w:val="22"/>
                <w:szCs w:val="22"/>
                <w:lang w:val="ga"/>
              </w:rPr>
              <w:t>5.8%</w:t>
            </w:r>
          </w:p>
          <w:p w14:paraId="2017134F" w14:textId="77777777" w:rsidR="000A4BAB" w:rsidRPr="00E33017" w:rsidRDefault="000A4BAB" w:rsidP="000A4BAB">
            <w:pPr>
              <w:spacing w:after="0"/>
              <w:jc w:val="right"/>
              <w:rPr>
                <w:rFonts w:cs="Calibri"/>
                <w:color w:val="000000"/>
                <w:sz w:val="22"/>
                <w:szCs w:val="22"/>
              </w:rPr>
            </w:pPr>
          </w:p>
        </w:tc>
      </w:tr>
      <w:tr w:rsidR="000A4BAB" w:rsidRPr="00B810CC" w14:paraId="432604E6" w14:textId="77777777" w:rsidTr="0072284B">
        <w:trPr>
          <w:jc w:val="center"/>
        </w:trPr>
        <w:tc>
          <w:tcPr>
            <w:tcW w:w="2137" w:type="dxa"/>
          </w:tcPr>
          <w:p w14:paraId="03E2EBE1" w14:textId="2DF40C0B" w:rsidR="000A4BAB" w:rsidRPr="00B810CC" w:rsidRDefault="000A4BAB" w:rsidP="000A4BAB">
            <w:pPr>
              <w:rPr>
                <w:rFonts w:cs="Calibri"/>
                <w:color w:val="000000"/>
                <w:sz w:val="22"/>
                <w:szCs w:val="22"/>
              </w:rPr>
            </w:pPr>
            <w:r>
              <w:rPr>
                <w:rFonts w:cs="Calibri"/>
                <w:color w:val="000000"/>
                <w:sz w:val="22"/>
                <w:szCs w:val="22"/>
                <w:lang w:val="ga"/>
              </w:rPr>
              <w:t xml:space="preserve">Ollscoil Teicneolaíochta an Atlantaigh, Gaillimh-Maigh Eo (ATU) </w:t>
            </w:r>
            <w:r>
              <w:rPr>
                <w:rFonts w:cs="Calibri"/>
                <w:b/>
                <w:bCs/>
                <w:color w:val="000000"/>
                <w:sz w:val="22"/>
                <w:szCs w:val="22"/>
                <w:lang w:val="ga"/>
              </w:rPr>
              <w:t>(Sa bhliain 2022, d’athraigh Institiúid Teicneolaíochta na Gaillimhe-Maigh Eo a hainm go ‘Ollscoil Teicneolaíochta an Atlantaigh, Gaillimh-Maigh Eo (ATU)’)</w:t>
            </w:r>
          </w:p>
        </w:tc>
        <w:tc>
          <w:tcPr>
            <w:tcW w:w="1701" w:type="dxa"/>
          </w:tcPr>
          <w:p w14:paraId="337FD0A9" w14:textId="29174087" w:rsidR="000A4BAB" w:rsidRPr="00E33017" w:rsidRDefault="000A4BAB" w:rsidP="000A4BAB">
            <w:pPr>
              <w:jc w:val="right"/>
              <w:rPr>
                <w:rFonts w:cs="Calibri"/>
                <w:color w:val="000000"/>
                <w:sz w:val="22"/>
                <w:szCs w:val="22"/>
              </w:rPr>
            </w:pPr>
            <w:r>
              <w:rPr>
                <w:rFonts w:cs="Calibri"/>
                <w:color w:val="000000"/>
                <w:sz w:val="22"/>
                <w:szCs w:val="22"/>
                <w:lang w:val="ga"/>
              </w:rPr>
              <w:t>1057</w:t>
            </w:r>
          </w:p>
        </w:tc>
        <w:tc>
          <w:tcPr>
            <w:tcW w:w="1701" w:type="dxa"/>
          </w:tcPr>
          <w:p w14:paraId="4974A688" w14:textId="7C134272" w:rsidR="000A4BAB" w:rsidRPr="00E33017" w:rsidRDefault="000A4BAB" w:rsidP="000A4BAB">
            <w:pPr>
              <w:jc w:val="right"/>
              <w:rPr>
                <w:rFonts w:cs="Calibri"/>
                <w:color w:val="000000"/>
                <w:sz w:val="22"/>
                <w:szCs w:val="22"/>
              </w:rPr>
            </w:pPr>
            <w:r>
              <w:rPr>
                <w:rFonts w:cs="Calibri"/>
                <w:color w:val="000000"/>
                <w:sz w:val="22"/>
                <w:szCs w:val="22"/>
                <w:lang w:val="ga"/>
              </w:rPr>
              <w:t>30</w:t>
            </w:r>
          </w:p>
        </w:tc>
        <w:tc>
          <w:tcPr>
            <w:tcW w:w="1544" w:type="dxa"/>
          </w:tcPr>
          <w:p w14:paraId="1B257FA8" w14:textId="09E91397" w:rsidR="000A4BAB" w:rsidRPr="00E33017" w:rsidRDefault="000A4BAB" w:rsidP="000A4BAB">
            <w:pPr>
              <w:jc w:val="right"/>
              <w:rPr>
                <w:rFonts w:cs="Calibri"/>
                <w:color w:val="000000"/>
                <w:sz w:val="22"/>
                <w:szCs w:val="22"/>
              </w:rPr>
            </w:pPr>
            <w:r>
              <w:rPr>
                <w:rFonts w:cs="Calibri"/>
                <w:color w:val="000000"/>
                <w:sz w:val="22"/>
                <w:szCs w:val="22"/>
                <w:lang w:val="ga"/>
              </w:rPr>
              <w:t>2.8%</w:t>
            </w:r>
          </w:p>
        </w:tc>
        <w:tc>
          <w:tcPr>
            <w:tcW w:w="1291" w:type="dxa"/>
          </w:tcPr>
          <w:p w14:paraId="4DA14B37"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1172</w:t>
            </w:r>
          </w:p>
          <w:p w14:paraId="089F181E" w14:textId="77777777" w:rsidR="000A4BAB" w:rsidRPr="00E33017" w:rsidRDefault="000A4BAB" w:rsidP="000A4BAB">
            <w:pPr>
              <w:spacing w:after="0"/>
              <w:jc w:val="right"/>
              <w:rPr>
                <w:rFonts w:cs="Calibri"/>
                <w:color w:val="000000"/>
                <w:sz w:val="22"/>
                <w:szCs w:val="22"/>
              </w:rPr>
            </w:pPr>
          </w:p>
        </w:tc>
        <w:tc>
          <w:tcPr>
            <w:tcW w:w="1559" w:type="dxa"/>
          </w:tcPr>
          <w:p w14:paraId="3FCF6222"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25</w:t>
            </w:r>
          </w:p>
          <w:p w14:paraId="5A6CE055" w14:textId="77777777" w:rsidR="000A4BAB" w:rsidRPr="00E33017" w:rsidRDefault="000A4BAB" w:rsidP="000A4BAB">
            <w:pPr>
              <w:spacing w:after="0"/>
              <w:jc w:val="right"/>
              <w:rPr>
                <w:rFonts w:cs="Calibri"/>
                <w:color w:val="000000"/>
                <w:sz w:val="22"/>
                <w:szCs w:val="22"/>
              </w:rPr>
            </w:pPr>
          </w:p>
        </w:tc>
        <w:tc>
          <w:tcPr>
            <w:tcW w:w="1544" w:type="dxa"/>
          </w:tcPr>
          <w:p w14:paraId="11F49470"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2.1%</w:t>
            </w:r>
          </w:p>
          <w:p w14:paraId="1DE707E1" w14:textId="77777777" w:rsidR="000A4BAB" w:rsidRPr="00E33017" w:rsidRDefault="000A4BAB" w:rsidP="000A4BAB">
            <w:pPr>
              <w:spacing w:after="0"/>
              <w:jc w:val="right"/>
              <w:rPr>
                <w:rFonts w:cs="Calibri"/>
                <w:color w:val="000000"/>
                <w:sz w:val="22"/>
                <w:szCs w:val="22"/>
              </w:rPr>
            </w:pPr>
          </w:p>
        </w:tc>
      </w:tr>
      <w:tr w:rsidR="000A4BAB" w:rsidRPr="00B810CC" w14:paraId="5AC6D466" w14:textId="77777777" w:rsidTr="0072284B">
        <w:trPr>
          <w:jc w:val="center"/>
        </w:trPr>
        <w:tc>
          <w:tcPr>
            <w:tcW w:w="2137" w:type="dxa"/>
          </w:tcPr>
          <w:p w14:paraId="683FF842" w14:textId="55433359" w:rsidR="000A4BAB" w:rsidRPr="00E33017" w:rsidRDefault="000A4BAB" w:rsidP="000A4BAB">
            <w:pPr>
              <w:rPr>
                <w:rFonts w:cs="Calibri"/>
                <w:color w:val="000000"/>
                <w:sz w:val="22"/>
                <w:szCs w:val="22"/>
              </w:rPr>
            </w:pPr>
            <w:r>
              <w:rPr>
                <w:rFonts w:cs="Calibri"/>
                <w:color w:val="000000"/>
                <w:sz w:val="22"/>
                <w:szCs w:val="22"/>
                <w:lang w:val="ga"/>
              </w:rPr>
              <w:t xml:space="preserve">Ollscoil Teicneolaíochta an Atlantaigh, Sligeach (ATU) </w:t>
            </w:r>
            <w:r>
              <w:rPr>
                <w:rFonts w:cs="Calibri"/>
                <w:b/>
                <w:bCs/>
                <w:color w:val="000000"/>
                <w:sz w:val="22"/>
                <w:szCs w:val="22"/>
                <w:lang w:val="ga"/>
              </w:rPr>
              <w:t xml:space="preserve">(Sa bhliain </w:t>
            </w:r>
            <w:r>
              <w:rPr>
                <w:rFonts w:cs="Calibri"/>
                <w:b/>
                <w:bCs/>
                <w:color w:val="000000"/>
                <w:sz w:val="22"/>
                <w:szCs w:val="22"/>
                <w:lang w:val="ga"/>
              </w:rPr>
              <w:lastRenderedPageBreak/>
              <w:t>2022, d’athraigh Institiúid Teicneolaíochta, Sligeach, a hainm go ‘Ollscoil Teicneolaíochta an Atlantaigh, Sligeach (ATU)’)</w:t>
            </w:r>
          </w:p>
        </w:tc>
        <w:tc>
          <w:tcPr>
            <w:tcW w:w="1701" w:type="dxa"/>
          </w:tcPr>
          <w:p w14:paraId="7923E34D" w14:textId="5164307E" w:rsidR="000A4BAB" w:rsidRPr="00E33017" w:rsidRDefault="000A4BAB" w:rsidP="000A4BAB">
            <w:pPr>
              <w:jc w:val="right"/>
              <w:rPr>
                <w:rFonts w:cs="Calibri"/>
                <w:color w:val="000000"/>
                <w:sz w:val="22"/>
                <w:szCs w:val="22"/>
              </w:rPr>
            </w:pPr>
            <w:r>
              <w:rPr>
                <w:rFonts w:cs="Calibri"/>
                <w:color w:val="000000"/>
                <w:sz w:val="22"/>
                <w:szCs w:val="22"/>
                <w:lang w:val="ga"/>
              </w:rPr>
              <w:lastRenderedPageBreak/>
              <w:t>691</w:t>
            </w:r>
          </w:p>
        </w:tc>
        <w:tc>
          <w:tcPr>
            <w:tcW w:w="1701" w:type="dxa"/>
          </w:tcPr>
          <w:p w14:paraId="70D3ED51" w14:textId="0BA53A4D" w:rsidR="000A4BAB" w:rsidRPr="00E33017" w:rsidRDefault="000A4BAB" w:rsidP="000A4BAB">
            <w:pPr>
              <w:jc w:val="right"/>
              <w:rPr>
                <w:rFonts w:cs="Calibri"/>
                <w:color w:val="000000"/>
                <w:sz w:val="22"/>
                <w:szCs w:val="22"/>
              </w:rPr>
            </w:pPr>
            <w:r>
              <w:rPr>
                <w:rFonts w:cs="Calibri"/>
                <w:color w:val="000000"/>
                <w:sz w:val="22"/>
                <w:szCs w:val="22"/>
                <w:lang w:val="ga"/>
              </w:rPr>
              <w:t>28</w:t>
            </w:r>
          </w:p>
        </w:tc>
        <w:tc>
          <w:tcPr>
            <w:tcW w:w="1544" w:type="dxa"/>
          </w:tcPr>
          <w:p w14:paraId="0D442F72" w14:textId="5CBA5E5C" w:rsidR="000A4BAB" w:rsidRPr="00E33017" w:rsidRDefault="000A4BAB" w:rsidP="000A4BAB">
            <w:pPr>
              <w:jc w:val="right"/>
              <w:rPr>
                <w:rFonts w:cs="Calibri"/>
                <w:color w:val="000000"/>
                <w:sz w:val="22"/>
                <w:szCs w:val="22"/>
              </w:rPr>
            </w:pPr>
            <w:r>
              <w:rPr>
                <w:rFonts w:cs="Calibri"/>
                <w:color w:val="000000"/>
                <w:sz w:val="22"/>
                <w:szCs w:val="22"/>
                <w:lang w:val="ga"/>
              </w:rPr>
              <w:t>4.1%</w:t>
            </w:r>
          </w:p>
        </w:tc>
        <w:tc>
          <w:tcPr>
            <w:tcW w:w="1291" w:type="dxa"/>
          </w:tcPr>
          <w:p w14:paraId="74C2C6B6"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789</w:t>
            </w:r>
          </w:p>
          <w:p w14:paraId="0BDCD500" w14:textId="77777777" w:rsidR="000A4BAB" w:rsidRPr="00E33017" w:rsidRDefault="000A4BAB" w:rsidP="000A4BAB">
            <w:pPr>
              <w:spacing w:after="0"/>
              <w:jc w:val="right"/>
              <w:rPr>
                <w:rFonts w:cs="Calibri"/>
                <w:color w:val="000000"/>
                <w:sz w:val="22"/>
                <w:szCs w:val="22"/>
              </w:rPr>
            </w:pPr>
          </w:p>
        </w:tc>
        <w:tc>
          <w:tcPr>
            <w:tcW w:w="1559" w:type="dxa"/>
          </w:tcPr>
          <w:p w14:paraId="6F4E2568"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28</w:t>
            </w:r>
          </w:p>
          <w:p w14:paraId="31E41766" w14:textId="77777777" w:rsidR="000A4BAB" w:rsidRPr="00E33017" w:rsidRDefault="000A4BAB" w:rsidP="000A4BAB">
            <w:pPr>
              <w:spacing w:after="0"/>
              <w:jc w:val="right"/>
              <w:rPr>
                <w:rFonts w:cs="Calibri"/>
                <w:color w:val="000000"/>
                <w:sz w:val="22"/>
                <w:szCs w:val="22"/>
              </w:rPr>
            </w:pPr>
          </w:p>
        </w:tc>
        <w:tc>
          <w:tcPr>
            <w:tcW w:w="1544" w:type="dxa"/>
          </w:tcPr>
          <w:p w14:paraId="23FDF933"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3.5%</w:t>
            </w:r>
          </w:p>
          <w:p w14:paraId="166278F4" w14:textId="77777777" w:rsidR="000A4BAB" w:rsidRPr="00E33017" w:rsidRDefault="000A4BAB" w:rsidP="000A4BAB">
            <w:pPr>
              <w:spacing w:after="0"/>
              <w:jc w:val="right"/>
              <w:rPr>
                <w:rFonts w:cs="Calibri"/>
                <w:color w:val="000000"/>
                <w:sz w:val="22"/>
                <w:szCs w:val="22"/>
              </w:rPr>
            </w:pPr>
          </w:p>
        </w:tc>
      </w:tr>
      <w:tr w:rsidR="000A4BAB" w:rsidRPr="00B810CC" w14:paraId="6C7496EC" w14:textId="77777777" w:rsidTr="0072284B">
        <w:trPr>
          <w:jc w:val="center"/>
        </w:trPr>
        <w:tc>
          <w:tcPr>
            <w:tcW w:w="2137" w:type="dxa"/>
          </w:tcPr>
          <w:p w14:paraId="25D8FDC0" w14:textId="484148D6" w:rsidR="000A4BAB" w:rsidRPr="00B810CC" w:rsidRDefault="000A4BAB" w:rsidP="000A4BAB">
            <w:pPr>
              <w:rPr>
                <w:sz w:val="22"/>
                <w:szCs w:val="22"/>
              </w:rPr>
            </w:pPr>
            <w:r>
              <w:rPr>
                <w:rFonts w:cs="Calibri"/>
                <w:color w:val="000000"/>
                <w:sz w:val="22"/>
                <w:szCs w:val="22"/>
                <w:lang w:val="ga"/>
              </w:rPr>
              <w:t>Institiúid Ealaíne, Deartha agus Teicneolaíochta Dhún Laoghaire</w:t>
            </w:r>
          </w:p>
        </w:tc>
        <w:tc>
          <w:tcPr>
            <w:tcW w:w="1701" w:type="dxa"/>
          </w:tcPr>
          <w:p w14:paraId="108B6D65" w14:textId="057B62E0" w:rsidR="000A4BAB" w:rsidRPr="00B810CC" w:rsidRDefault="000A4BAB" w:rsidP="000A4BAB">
            <w:pPr>
              <w:jc w:val="right"/>
              <w:rPr>
                <w:sz w:val="22"/>
                <w:szCs w:val="22"/>
              </w:rPr>
            </w:pPr>
            <w:r>
              <w:rPr>
                <w:rFonts w:cs="Calibri"/>
                <w:color w:val="000000"/>
                <w:sz w:val="22"/>
                <w:szCs w:val="22"/>
                <w:lang w:val="ga"/>
              </w:rPr>
              <w:t>377</w:t>
            </w:r>
          </w:p>
        </w:tc>
        <w:tc>
          <w:tcPr>
            <w:tcW w:w="1701" w:type="dxa"/>
          </w:tcPr>
          <w:p w14:paraId="4FF06979" w14:textId="5A14FC79" w:rsidR="000A4BAB" w:rsidRPr="00B810CC" w:rsidRDefault="000A4BAB" w:rsidP="000A4BAB">
            <w:pPr>
              <w:jc w:val="right"/>
              <w:rPr>
                <w:sz w:val="22"/>
                <w:szCs w:val="22"/>
              </w:rPr>
            </w:pPr>
            <w:r>
              <w:rPr>
                <w:rFonts w:cs="Calibri"/>
                <w:color w:val="000000"/>
                <w:sz w:val="22"/>
                <w:szCs w:val="22"/>
                <w:lang w:val="ga"/>
              </w:rPr>
              <w:t>17</w:t>
            </w:r>
          </w:p>
        </w:tc>
        <w:tc>
          <w:tcPr>
            <w:tcW w:w="1544" w:type="dxa"/>
          </w:tcPr>
          <w:p w14:paraId="550B201F" w14:textId="4CAFDDB6" w:rsidR="000A4BAB" w:rsidRPr="00B810CC" w:rsidRDefault="000A4BAB" w:rsidP="000A4BAB">
            <w:pPr>
              <w:jc w:val="right"/>
              <w:rPr>
                <w:sz w:val="22"/>
                <w:szCs w:val="22"/>
              </w:rPr>
            </w:pPr>
            <w:r>
              <w:rPr>
                <w:rFonts w:cs="Calibri"/>
                <w:color w:val="000000"/>
                <w:sz w:val="22"/>
                <w:szCs w:val="22"/>
                <w:lang w:val="ga"/>
              </w:rPr>
              <w:t>4.5%</w:t>
            </w:r>
          </w:p>
        </w:tc>
        <w:tc>
          <w:tcPr>
            <w:tcW w:w="1291" w:type="dxa"/>
          </w:tcPr>
          <w:p w14:paraId="0BA9F67D" w14:textId="77777777" w:rsidR="000A4BAB" w:rsidRDefault="000A4BAB" w:rsidP="000A4BAB">
            <w:pPr>
              <w:spacing w:after="0"/>
              <w:jc w:val="right"/>
              <w:rPr>
                <w:rFonts w:cs="Calibri"/>
                <w:color w:val="000000"/>
                <w:sz w:val="22"/>
                <w:szCs w:val="22"/>
              </w:rPr>
            </w:pPr>
            <w:r>
              <w:rPr>
                <w:rFonts w:cs="Calibri"/>
                <w:color w:val="000000"/>
                <w:sz w:val="22"/>
                <w:szCs w:val="22"/>
                <w:lang w:val="ga"/>
              </w:rPr>
              <w:t>368</w:t>
            </w:r>
          </w:p>
          <w:p w14:paraId="26DC24F2" w14:textId="25A21A4F" w:rsidR="000A4BAB" w:rsidRPr="00B810CC" w:rsidRDefault="000A4BAB" w:rsidP="000A4BAB">
            <w:pPr>
              <w:pStyle w:val="TableHead"/>
              <w:jc w:val="right"/>
              <w:rPr>
                <w:b w:val="0"/>
                <w:sz w:val="22"/>
                <w:szCs w:val="22"/>
              </w:rPr>
            </w:pPr>
          </w:p>
        </w:tc>
        <w:tc>
          <w:tcPr>
            <w:tcW w:w="1559" w:type="dxa"/>
          </w:tcPr>
          <w:p w14:paraId="72986EB1" w14:textId="77777777" w:rsidR="000A4BAB" w:rsidRDefault="000A4BAB" w:rsidP="000A4BAB">
            <w:pPr>
              <w:spacing w:after="0"/>
              <w:jc w:val="right"/>
              <w:rPr>
                <w:rFonts w:cs="Calibri"/>
                <w:color w:val="000000"/>
                <w:sz w:val="22"/>
                <w:szCs w:val="22"/>
              </w:rPr>
            </w:pPr>
            <w:r>
              <w:rPr>
                <w:rFonts w:cs="Calibri"/>
                <w:color w:val="000000"/>
                <w:sz w:val="22"/>
                <w:szCs w:val="22"/>
                <w:lang w:val="ga"/>
              </w:rPr>
              <w:t>33</w:t>
            </w:r>
          </w:p>
          <w:p w14:paraId="66823007" w14:textId="64E7A497" w:rsidR="000A4BAB" w:rsidRPr="00B810CC" w:rsidRDefault="000A4BAB" w:rsidP="000A4BAB">
            <w:pPr>
              <w:pStyle w:val="TableHead"/>
              <w:jc w:val="right"/>
              <w:rPr>
                <w:b w:val="0"/>
                <w:sz w:val="22"/>
                <w:szCs w:val="22"/>
              </w:rPr>
            </w:pPr>
          </w:p>
        </w:tc>
        <w:tc>
          <w:tcPr>
            <w:tcW w:w="1544" w:type="dxa"/>
          </w:tcPr>
          <w:p w14:paraId="28F28F42" w14:textId="77777777" w:rsidR="000A4BAB" w:rsidRDefault="000A4BAB" w:rsidP="000A4BAB">
            <w:pPr>
              <w:spacing w:after="0"/>
              <w:jc w:val="right"/>
              <w:rPr>
                <w:rFonts w:cs="Calibri"/>
                <w:color w:val="000000"/>
                <w:sz w:val="22"/>
                <w:szCs w:val="22"/>
              </w:rPr>
            </w:pPr>
            <w:r>
              <w:rPr>
                <w:rFonts w:cs="Calibri"/>
                <w:color w:val="000000"/>
                <w:sz w:val="22"/>
                <w:szCs w:val="22"/>
                <w:lang w:val="ga"/>
              </w:rPr>
              <w:t>9.0%</w:t>
            </w:r>
          </w:p>
          <w:p w14:paraId="2B796DC3" w14:textId="456C4032" w:rsidR="000A4BAB" w:rsidRPr="00B810CC" w:rsidRDefault="000A4BAB" w:rsidP="000A4BAB">
            <w:pPr>
              <w:pStyle w:val="TableHead"/>
              <w:jc w:val="right"/>
              <w:rPr>
                <w:b w:val="0"/>
                <w:sz w:val="22"/>
                <w:szCs w:val="22"/>
              </w:rPr>
            </w:pPr>
          </w:p>
        </w:tc>
      </w:tr>
      <w:tr w:rsidR="000A4BAB" w:rsidRPr="00B810CC" w14:paraId="7DF605F2" w14:textId="77777777" w:rsidTr="0072284B">
        <w:trPr>
          <w:jc w:val="center"/>
        </w:trPr>
        <w:tc>
          <w:tcPr>
            <w:tcW w:w="2137" w:type="dxa"/>
          </w:tcPr>
          <w:p w14:paraId="37A1EE3E" w14:textId="564ADAAF" w:rsidR="000A4BAB" w:rsidRPr="00AA0798" w:rsidRDefault="00AA0798" w:rsidP="000A4BAB">
            <w:pPr>
              <w:rPr>
                <w:b/>
                <w:bCs/>
                <w:sz w:val="22"/>
                <w:szCs w:val="22"/>
              </w:rPr>
            </w:pPr>
            <w:r w:rsidRPr="00AA0798">
              <w:rPr>
                <w:b/>
                <w:bCs/>
                <w:color w:val="000000"/>
                <w:sz w:val="22"/>
                <w:szCs w:val="22"/>
                <w:lang w:val="ga"/>
              </w:rPr>
              <w:t>*</w:t>
            </w:r>
            <w:r w:rsidR="000A4BAB" w:rsidRPr="00AA0798">
              <w:rPr>
                <w:b/>
                <w:bCs/>
                <w:color w:val="000000"/>
                <w:sz w:val="22"/>
                <w:szCs w:val="22"/>
                <w:lang w:val="ga"/>
              </w:rPr>
              <w:t xml:space="preserve">Institiúid Teicneolaíochta Cheatharlach </w:t>
            </w:r>
          </w:p>
        </w:tc>
        <w:tc>
          <w:tcPr>
            <w:tcW w:w="1701" w:type="dxa"/>
          </w:tcPr>
          <w:p w14:paraId="5A3D883B" w14:textId="7C644828" w:rsidR="000A4BAB" w:rsidRPr="00B810CC" w:rsidRDefault="000A4BAB" w:rsidP="000A4BAB">
            <w:pPr>
              <w:jc w:val="right"/>
              <w:rPr>
                <w:sz w:val="22"/>
                <w:szCs w:val="22"/>
              </w:rPr>
            </w:pPr>
            <w:r>
              <w:rPr>
                <w:rFonts w:cs="Calibri"/>
                <w:color w:val="000000"/>
                <w:sz w:val="22"/>
                <w:szCs w:val="22"/>
                <w:lang w:val="ga"/>
              </w:rPr>
              <w:t>781</w:t>
            </w:r>
          </w:p>
        </w:tc>
        <w:tc>
          <w:tcPr>
            <w:tcW w:w="1701" w:type="dxa"/>
          </w:tcPr>
          <w:p w14:paraId="05A012C2" w14:textId="2ED5C9FA" w:rsidR="000A4BAB" w:rsidRPr="00B810CC" w:rsidRDefault="000A4BAB" w:rsidP="000A4BAB">
            <w:pPr>
              <w:jc w:val="right"/>
              <w:rPr>
                <w:sz w:val="22"/>
                <w:szCs w:val="22"/>
              </w:rPr>
            </w:pPr>
            <w:r>
              <w:rPr>
                <w:rFonts w:cs="Calibri"/>
                <w:color w:val="000000"/>
                <w:sz w:val="22"/>
                <w:szCs w:val="22"/>
                <w:lang w:val="ga"/>
              </w:rPr>
              <w:t>29</w:t>
            </w:r>
          </w:p>
        </w:tc>
        <w:tc>
          <w:tcPr>
            <w:tcW w:w="1544" w:type="dxa"/>
          </w:tcPr>
          <w:p w14:paraId="68FC4F5A" w14:textId="03654A69" w:rsidR="000A4BAB" w:rsidRPr="00B810CC" w:rsidRDefault="000A4BAB" w:rsidP="000A4BAB">
            <w:pPr>
              <w:jc w:val="right"/>
              <w:rPr>
                <w:sz w:val="22"/>
                <w:szCs w:val="22"/>
              </w:rPr>
            </w:pPr>
            <w:r>
              <w:rPr>
                <w:rFonts w:cs="Calibri"/>
                <w:color w:val="000000"/>
                <w:sz w:val="22"/>
                <w:szCs w:val="22"/>
                <w:lang w:val="ga"/>
              </w:rPr>
              <w:t>3.7%</w:t>
            </w:r>
          </w:p>
        </w:tc>
        <w:tc>
          <w:tcPr>
            <w:tcW w:w="1291" w:type="dxa"/>
          </w:tcPr>
          <w:p w14:paraId="327D1659" w14:textId="1F70705F" w:rsidR="000A4BAB" w:rsidRPr="00B810CC" w:rsidRDefault="000A4BAB" w:rsidP="000A4BAB">
            <w:pPr>
              <w:jc w:val="right"/>
              <w:rPr>
                <w:sz w:val="22"/>
                <w:szCs w:val="22"/>
              </w:rPr>
            </w:pPr>
            <w:r>
              <w:rPr>
                <w:rFonts w:cs="Calibri"/>
                <w:color w:val="000000"/>
                <w:sz w:val="22"/>
                <w:szCs w:val="22"/>
                <w:lang w:val="ga"/>
              </w:rPr>
              <w:t>- </w:t>
            </w:r>
          </w:p>
        </w:tc>
        <w:tc>
          <w:tcPr>
            <w:tcW w:w="1559" w:type="dxa"/>
          </w:tcPr>
          <w:p w14:paraId="03CF2855" w14:textId="351A2255" w:rsidR="000A4BAB" w:rsidRPr="00B810CC" w:rsidRDefault="000A4BAB" w:rsidP="000A4BAB">
            <w:pPr>
              <w:jc w:val="right"/>
              <w:rPr>
                <w:sz w:val="22"/>
                <w:szCs w:val="22"/>
              </w:rPr>
            </w:pPr>
            <w:r>
              <w:rPr>
                <w:rFonts w:cs="Calibri"/>
                <w:color w:val="000000"/>
                <w:sz w:val="22"/>
                <w:szCs w:val="22"/>
                <w:lang w:val="ga"/>
              </w:rPr>
              <w:t>- </w:t>
            </w:r>
          </w:p>
        </w:tc>
        <w:tc>
          <w:tcPr>
            <w:tcW w:w="1544" w:type="dxa"/>
          </w:tcPr>
          <w:p w14:paraId="3D4AE9BE" w14:textId="1AEEEDAA" w:rsidR="000A4BAB" w:rsidRPr="00B810CC" w:rsidRDefault="000A4BAB" w:rsidP="000A4BAB">
            <w:pPr>
              <w:jc w:val="right"/>
              <w:rPr>
                <w:sz w:val="22"/>
                <w:szCs w:val="22"/>
              </w:rPr>
            </w:pPr>
            <w:r>
              <w:rPr>
                <w:rFonts w:cs="Calibri"/>
                <w:color w:val="000000"/>
                <w:sz w:val="22"/>
                <w:szCs w:val="22"/>
                <w:lang w:val="ga"/>
              </w:rPr>
              <w:t>- </w:t>
            </w:r>
          </w:p>
        </w:tc>
      </w:tr>
      <w:tr w:rsidR="000A4BAB" w:rsidRPr="00B810CC" w14:paraId="27BA322E" w14:textId="77777777" w:rsidTr="0072284B">
        <w:trPr>
          <w:jc w:val="center"/>
        </w:trPr>
        <w:tc>
          <w:tcPr>
            <w:tcW w:w="2137" w:type="dxa"/>
          </w:tcPr>
          <w:p w14:paraId="7CC8FE58" w14:textId="4B37EBA1" w:rsidR="000A4BAB" w:rsidRPr="00B810CC" w:rsidRDefault="000A4BAB" w:rsidP="000A4BAB">
            <w:pPr>
              <w:rPr>
                <w:sz w:val="22"/>
                <w:szCs w:val="22"/>
              </w:rPr>
            </w:pPr>
            <w:r>
              <w:rPr>
                <w:rFonts w:cs="Calibri"/>
                <w:color w:val="000000"/>
                <w:sz w:val="22"/>
                <w:szCs w:val="22"/>
                <w:lang w:val="ga"/>
              </w:rPr>
              <w:t>Institiúid Teicneolaíochta Dhún Dealgan</w:t>
            </w:r>
          </w:p>
        </w:tc>
        <w:tc>
          <w:tcPr>
            <w:tcW w:w="1701" w:type="dxa"/>
          </w:tcPr>
          <w:p w14:paraId="45D2841C" w14:textId="43D3394C" w:rsidR="000A4BAB" w:rsidRPr="00B810CC" w:rsidRDefault="000A4BAB" w:rsidP="000A4BAB">
            <w:pPr>
              <w:jc w:val="right"/>
              <w:rPr>
                <w:sz w:val="22"/>
                <w:szCs w:val="22"/>
              </w:rPr>
            </w:pPr>
            <w:r>
              <w:rPr>
                <w:rFonts w:cs="Calibri"/>
                <w:color w:val="000000"/>
                <w:sz w:val="22"/>
                <w:szCs w:val="22"/>
                <w:lang w:val="ga"/>
              </w:rPr>
              <w:t>714</w:t>
            </w:r>
          </w:p>
        </w:tc>
        <w:tc>
          <w:tcPr>
            <w:tcW w:w="1701" w:type="dxa"/>
          </w:tcPr>
          <w:p w14:paraId="3822EFAD" w14:textId="479E9827" w:rsidR="000A4BAB" w:rsidRPr="00B810CC" w:rsidRDefault="000A4BAB" w:rsidP="000A4BAB">
            <w:pPr>
              <w:jc w:val="right"/>
              <w:rPr>
                <w:sz w:val="22"/>
                <w:szCs w:val="22"/>
              </w:rPr>
            </w:pPr>
            <w:r>
              <w:rPr>
                <w:rFonts w:cs="Calibri"/>
                <w:color w:val="000000"/>
                <w:sz w:val="22"/>
                <w:szCs w:val="22"/>
                <w:lang w:val="ga"/>
              </w:rPr>
              <w:t>36</w:t>
            </w:r>
          </w:p>
        </w:tc>
        <w:tc>
          <w:tcPr>
            <w:tcW w:w="1544" w:type="dxa"/>
          </w:tcPr>
          <w:p w14:paraId="2F51A0F5" w14:textId="70F5A0EA" w:rsidR="000A4BAB" w:rsidRPr="00B810CC" w:rsidRDefault="000A4BAB" w:rsidP="000A4BAB">
            <w:pPr>
              <w:jc w:val="right"/>
              <w:rPr>
                <w:sz w:val="22"/>
                <w:szCs w:val="22"/>
              </w:rPr>
            </w:pPr>
            <w:r>
              <w:rPr>
                <w:rFonts w:cs="Calibri"/>
                <w:color w:val="000000"/>
                <w:sz w:val="22"/>
                <w:szCs w:val="22"/>
                <w:lang w:val="ga"/>
              </w:rPr>
              <w:t>5.0%</w:t>
            </w:r>
          </w:p>
        </w:tc>
        <w:tc>
          <w:tcPr>
            <w:tcW w:w="1291" w:type="dxa"/>
          </w:tcPr>
          <w:p w14:paraId="320D7939" w14:textId="77777777" w:rsidR="000A4BAB" w:rsidRDefault="000A4BAB" w:rsidP="000A4BAB">
            <w:pPr>
              <w:spacing w:after="0"/>
              <w:jc w:val="right"/>
              <w:rPr>
                <w:rFonts w:cs="Calibri"/>
                <w:color w:val="000000"/>
                <w:sz w:val="22"/>
                <w:szCs w:val="22"/>
              </w:rPr>
            </w:pPr>
            <w:r>
              <w:rPr>
                <w:rFonts w:cs="Calibri"/>
                <w:color w:val="000000"/>
                <w:sz w:val="22"/>
                <w:szCs w:val="22"/>
                <w:lang w:val="ga"/>
              </w:rPr>
              <w:t>756</w:t>
            </w:r>
          </w:p>
          <w:p w14:paraId="69989A10" w14:textId="2C68AABA" w:rsidR="000A4BAB" w:rsidRPr="00B810CC" w:rsidRDefault="000A4BAB" w:rsidP="000A4BAB">
            <w:pPr>
              <w:jc w:val="right"/>
              <w:rPr>
                <w:sz w:val="22"/>
                <w:szCs w:val="22"/>
              </w:rPr>
            </w:pPr>
          </w:p>
        </w:tc>
        <w:tc>
          <w:tcPr>
            <w:tcW w:w="1559" w:type="dxa"/>
          </w:tcPr>
          <w:p w14:paraId="49A3126F" w14:textId="77777777" w:rsidR="000A4BAB" w:rsidRDefault="000A4BAB" w:rsidP="000A4BAB">
            <w:pPr>
              <w:spacing w:after="0"/>
              <w:jc w:val="right"/>
              <w:rPr>
                <w:rFonts w:cs="Calibri"/>
                <w:color w:val="000000"/>
                <w:sz w:val="22"/>
                <w:szCs w:val="22"/>
              </w:rPr>
            </w:pPr>
            <w:r>
              <w:rPr>
                <w:rFonts w:cs="Calibri"/>
                <w:color w:val="000000"/>
                <w:sz w:val="22"/>
                <w:szCs w:val="22"/>
                <w:lang w:val="ga"/>
              </w:rPr>
              <w:t>36</w:t>
            </w:r>
          </w:p>
          <w:p w14:paraId="1E5B4775" w14:textId="02B31CE8" w:rsidR="000A4BAB" w:rsidRPr="00B810CC" w:rsidRDefault="000A4BAB" w:rsidP="000A4BAB">
            <w:pPr>
              <w:jc w:val="right"/>
              <w:rPr>
                <w:sz w:val="22"/>
                <w:szCs w:val="22"/>
              </w:rPr>
            </w:pPr>
          </w:p>
        </w:tc>
        <w:tc>
          <w:tcPr>
            <w:tcW w:w="1544" w:type="dxa"/>
          </w:tcPr>
          <w:p w14:paraId="057A98CD" w14:textId="77777777" w:rsidR="000A4BAB" w:rsidRDefault="000A4BAB" w:rsidP="000A4BAB">
            <w:pPr>
              <w:spacing w:after="0"/>
              <w:jc w:val="right"/>
              <w:rPr>
                <w:rFonts w:cs="Calibri"/>
                <w:color w:val="000000"/>
                <w:sz w:val="22"/>
                <w:szCs w:val="22"/>
              </w:rPr>
            </w:pPr>
            <w:r>
              <w:rPr>
                <w:rFonts w:cs="Calibri"/>
                <w:color w:val="000000"/>
                <w:sz w:val="22"/>
                <w:szCs w:val="22"/>
                <w:lang w:val="ga"/>
              </w:rPr>
              <w:t>4.8%</w:t>
            </w:r>
          </w:p>
          <w:p w14:paraId="2ED11FB5" w14:textId="1A2B1AE2" w:rsidR="000A4BAB" w:rsidRPr="00B810CC" w:rsidRDefault="000A4BAB" w:rsidP="000A4BAB">
            <w:pPr>
              <w:jc w:val="right"/>
              <w:rPr>
                <w:sz w:val="22"/>
                <w:szCs w:val="22"/>
              </w:rPr>
            </w:pPr>
          </w:p>
        </w:tc>
      </w:tr>
      <w:tr w:rsidR="000A4BAB" w:rsidRPr="00B810CC" w14:paraId="157ADA46" w14:textId="77777777" w:rsidTr="0072284B">
        <w:trPr>
          <w:jc w:val="center"/>
        </w:trPr>
        <w:tc>
          <w:tcPr>
            <w:tcW w:w="2137" w:type="dxa"/>
          </w:tcPr>
          <w:p w14:paraId="29EA3725" w14:textId="4882AFB4" w:rsidR="000A4BAB" w:rsidRPr="00E33017" w:rsidRDefault="00AA0798" w:rsidP="000A4BAB">
            <w:pPr>
              <w:rPr>
                <w:sz w:val="22"/>
                <w:szCs w:val="22"/>
              </w:rPr>
            </w:pPr>
            <w:r>
              <w:rPr>
                <w:color w:val="000000"/>
                <w:sz w:val="22"/>
                <w:szCs w:val="22"/>
                <w:lang w:val="ga"/>
              </w:rPr>
              <w:t>*</w:t>
            </w:r>
            <w:r w:rsidR="000A4BAB" w:rsidRPr="00AA0798">
              <w:rPr>
                <w:b/>
                <w:bCs/>
                <w:color w:val="000000"/>
                <w:sz w:val="22"/>
                <w:szCs w:val="22"/>
                <w:lang w:val="ga"/>
              </w:rPr>
              <w:t>Institiúid Teicneolaíochta Phort Láirge</w:t>
            </w:r>
          </w:p>
        </w:tc>
        <w:tc>
          <w:tcPr>
            <w:tcW w:w="1701" w:type="dxa"/>
          </w:tcPr>
          <w:p w14:paraId="19525618" w14:textId="13DDE81B" w:rsidR="000A4BAB" w:rsidRPr="00E33017" w:rsidRDefault="000A4BAB" w:rsidP="000A4BAB">
            <w:pPr>
              <w:jc w:val="right"/>
              <w:rPr>
                <w:sz w:val="22"/>
                <w:szCs w:val="22"/>
              </w:rPr>
            </w:pPr>
            <w:r>
              <w:rPr>
                <w:rFonts w:cs="Calibri"/>
                <w:color w:val="000000"/>
                <w:sz w:val="22"/>
                <w:szCs w:val="22"/>
                <w:lang w:val="ga"/>
              </w:rPr>
              <w:t>972</w:t>
            </w:r>
          </w:p>
        </w:tc>
        <w:tc>
          <w:tcPr>
            <w:tcW w:w="1701" w:type="dxa"/>
          </w:tcPr>
          <w:p w14:paraId="06BD8D6C" w14:textId="73CAB904" w:rsidR="000A4BAB" w:rsidRPr="00E33017" w:rsidRDefault="000A4BAB" w:rsidP="000A4BAB">
            <w:pPr>
              <w:jc w:val="right"/>
              <w:rPr>
                <w:sz w:val="22"/>
                <w:szCs w:val="22"/>
              </w:rPr>
            </w:pPr>
            <w:r>
              <w:rPr>
                <w:rFonts w:cs="Calibri"/>
                <w:color w:val="000000"/>
                <w:sz w:val="22"/>
                <w:szCs w:val="22"/>
                <w:lang w:val="ga"/>
              </w:rPr>
              <w:t>36</w:t>
            </w:r>
          </w:p>
        </w:tc>
        <w:tc>
          <w:tcPr>
            <w:tcW w:w="1544" w:type="dxa"/>
          </w:tcPr>
          <w:p w14:paraId="30E70C47" w14:textId="0B2047BC" w:rsidR="000A4BAB" w:rsidRPr="00E33017" w:rsidRDefault="000A4BAB" w:rsidP="000A4BAB">
            <w:pPr>
              <w:jc w:val="right"/>
              <w:rPr>
                <w:sz w:val="22"/>
                <w:szCs w:val="22"/>
              </w:rPr>
            </w:pPr>
            <w:r>
              <w:rPr>
                <w:rFonts w:cs="Calibri"/>
                <w:color w:val="000000"/>
                <w:sz w:val="22"/>
                <w:szCs w:val="22"/>
                <w:lang w:val="ga"/>
              </w:rPr>
              <w:t>3.7%</w:t>
            </w:r>
          </w:p>
        </w:tc>
        <w:tc>
          <w:tcPr>
            <w:tcW w:w="1291" w:type="dxa"/>
          </w:tcPr>
          <w:p w14:paraId="2ACEC16F" w14:textId="72AD63EE" w:rsidR="000A4BAB" w:rsidRPr="00B810CC" w:rsidRDefault="000A4BAB" w:rsidP="000A4BAB">
            <w:pPr>
              <w:jc w:val="right"/>
              <w:rPr>
                <w:sz w:val="22"/>
                <w:szCs w:val="22"/>
              </w:rPr>
            </w:pPr>
            <w:r>
              <w:rPr>
                <w:rFonts w:cs="Calibri"/>
                <w:color w:val="000000"/>
                <w:sz w:val="22"/>
                <w:szCs w:val="22"/>
                <w:lang w:val="ga"/>
              </w:rPr>
              <w:t>- </w:t>
            </w:r>
          </w:p>
        </w:tc>
        <w:tc>
          <w:tcPr>
            <w:tcW w:w="1559" w:type="dxa"/>
          </w:tcPr>
          <w:p w14:paraId="58DF774B" w14:textId="00DF8EB6" w:rsidR="000A4BAB" w:rsidRPr="00B810CC" w:rsidRDefault="000A4BAB" w:rsidP="000A4BAB">
            <w:pPr>
              <w:jc w:val="right"/>
              <w:rPr>
                <w:sz w:val="22"/>
                <w:szCs w:val="22"/>
              </w:rPr>
            </w:pPr>
            <w:r>
              <w:rPr>
                <w:rFonts w:cs="Calibri"/>
                <w:color w:val="000000"/>
                <w:sz w:val="22"/>
                <w:szCs w:val="22"/>
                <w:lang w:val="ga"/>
              </w:rPr>
              <w:t>- </w:t>
            </w:r>
          </w:p>
        </w:tc>
        <w:tc>
          <w:tcPr>
            <w:tcW w:w="1544" w:type="dxa"/>
          </w:tcPr>
          <w:p w14:paraId="0FF06C63" w14:textId="1B72894D" w:rsidR="000A4BAB" w:rsidRPr="00B810CC" w:rsidRDefault="000A4BAB" w:rsidP="000A4BAB">
            <w:pPr>
              <w:jc w:val="right"/>
              <w:rPr>
                <w:sz w:val="22"/>
                <w:szCs w:val="22"/>
              </w:rPr>
            </w:pPr>
            <w:r>
              <w:rPr>
                <w:rFonts w:cs="Calibri"/>
                <w:color w:val="000000"/>
                <w:sz w:val="22"/>
                <w:szCs w:val="22"/>
                <w:lang w:val="ga"/>
              </w:rPr>
              <w:t>- </w:t>
            </w:r>
          </w:p>
        </w:tc>
      </w:tr>
      <w:tr w:rsidR="000A4BAB" w:rsidRPr="00B810CC" w14:paraId="6B21B9E0" w14:textId="77777777" w:rsidTr="0072284B">
        <w:trPr>
          <w:jc w:val="center"/>
        </w:trPr>
        <w:tc>
          <w:tcPr>
            <w:tcW w:w="2137" w:type="dxa"/>
          </w:tcPr>
          <w:p w14:paraId="331FC9A2" w14:textId="18231F1B" w:rsidR="000A4BAB" w:rsidRPr="00B810CC" w:rsidRDefault="000A4BAB" w:rsidP="000A4BAB">
            <w:pPr>
              <w:rPr>
                <w:sz w:val="22"/>
                <w:szCs w:val="22"/>
              </w:rPr>
            </w:pPr>
            <w:r>
              <w:rPr>
                <w:rFonts w:cs="Calibri"/>
                <w:color w:val="000000"/>
                <w:sz w:val="22"/>
                <w:szCs w:val="22"/>
                <w:lang w:val="ga"/>
              </w:rPr>
              <w:t>Léargas</w:t>
            </w:r>
          </w:p>
        </w:tc>
        <w:tc>
          <w:tcPr>
            <w:tcW w:w="1701" w:type="dxa"/>
          </w:tcPr>
          <w:p w14:paraId="658715F4" w14:textId="7E66E65B" w:rsidR="000A4BAB" w:rsidRPr="00B810CC" w:rsidRDefault="000A4BAB" w:rsidP="000A4BAB">
            <w:pPr>
              <w:jc w:val="right"/>
              <w:rPr>
                <w:sz w:val="22"/>
                <w:szCs w:val="22"/>
              </w:rPr>
            </w:pPr>
            <w:r>
              <w:rPr>
                <w:rFonts w:cs="Calibri"/>
                <w:color w:val="000000"/>
                <w:sz w:val="22"/>
                <w:szCs w:val="22"/>
                <w:lang w:val="ga"/>
              </w:rPr>
              <w:t>50</w:t>
            </w:r>
          </w:p>
        </w:tc>
        <w:tc>
          <w:tcPr>
            <w:tcW w:w="1701" w:type="dxa"/>
          </w:tcPr>
          <w:p w14:paraId="0A622422" w14:textId="3AB69042" w:rsidR="000A4BAB" w:rsidRPr="00B810CC" w:rsidRDefault="000A4BAB" w:rsidP="000A4BAB">
            <w:pPr>
              <w:jc w:val="right"/>
              <w:rPr>
                <w:sz w:val="22"/>
                <w:szCs w:val="22"/>
              </w:rPr>
            </w:pPr>
            <w:r>
              <w:rPr>
                <w:rFonts w:cs="Calibri"/>
                <w:color w:val="000000"/>
                <w:sz w:val="22"/>
                <w:szCs w:val="22"/>
                <w:lang w:val="ga"/>
              </w:rPr>
              <w:t>5</w:t>
            </w:r>
          </w:p>
        </w:tc>
        <w:tc>
          <w:tcPr>
            <w:tcW w:w="1544" w:type="dxa"/>
          </w:tcPr>
          <w:p w14:paraId="7210F4CE" w14:textId="21861ABC" w:rsidR="000A4BAB" w:rsidRPr="00B810CC" w:rsidRDefault="000A4BAB" w:rsidP="000A4BAB">
            <w:pPr>
              <w:jc w:val="right"/>
              <w:rPr>
                <w:sz w:val="22"/>
                <w:szCs w:val="22"/>
              </w:rPr>
            </w:pPr>
            <w:r>
              <w:rPr>
                <w:rFonts w:cs="Calibri"/>
                <w:color w:val="000000"/>
                <w:sz w:val="22"/>
                <w:szCs w:val="22"/>
                <w:lang w:val="ga"/>
              </w:rPr>
              <w:t>10.0%</w:t>
            </w:r>
          </w:p>
        </w:tc>
        <w:tc>
          <w:tcPr>
            <w:tcW w:w="1291" w:type="dxa"/>
          </w:tcPr>
          <w:p w14:paraId="32AAAEA1" w14:textId="77777777" w:rsidR="000A4BAB" w:rsidRDefault="000A4BAB" w:rsidP="000A4BAB">
            <w:pPr>
              <w:spacing w:after="0"/>
              <w:jc w:val="right"/>
              <w:rPr>
                <w:rFonts w:cs="Calibri"/>
                <w:color w:val="000000"/>
                <w:sz w:val="22"/>
                <w:szCs w:val="22"/>
              </w:rPr>
            </w:pPr>
            <w:r>
              <w:rPr>
                <w:rFonts w:cs="Calibri"/>
                <w:color w:val="000000"/>
                <w:sz w:val="22"/>
                <w:szCs w:val="22"/>
                <w:lang w:val="ga"/>
              </w:rPr>
              <w:t>53</w:t>
            </w:r>
          </w:p>
          <w:p w14:paraId="0F8C757B" w14:textId="72995BB9" w:rsidR="000A4BAB" w:rsidRPr="00B810CC" w:rsidRDefault="000A4BAB" w:rsidP="000A4BAB">
            <w:pPr>
              <w:jc w:val="right"/>
              <w:rPr>
                <w:sz w:val="22"/>
                <w:szCs w:val="22"/>
              </w:rPr>
            </w:pPr>
          </w:p>
        </w:tc>
        <w:tc>
          <w:tcPr>
            <w:tcW w:w="1559" w:type="dxa"/>
          </w:tcPr>
          <w:p w14:paraId="0E0BA478" w14:textId="77777777" w:rsidR="000A4BAB" w:rsidRDefault="000A4BAB" w:rsidP="000A4BAB">
            <w:pPr>
              <w:spacing w:after="0"/>
              <w:jc w:val="right"/>
              <w:rPr>
                <w:rFonts w:cs="Calibri"/>
                <w:color w:val="000000"/>
                <w:sz w:val="22"/>
                <w:szCs w:val="22"/>
              </w:rPr>
            </w:pPr>
            <w:r>
              <w:rPr>
                <w:rFonts w:cs="Calibri"/>
                <w:color w:val="000000"/>
                <w:sz w:val="22"/>
                <w:szCs w:val="22"/>
                <w:lang w:val="ga"/>
              </w:rPr>
              <w:t>4</w:t>
            </w:r>
          </w:p>
          <w:p w14:paraId="1A839FDD" w14:textId="313C5519" w:rsidR="000A4BAB" w:rsidRPr="00B810CC" w:rsidRDefault="000A4BAB" w:rsidP="000A4BAB">
            <w:pPr>
              <w:jc w:val="right"/>
              <w:rPr>
                <w:sz w:val="22"/>
                <w:szCs w:val="22"/>
              </w:rPr>
            </w:pPr>
          </w:p>
        </w:tc>
        <w:tc>
          <w:tcPr>
            <w:tcW w:w="1544" w:type="dxa"/>
          </w:tcPr>
          <w:p w14:paraId="3068BCDE" w14:textId="77777777" w:rsidR="000A4BAB" w:rsidRDefault="000A4BAB" w:rsidP="000A4BAB">
            <w:pPr>
              <w:spacing w:after="0"/>
              <w:jc w:val="right"/>
              <w:rPr>
                <w:rFonts w:cs="Calibri"/>
                <w:color w:val="000000"/>
                <w:sz w:val="22"/>
                <w:szCs w:val="22"/>
              </w:rPr>
            </w:pPr>
            <w:r>
              <w:rPr>
                <w:rFonts w:cs="Calibri"/>
                <w:color w:val="000000"/>
                <w:sz w:val="22"/>
                <w:szCs w:val="22"/>
                <w:lang w:val="ga"/>
              </w:rPr>
              <w:t>7.5%</w:t>
            </w:r>
          </w:p>
          <w:p w14:paraId="4698B342" w14:textId="11B03DB7" w:rsidR="000A4BAB" w:rsidRPr="00B810CC" w:rsidRDefault="000A4BAB" w:rsidP="000A4BAB">
            <w:pPr>
              <w:jc w:val="right"/>
              <w:rPr>
                <w:sz w:val="22"/>
                <w:szCs w:val="22"/>
              </w:rPr>
            </w:pPr>
          </w:p>
        </w:tc>
      </w:tr>
      <w:tr w:rsidR="000A4BAB" w:rsidRPr="00B810CC" w14:paraId="7888FFCF" w14:textId="77777777" w:rsidTr="0072284B">
        <w:trPr>
          <w:jc w:val="center"/>
        </w:trPr>
        <w:tc>
          <w:tcPr>
            <w:tcW w:w="2137" w:type="dxa"/>
          </w:tcPr>
          <w:p w14:paraId="72ACAC67" w14:textId="7BEA42CF" w:rsidR="000A4BAB" w:rsidRPr="00B810CC" w:rsidRDefault="000A4BAB" w:rsidP="000A4BAB">
            <w:pPr>
              <w:rPr>
                <w:sz w:val="22"/>
                <w:szCs w:val="22"/>
              </w:rPr>
            </w:pPr>
            <w:r>
              <w:rPr>
                <w:rFonts w:cs="Calibri"/>
                <w:color w:val="000000"/>
                <w:sz w:val="22"/>
                <w:szCs w:val="22"/>
                <w:lang w:val="ga"/>
              </w:rPr>
              <w:t>Ollscoil Teicneolaíochta na Mumhan (MTU)</w:t>
            </w:r>
          </w:p>
        </w:tc>
        <w:tc>
          <w:tcPr>
            <w:tcW w:w="1701" w:type="dxa"/>
          </w:tcPr>
          <w:p w14:paraId="655EEB3E" w14:textId="5F2E1F61" w:rsidR="000A4BAB" w:rsidRPr="00B810CC" w:rsidRDefault="000A4BAB" w:rsidP="000A4BAB">
            <w:pPr>
              <w:jc w:val="right"/>
              <w:rPr>
                <w:sz w:val="22"/>
                <w:szCs w:val="22"/>
              </w:rPr>
            </w:pPr>
            <w:r>
              <w:rPr>
                <w:rFonts w:cs="Calibri"/>
                <w:color w:val="000000"/>
                <w:sz w:val="22"/>
                <w:szCs w:val="22"/>
                <w:lang w:val="ga"/>
              </w:rPr>
              <w:t>1,867</w:t>
            </w:r>
          </w:p>
        </w:tc>
        <w:tc>
          <w:tcPr>
            <w:tcW w:w="1701" w:type="dxa"/>
          </w:tcPr>
          <w:p w14:paraId="0573A53C" w14:textId="70B69D70" w:rsidR="000A4BAB" w:rsidRPr="00B810CC" w:rsidRDefault="000A4BAB" w:rsidP="000A4BAB">
            <w:pPr>
              <w:jc w:val="right"/>
              <w:rPr>
                <w:sz w:val="22"/>
                <w:szCs w:val="22"/>
              </w:rPr>
            </w:pPr>
            <w:r>
              <w:rPr>
                <w:rFonts w:cs="Calibri"/>
                <w:color w:val="000000"/>
                <w:sz w:val="22"/>
                <w:szCs w:val="22"/>
                <w:lang w:val="ga"/>
              </w:rPr>
              <w:t>59</w:t>
            </w:r>
          </w:p>
        </w:tc>
        <w:tc>
          <w:tcPr>
            <w:tcW w:w="1544" w:type="dxa"/>
          </w:tcPr>
          <w:p w14:paraId="40969E01" w14:textId="55EF3E82" w:rsidR="000A4BAB" w:rsidRPr="00B810CC" w:rsidRDefault="000A4BAB" w:rsidP="000A4BAB">
            <w:pPr>
              <w:jc w:val="right"/>
              <w:rPr>
                <w:sz w:val="22"/>
                <w:szCs w:val="22"/>
              </w:rPr>
            </w:pPr>
            <w:r>
              <w:rPr>
                <w:rFonts w:cs="Calibri"/>
                <w:color w:val="000000"/>
                <w:sz w:val="22"/>
                <w:szCs w:val="22"/>
                <w:lang w:val="ga"/>
              </w:rPr>
              <w:t>3.2%</w:t>
            </w:r>
          </w:p>
        </w:tc>
        <w:tc>
          <w:tcPr>
            <w:tcW w:w="1291" w:type="dxa"/>
          </w:tcPr>
          <w:p w14:paraId="44140780" w14:textId="77777777" w:rsidR="000A4BAB" w:rsidRDefault="000A4BAB" w:rsidP="000A4BAB">
            <w:pPr>
              <w:spacing w:after="0"/>
              <w:jc w:val="right"/>
              <w:rPr>
                <w:rFonts w:cs="Calibri"/>
                <w:color w:val="000000"/>
                <w:sz w:val="22"/>
                <w:szCs w:val="22"/>
              </w:rPr>
            </w:pPr>
            <w:r>
              <w:rPr>
                <w:rFonts w:cs="Calibri"/>
                <w:color w:val="000000"/>
                <w:sz w:val="22"/>
                <w:szCs w:val="22"/>
                <w:lang w:val="ga"/>
              </w:rPr>
              <w:t>1949</w:t>
            </w:r>
          </w:p>
          <w:p w14:paraId="6D385078" w14:textId="56D19B5E" w:rsidR="000A4BAB" w:rsidRPr="00B810CC" w:rsidRDefault="000A4BAB" w:rsidP="000A4BAB">
            <w:pPr>
              <w:jc w:val="right"/>
              <w:rPr>
                <w:sz w:val="22"/>
                <w:szCs w:val="22"/>
              </w:rPr>
            </w:pPr>
          </w:p>
        </w:tc>
        <w:tc>
          <w:tcPr>
            <w:tcW w:w="1559" w:type="dxa"/>
          </w:tcPr>
          <w:p w14:paraId="27333135" w14:textId="77777777" w:rsidR="000A4BAB" w:rsidRDefault="000A4BAB" w:rsidP="000A4BAB">
            <w:pPr>
              <w:spacing w:after="0"/>
              <w:jc w:val="right"/>
              <w:rPr>
                <w:rFonts w:cs="Calibri"/>
                <w:color w:val="000000"/>
                <w:sz w:val="22"/>
                <w:szCs w:val="22"/>
              </w:rPr>
            </w:pPr>
            <w:r>
              <w:rPr>
                <w:rFonts w:cs="Calibri"/>
                <w:color w:val="000000"/>
                <w:sz w:val="22"/>
                <w:szCs w:val="22"/>
                <w:lang w:val="ga"/>
              </w:rPr>
              <w:t>74</w:t>
            </w:r>
          </w:p>
          <w:p w14:paraId="24741012" w14:textId="1993D150" w:rsidR="000A4BAB" w:rsidRPr="00B810CC" w:rsidRDefault="000A4BAB" w:rsidP="000A4BAB">
            <w:pPr>
              <w:jc w:val="right"/>
              <w:rPr>
                <w:sz w:val="22"/>
                <w:szCs w:val="22"/>
              </w:rPr>
            </w:pPr>
          </w:p>
        </w:tc>
        <w:tc>
          <w:tcPr>
            <w:tcW w:w="1544" w:type="dxa"/>
          </w:tcPr>
          <w:p w14:paraId="3D9F99EC" w14:textId="77777777" w:rsidR="000A4BAB" w:rsidRDefault="000A4BAB" w:rsidP="000A4BAB">
            <w:pPr>
              <w:spacing w:after="0"/>
              <w:jc w:val="right"/>
              <w:rPr>
                <w:rFonts w:cs="Calibri"/>
                <w:color w:val="000000"/>
                <w:sz w:val="22"/>
                <w:szCs w:val="22"/>
              </w:rPr>
            </w:pPr>
            <w:r>
              <w:rPr>
                <w:rFonts w:cs="Calibri"/>
                <w:color w:val="000000"/>
                <w:sz w:val="22"/>
                <w:szCs w:val="22"/>
                <w:lang w:val="ga"/>
              </w:rPr>
              <w:t>3.8%</w:t>
            </w:r>
          </w:p>
          <w:p w14:paraId="13993B6A" w14:textId="0060B887" w:rsidR="000A4BAB" w:rsidRPr="00B810CC" w:rsidRDefault="000A4BAB" w:rsidP="000A4BAB">
            <w:pPr>
              <w:jc w:val="right"/>
              <w:rPr>
                <w:sz w:val="22"/>
                <w:szCs w:val="22"/>
              </w:rPr>
            </w:pPr>
          </w:p>
        </w:tc>
      </w:tr>
      <w:tr w:rsidR="000A4BAB" w:rsidRPr="00B810CC" w14:paraId="5B0BE19C" w14:textId="77777777" w:rsidTr="0072284B">
        <w:trPr>
          <w:jc w:val="center"/>
        </w:trPr>
        <w:tc>
          <w:tcPr>
            <w:tcW w:w="2137" w:type="dxa"/>
          </w:tcPr>
          <w:p w14:paraId="1628B0F7" w14:textId="73392B6F" w:rsidR="000A4BAB" w:rsidRPr="00B810CC" w:rsidRDefault="000A4BAB" w:rsidP="000A4BAB">
            <w:pPr>
              <w:rPr>
                <w:sz w:val="22"/>
                <w:szCs w:val="22"/>
              </w:rPr>
            </w:pPr>
            <w:r>
              <w:rPr>
                <w:rFonts w:cs="Calibri"/>
                <w:color w:val="000000"/>
                <w:sz w:val="22"/>
                <w:szCs w:val="22"/>
                <w:lang w:val="ga"/>
              </w:rPr>
              <w:t>An Coláiste Náisiúnta Ealaíne is Deartha (NCAD)</w:t>
            </w:r>
          </w:p>
        </w:tc>
        <w:tc>
          <w:tcPr>
            <w:tcW w:w="1701" w:type="dxa"/>
          </w:tcPr>
          <w:p w14:paraId="3219A1F6" w14:textId="7F1DA4B5" w:rsidR="000A4BAB" w:rsidRPr="00B810CC" w:rsidRDefault="000A4BAB" w:rsidP="000A4BAB">
            <w:pPr>
              <w:jc w:val="right"/>
              <w:rPr>
                <w:sz w:val="22"/>
                <w:szCs w:val="22"/>
              </w:rPr>
            </w:pPr>
            <w:r>
              <w:rPr>
                <w:rFonts w:cs="Calibri"/>
                <w:color w:val="000000"/>
                <w:sz w:val="22"/>
                <w:szCs w:val="22"/>
                <w:lang w:val="ga"/>
              </w:rPr>
              <w:t>166</w:t>
            </w:r>
          </w:p>
        </w:tc>
        <w:tc>
          <w:tcPr>
            <w:tcW w:w="1701" w:type="dxa"/>
          </w:tcPr>
          <w:p w14:paraId="1C6736FB" w14:textId="765A368C" w:rsidR="000A4BAB" w:rsidRPr="00B810CC" w:rsidRDefault="000A4BAB" w:rsidP="000A4BAB">
            <w:pPr>
              <w:jc w:val="right"/>
              <w:rPr>
                <w:sz w:val="22"/>
                <w:szCs w:val="22"/>
              </w:rPr>
            </w:pPr>
            <w:r>
              <w:rPr>
                <w:rFonts w:cs="Calibri"/>
                <w:color w:val="000000"/>
                <w:sz w:val="22"/>
                <w:szCs w:val="22"/>
                <w:lang w:val="ga"/>
              </w:rPr>
              <w:t>11</w:t>
            </w:r>
          </w:p>
        </w:tc>
        <w:tc>
          <w:tcPr>
            <w:tcW w:w="1544" w:type="dxa"/>
          </w:tcPr>
          <w:p w14:paraId="3EB50224" w14:textId="4EE39498" w:rsidR="000A4BAB" w:rsidRPr="00B810CC" w:rsidRDefault="000A4BAB" w:rsidP="000A4BAB">
            <w:pPr>
              <w:jc w:val="right"/>
              <w:rPr>
                <w:sz w:val="22"/>
                <w:szCs w:val="22"/>
              </w:rPr>
            </w:pPr>
            <w:r>
              <w:rPr>
                <w:rFonts w:cs="Calibri"/>
                <w:color w:val="000000"/>
                <w:sz w:val="22"/>
                <w:szCs w:val="22"/>
                <w:lang w:val="ga"/>
              </w:rPr>
              <w:t>6.6%</w:t>
            </w:r>
          </w:p>
        </w:tc>
        <w:tc>
          <w:tcPr>
            <w:tcW w:w="1291" w:type="dxa"/>
          </w:tcPr>
          <w:p w14:paraId="442AADDF" w14:textId="77777777" w:rsidR="000A4BAB" w:rsidRDefault="000A4BAB" w:rsidP="000A4BAB">
            <w:pPr>
              <w:spacing w:after="0"/>
              <w:jc w:val="right"/>
              <w:rPr>
                <w:rFonts w:cs="Calibri"/>
                <w:color w:val="000000"/>
                <w:sz w:val="22"/>
                <w:szCs w:val="22"/>
              </w:rPr>
            </w:pPr>
            <w:r>
              <w:rPr>
                <w:rFonts w:cs="Calibri"/>
                <w:color w:val="000000"/>
                <w:sz w:val="22"/>
                <w:szCs w:val="22"/>
                <w:lang w:val="ga"/>
              </w:rPr>
              <w:t>168</w:t>
            </w:r>
          </w:p>
          <w:p w14:paraId="411FF971" w14:textId="343885B1" w:rsidR="000A4BAB" w:rsidRPr="00B810CC" w:rsidRDefault="000A4BAB" w:rsidP="000A4BAB">
            <w:pPr>
              <w:jc w:val="right"/>
              <w:rPr>
                <w:sz w:val="22"/>
                <w:szCs w:val="22"/>
              </w:rPr>
            </w:pPr>
          </w:p>
        </w:tc>
        <w:tc>
          <w:tcPr>
            <w:tcW w:w="1559" w:type="dxa"/>
          </w:tcPr>
          <w:p w14:paraId="769D3883" w14:textId="77777777" w:rsidR="000A4BAB" w:rsidRDefault="000A4BAB" w:rsidP="000A4BAB">
            <w:pPr>
              <w:spacing w:after="0"/>
              <w:jc w:val="right"/>
              <w:rPr>
                <w:rFonts w:cs="Calibri"/>
                <w:color w:val="000000"/>
                <w:sz w:val="22"/>
                <w:szCs w:val="22"/>
              </w:rPr>
            </w:pPr>
            <w:r>
              <w:rPr>
                <w:rFonts w:cs="Calibri"/>
                <w:color w:val="000000"/>
                <w:sz w:val="22"/>
                <w:szCs w:val="22"/>
                <w:lang w:val="ga"/>
              </w:rPr>
              <w:t>12</w:t>
            </w:r>
          </w:p>
          <w:p w14:paraId="02B14024" w14:textId="5F680299" w:rsidR="000A4BAB" w:rsidRPr="00B810CC" w:rsidRDefault="000A4BAB" w:rsidP="000A4BAB">
            <w:pPr>
              <w:jc w:val="right"/>
              <w:rPr>
                <w:sz w:val="22"/>
                <w:szCs w:val="22"/>
              </w:rPr>
            </w:pPr>
          </w:p>
        </w:tc>
        <w:tc>
          <w:tcPr>
            <w:tcW w:w="1544" w:type="dxa"/>
          </w:tcPr>
          <w:p w14:paraId="4FC02E5A" w14:textId="77777777" w:rsidR="000A4BAB" w:rsidRDefault="000A4BAB" w:rsidP="000A4BAB">
            <w:pPr>
              <w:spacing w:after="0"/>
              <w:jc w:val="right"/>
              <w:rPr>
                <w:rFonts w:cs="Calibri"/>
                <w:color w:val="000000"/>
                <w:sz w:val="22"/>
                <w:szCs w:val="22"/>
              </w:rPr>
            </w:pPr>
            <w:r>
              <w:rPr>
                <w:rFonts w:cs="Calibri"/>
                <w:color w:val="000000"/>
                <w:sz w:val="22"/>
                <w:szCs w:val="22"/>
                <w:lang w:val="ga"/>
              </w:rPr>
              <w:t>7.1%</w:t>
            </w:r>
          </w:p>
          <w:p w14:paraId="64F6619E" w14:textId="2321B6A1" w:rsidR="000A4BAB" w:rsidRPr="00B810CC" w:rsidRDefault="000A4BAB" w:rsidP="000A4BAB">
            <w:pPr>
              <w:jc w:val="right"/>
              <w:rPr>
                <w:sz w:val="22"/>
                <w:szCs w:val="22"/>
              </w:rPr>
            </w:pPr>
          </w:p>
        </w:tc>
      </w:tr>
      <w:tr w:rsidR="000A4BAB" w:rsidRPr="00B810CC" w14:paraId="79BDF456" w14:textId="77777777" w:rsidTr="0072284B">
        <w:trPr>
          <w:jc w:val="center"/>
        </w:trPr>
        <w:tc>
          <w:tcPr>
            <w:tcW w:w="2137" w:type="dxa"/>
          </w:tcPr>
          <w:p w14:paraId="596975FD" w14:textId="73442DF8" w:rsidR="000A4BAB" w:rsidRPr="00B810CC" w:rsidRDefault="000A4BAB" w:rsidP="000A4BAB">
            <w:pPr>
              <w:rPr>
                <w:sz w:val="22"/>
                <w:szCs w:val="22"/>
              </w:rPr>
            </w:pPr>
            <w:r>
              <w:rPr>
                <w:rFonts w:cs="Calibri"/>
                <w:color w:val="000000"/>
                <w:sz w:val="22"/>
                <w:szCs w:val="22"/>
                <w:lang w:val="ga"/>
              </w:rPr>
              <w:t>Dearbhú Cáilíochta agus Cáilíochtaí Éireann</w:t>
            </w:r>
          </w:p>
        </w:tc>
        <w:tc>
          <w:tcPr>
            <w:tcW w:w="1701" w:type="dxa"/>
          </w:tcPr>
          <w:p w14:paraId="3DE03F94" w14:textId="21492784" w:rsidR="000A4BAB" w:rsidRPr="00B810CC" w:rsidRDefault="000A4BAB" w:rsidP="000A4BAB">
            <w:pPr>
              <w:jc w:val="right"/>
              <w:rPr>
                <w:sz w:val="22"/>
                <w:szCs w:val="22"/>
              </w:rPr>
            </w:pPr>
            <w:r>
              <w:rPr>
                <w:rFonts w:cs="Calibri"/>
                <w:color w:val="000000"/>
                <w:sz w:val="22"/>
                <w:szCs w:val="22"/>
                <w:lang w:val="ga"/>
              </w:rPr>
              <w:t>80</w:t>
            </w:r>
          </w:p>
        </w:tc>
        <w:tc>
          <w:tcPr>
            <w:tcW w:w="1701" w:type="dxa"/>
          </w:tcPr>
          <w:p w14:paraId="5EF3F458" w14:textId="088E574C" w:rsidR="000A4BAB" w:rsidRPr="00B810CC" w:rsidRDefault="000A4BAB" w:rsidP="000A4BAB">
            <w:pPr>
              <w:jc w:val="right"/>
              <w:rPr>
                <w:sz w:val="22"/>
                <w:szCs w:val="22"/>
              </w:rPr>
            </w:pPr>
            <w:r>
              <w:rPr>
                <w:rFonts w:cs="Calibri"/>
                <w:color w:val="000000"/>
                <w:sz w:val="22"/>
                <w:szCs w:val="22"/>
                <w:lang w:val="ga"/>
              </w:rPr>
              <w:t>3</w:t>
            </w:r>
          </w:p>
        </w:tc>
        <w:tc>
          <w:tcPr>
            <w:tcW w:w="1544" w:type="dxa"/>
          </w:tcPr>
          <w:p w14:paraId="4FF1BD2B" w14:textId="3C1574BA" w:rsidR="000A4BAB" w:rsidRPr="00B810CC" w:rsidRDefault="000A4BAB" w:rsidP="000A4BAB">
            <w:pPr>
              <w:jc w:val="right"/>
              <w:rPr>
                <w:sz w:val="22"/>
                <w:szCs w:val="22"/>
              </w:rPr>
            </w:pPr>
            <w:r>
              <w:rPr>
                <w:rFonts w:cs="Calibri"/>
                <w:color w:val="000000"/>
                <w:sz w:val="22"/>
                <w:szCs w:val="22"/>
                <w:lang w:val="ga"/>
              </w:rPr>
              <w:t>3.8%</w:t>
            </w:r>
          </w:p>
        </w:tc>
        <w:tc>
          <w:tcPr>
            <w:tcW w:w="1291" w:type="dxa"/>
          </w:tcPr>
          <w:p w14:paraId="36BCD778" w14:textId="77777777" w:rsidR="000A4BAB" w:rsidRDefault="000A4BAB" w:rsidP="000A4BAB">
            <w:pPr>
              <w:spacing w:after="0"/>
              <w:jc w:val="right"/>
              <w:rPr>
                <w:rFonts w:cs="Calibri"/>
                <w:color w:val="000000"/>
                <w:sz w:val="22"/>
                <w:szCs w:val="22"/>
              </w:rPr>
            </w:pPr>
            <w:r>
              <w:rPr>
                <w:rFonts w:cs="Calibri"/>
                <w:color w:val="000000"/>
                <w:sz w:val="22"/>
                <w:szCs w:val="22"/>
                <w:lang w:val="ga"/>
              </w:rPr>
              <w:t>82</w:t>
            </w:r>
          </w:p>
          <w:p w14:paraId="07F2F55D" w14:textId="7865FE6A" w:rsidR="000A4BAB" w:rsidRPr="00B810CC" w:rsidRDefault="000A4BAB" w:rsidP="000A4BAB">
            <w:pPr>
              <w:jc w:val="right"/>
              <w:rPr>
                <w:sz w:val="22"/>
                <w:szCs w:val="22"/>
              </w:rPr>
            </w:pPr>
          </w:p>
        </w:tc>
        <w:tc>
          <w:tcPr>
            <w:tcW w:w="1559" w:type="dxa"/>
          </w:tcPr>
          <w:p w14:paraId="3E853DCB" w14:textId="77777777" w:rsidR="000A4BAB" w:rsidRDefault="000A4BAB" w:rsidP="000A4BAB">
            <w:pPr>
              <w:spacing w:after="0"/>
              <w:jc w:val="right"/>
              <w:rPr>
                <w:rFonts w:cs="Calibri"/>
                <w:color w:val="000000"/>
                <w:sz w:val="22"/>
                <w:szCs w:val="22"/>
              </w:rPr>
            </w:pPr>
            <w:r>
              <w:rPr>
                <w:rFonts w:cs="Calibri"/>
                <w:color w:val="000000"/>
                <w:sz w:val="22"/>
                <w:szCs w:val="22"/>
                <w:lang w:val="ga"/>
              </w:rPr>
              <w:t>4</w:t>
            </w:r>
          </w:p>
          <w:p w14:paraId="0EBBA2FE" w14:textId="47007A70" w:rsidR="000A4BAB" w:rsidRPr="00B810CC" w:rsidRDefault="000A4BAB" w:rsidP="000A4BAB">
            <w:pPr>
              <w:jc w:val="right"/>
              <w:rPr>
                <w:sz w:val="22"/>
                <w:szCs w:val="22"/>
              </w:rPr>
            </w:pPr>
          </w:p>
        </w:tc>
        <w:tc>
          <w:tcPr>
            <w:tcW w:w="1544" w:type="dxa"/>
          </w:tcPr>
          <w:p w14:paraId="0C96AD15" w14:textId="77777777" w:rsidR="000A4BAB" w:rsidRDefault="000A4BAB" w:rsidP="000A4BAB">
            <w:pPr>
              <w:spacing w:after="0"/>
              <w:jc w:val="right"/>
              <w:rPr>
                <w:rFonts w:cs="Calibri"/>
                <w:color w:val="000000"/>
                <w:sz w:val="22"/>
                <w:szCs w:val="22"/>
              </w:rPr>
            </w:pPr>
            <w:r>
              <w:rPr>
                <w:rFonts w:cs="Calibri"/>
                <w:color w:val="000000"/>
                <w:sz w:val="22"/>
                <w:szCs w:val="22"/>
                <w:lang w:val="ga"/>
              </w:rPr>
              <w:t>4.9%</w:t>
            </w:r>
          </w:p>
          <w:p w14:paraId="4F689236" w14:textId="776DB688" w:rsidR="000A4BAB" w:rsidRPr="00B810CC" w:rsidRDefault="000A4BAB" w:rsidP="000A4BAB">
            <w:pPr>
              <w:jc w:val="right"/>
              <w:rPr>
                <w:sz w:val="22"/>
                <w:szCs w:val="22"/>
              </w:rPr>
            </w:pPr>
          </w:p>
        </w:tc>
      </w:tr>
      <w:tr w:rsidR="000A4BAB" w:rsidRPr="00B810CC" w14:paraId="6BE7AA2A" w14:textId="77777777" w:rsidTr="0072284B">
        <w:trPr>
          <w:trHeight w:val="511"/>
          <w:jc w:val="center"/>
        </w:trPr>
        <w:tc>
          <w:tcPr>
            <w:tcW w:w="2137" w:type="dxa"/>
          </w:tcPr>
          <w:p w14:paraId="131FD7D1" w14:textId="13AF42C2" w:rsidR="000A4BAB" w:rsidRPr="00B810CC" w:rsidRDefault="000A4BAB" w:rsidP="000A4BAB">
            <w:pPr>
              <w:spacing w:after="120"/>
              <w:rPr>
                <w:sz w:val="22"/>
                <w:szCs w:val="22"/>
              </w:rPr>
            </w:pPr>
            <w:r>
              <w:rPr>
                <w:rFonts w:cs="Calibri"/>
                <w:color w:val="000000"/>
                <w:sz w:val="22"/>
                <w:szCs w:val="22"/>
                <w:lang w:val="ga"/>
              </w:rPr>
              <w:t xml:space="preserve">Fondúireacht Eolaíochta Éireann </w:t>
            </w:r>
          </w:p>
        </w:tc>
        <w:tc>
          <w:tcPr>
            <w:tcW w:w="1701" w:type="dxa"/>
          </w:tcPr>
          <w:p w14:paraId="47A71C5B" w14:textId="361EC1C3" w:rsidR="000A4BAB" w:rsidRPr="00B810CC" w:rsidRDefault="000A4BAB" w:rsidP="000A4BAB">
            <w:pPr>
              <w:jc w:val="right"/>
              <w:rPr>
                <w:sz w:val="22"/>
                <w:szCs w:val="22"/>
              </w:rPr>
            </w:pPr>
            <w:r>
              <w:rPr>
                <w:rFonts w:cs="Calibri"/>
                <w:color w:val="000000"/>
                <w:sz w:val="22"/>
                <w:szCs w:val="22"/>
                <w:lang w:val="ga"/>
              </w:rPr>
              <w:t>84</w:t>
            </w:r>
          </w:p>
        </w:tc>
        <w:tc>
          <w:tcPr>
            <w:tcW w:w="1701" w:type="dxa"/>
          </w:tcPr>
          <w:p w14:paraId="70F7A812" w14:textId="6A679040" w:rsidR="000A4BAB" w:rsidRPr="00B810CC" w:rsidRDefault="000A4BAB" w:rsidP="000A4BAB">
            <w:pPr>
              <w:jc w:val="right"/>
              <w:rPr>
                <w:sz w:val="22"/>
                <w:szCs w:val="22"/>
              </w:rPr>
            </w:pPr>
            <w:r>
              <w:rPr>
                <w:rFonts w:cs="Calibri"/>
                <w:color w:val="000000"/>
                <w:sz w:val="22"/>
                <w:szCs w:val="22"/>
                <w:lang w:val="ga"/>
              </w:rPr>
              <w:t>3</w:t>
            </w:r>
          </w:p>
        </w:tc>
        <w:tc>
          <w:tcPr>
            <w:tcW w:w="1544" w:type="dxa"/>
          </w:tcPr>
          <w:p w14:paraId="67F7B2A6" w14:textId="3B5A95F6" w:rsidR="000A4BAB" w:rsidRPr="00B810CC" w:rsidRDefault="000A4BAB" w:rsidP="000A4BAB">
            <w:pPr>
              <w:jc w:val="right"/>
              <w:rPr>
                <w:sz w:val="22"/>
                <w:szCs w:val="22"/>
              </w:rPr>
            </w:pPr>
            <w:r>
              <w:rPr>
                <w:rFonts w:cs="Calibri"/>
                <w:color w:val="000000"/>
                <w:sz w:val="22"/>
                <w:szCs w:val="22"/>
                <w:lang w:val="ga"/>
              </w:rPr>
              <w:t>3.6%</w:t>
            </w:r>
          </w:p>
        </w:tc>
        <w:tc>
          <w:tcPr>
            <w:tcW w:w="1291" w:type="dxa"/>
          </w:tcPr>
          <w:p w14:paraId="4E2156E0" w14:textId="77777777" w:rsidR="000A4BAB" w:rsidRDefault="000A4BAB" w:rsidP="000A4BAB">
            <w:pPr>
              <w:spacing w:after="0"/>
              <w:jc w:val="right"/>
              <w:rPr>
                <w:rFonts w:cs="Calibri"/>
                <w:color w:val="000000"/>
                <w:sz w:val="22"/>
                <w:szCs w:val="22"/>
              </w:rPr>
            </w:pPr>
            <w:r>
              <w:rPr>
                <w:rFonts w:cs="Calibri"/>
                <w:color w:val="000000"/>
                <w:sz w:val="22"/>
                <w:szCs w:val="22"/>
                <w:lang w:val="ga"/>
              </w:rPr>
              <w:t>101</w:t>
            </w:r>
          </w:p>
          <w:p w14:paraId="248D6ABD" w14:textId="69D894D1" w:rsidR="000A4BAB" w:rsidRPr="00B810CC" w:rsidRDefault="000A4BAB" w:rsidP="000A4BAB">
            <w:pPr>
              <w:jc w:val="right"/>
              <w:rPr>
                <w:sz w:val="22"/>
                <w:szCs w:val="22"/>
              </w:rPr>
            </w:pPr>
          </w:p>
        </w:tc>
        <w:tc>
          <w:tcPr>
            <w:tcW w:w="1559" w:type="dxa"/>
          </w:tcPr>
          <w:p w14:paraId="18E6AF54" w14:textId="77777777" w:rsidR="000A4BAB" w:rsidRDefault="000A4BAB" w:rsidP="000A4BAB">
            <w:pPr>
              <w:spacing w:after="0"/>
              <w:jc w:val="right"/>
              <w:rPr>
                <w:rFonts w:cs="Calibri"/>
                <w:color w:val="000000"/>
                <w:sz w:val="22"/>
                <w:szCs w:val="22"/>
              </w:rPr>
            </w:pPr>
            <w:r>
              <w:rPr>
                <w:rFonts w:cs="Calibri"/>
                <w:color w:val="000000"/>
                <w:sz w:val="22"/>
                <w:szCs w:val="22"/>
                <w:lang w:val="ga"/>
              </w:rPr>
              <w:t>3</w:t>
            </w:r>
          </w:p>
          <w:p w14:paraId="6044A5BB" w14:textId="1370CF97" w:rsidR="000A4BAB" w:rsidRPr="00B810CC" w:rsidRDefault="000A4BAB" w:rsidP="000A4BAB">
            <w:pPr>
              <w:jc w:val="right"/>
              <w:rPr>
                <w:sz w:val="22"/>
                <w:szCs w:val="22"/>
              </w:rPr>
            </w:pPr>
          </w:p>
        </w:tc>
        <w:tc>
          <w:tcPr>
            <w:tcW w:w="1544" w:type="dxa"/>
          </w:tcPr>
          <w:p w14:paraId="51F839D3" w14:textId="77777777" w:rsidR="000A4BAB" w:rsidRDefault="000A4BAB" w:rsidP="000A4BAB">
            <w:pPr>
              <w:spacing w:after="0"/>
              <w:jc w:val="right"/>
              <w:rPr>
                <w:rFonts w:cs="Calibri"/>
                <w:color w:val="000000"/>
                <w:sz w:val="22"/>
                <w:szCs w:val="22"/>
              </w:rPr>
            </w:pPr>
            <w:r>
              <w:rPr>
                <w:rFonts w:cs="Calibri"/>
                <w:color w:val="000000"/>
                <w:sz w:val="22"/>
                <w:szCs w:val="22"/>
                <w:lang w:val="ga"/>
              </w:rPr>
              <w:t>3.0%</w:t>
            </w:r>
          </w:p>
          <w:p w14:paraId="4496E54E" w14:textId="7BDE1FA4" w:rsidR="000A4BAB" w:rsidRPr="00B810CC" w:rsidRDefault="000A4BAB" w:rsidP="000A4BAB">
            <w:pPr>
              <w:jc w:val="right"/>
              <w:rPr>
                <w:sz w:val="22"/>
                <w:szCs w:val="22"/>
              </w:rPr>
            </w:pPr>
          </w:p>
        </w:tc>
      </w:tr>
      <w:tr w:rsidR="000A4BAB" w:rsidRPr="00B810CC" w14:paraId="5C9B65A9" w14:textId="77777777" w:rsidTr="0072284B">
        <w:trPr>
          <w:jc w:val="center"/>
        </w:trPr>
        <w:tc>
          <w:tcPr>
            <w:tcW w:w="2137" w:type="dxa"/>
          </w:tcPr>
          <w:p w14:paraId="4A33EE19" w14:textId="4C7FB2BC" w:rsidR="000A4BAB" w:rsidRPr="00B810CC" w:rsidRDefault="000A4BAB" w:rsidP="00AA0798">
            <w:pPr>
              <w:pStyle w:val="TableHead"/>
              <w:spacing w:after="120"/>
              <w:rPr>
                <w:b w:val="0"/>
                <w:sz w:val="22"/>
                <w:szCs w:val="22"/>
              </w:rPr>
            </w:pPr>
            <w:r>
              <w:rPr>
                <w:rFonts w:cs="Calibri"/>
                <w:b w:val="0"/>
                <w:color w:val="000000"/>
                <w:sz w:val="22"/>
                <w:szCs w:val="22"/>
                <w:lang w:val="ga"/>
              </w:rPr>
              <w:lastRenderedPageBreak/>
              <w:t>SOLAS - An tÚdarás Breisoideachais agus Oiliúna</w:t>
            </w:r>
          </w:p>
        </w:tc>
        <w:tc>
          <w:tcPr>
            <w:tcW w:w="1701" w:type="dxa"/>
          </w:tcPr>
          <w:p w14:paraId="45420375" w14:textId="5FEE1423" w:rsidR="000A4BAB" w:rsidRPr="00B810CC" w:rsidRDefault="000A4BAB" w:rsidP="000A4BAB">
            <w:pPr>
              <w:spacing w:after="0"/>
              <w:jc w:val="right"/>
              <w:rPr>
                <w:sz w:val="22"/>
                <w:szCs w:val="22"/>
              </w:rPr>
            </w:pPr>
            <w:r>
              <w:rPr>
                <w:rFonts w:cs="Calibri"/>
                <w:color w:val="000000"/>
                <w:sz w:val="22"/>
                <w:szCs w:val="22"/>
                <w:lang w:val="ga"/>
              </w:rPr>
              <w:t>221</w:t>
            </w:r>
          </w:p>
        </w:tc>
        <w:tc>
          <w:tcPr>
            <w:tcW w:w="1701" w:type="dxa"/>
          </w:tcPr>
          <w:p w14:paraId="108B7932" w14:textId="23B9FC77" w:rsidR="000A4BAB" w:rsidRPr="00B810CC" w:rsidRDefault="000A4BAB" w:rsidP="000A4BAB">
            <w:pPr>
              <w:pStyle w:val="TableHead"/>
              <w:jc w:val="right"/>
              <w:rPr>
                <w:b w:val="0"/>
                <w:sz w:val="22"/>
                <w:szCs w:val="22"/>
              </w:rPr>
            </w:pPr>
            <w:r>
              <w:rPr>
                <w:rFonts w:cs="Calibri"/>
                <w:b w:val="0"/>
                <w:color w:val="000000"/>
                <w:sz w:val="22"/>
                <w:szCs w:val="22"/>
                <w:lang w:val="ga"/>
              </w:rPr>
              <w:t>18</w:t>
            </w:r>
          </w:p>
        </w:tc>
        <w:tc>
          <w:tcPr>
            <w:tcW w:w="1544" w:type="dxa"/>
          </w:tcPr>
          <w:p w14:paraId="51B536E6" w14:textId="61704829" w:rsidR="000A4BAB" w:rsidRPr="00916962" w:rsidRDefault="000A4BAB" w:rsidP="000A4BAB">
            <w:pPr>
              <w:pStyle w:val="TableHead"/>
              <w:jc w:val="right"/>
              <w:rPr>
                <w:b w:val="0"/>
                <w:bCs/>
                <w:sz w:val="22"/>
                <w:szCs w:val="22"/>
              </w:rPr>
            </w:pPr>
            <w:r>
              <w:rPr>
                <w:rFonts w:cs="Calibri"/>
                <w:b w:val="0"/>
                <w:color w:val="000000"/>
                <w:sz w:val="22"/>
                <w:szCs w:val="22"/>
                <w:lang w:val="ga"/>
              </w:rPr>
              <w:t>8.1%</w:t>
            </w:r>
          </w:p>
        </w:tc>
        <w:tc>
          <w:tcPr>
            <w:tcW w:w="1291" w:type="dxa"/>
          </w:tcPr>
          <w:p w14:paraId="10038941" w14:textId="77777777" w:rsidR="000A4BAB" w:rsidRDefault="000A4BAB" w:rsidP="000A4BAB">
            <w:pPr>
              <w:spacing w:after="0"/>
              <w:jc w:val="right"/>
              <w:rPr>
                <w:rFonts w:cs="Calibri"/>
                <w:color w:val="000000"/>
                <w:sz w:val="22"/>
                <w:szCs w:val="22"/>
              </w:rPr>
            </w:pPr>
            <w:r>
              <w:rPr>
                <w:rFonts w:cs="Calibri"/>
                <w:color w:val="000000"/>
                <w:sz w:val="22"/>
                <w:szCs w:val="22"/>
                <w:lang w:val="ga"/>
              </w:rPr>
              <w:t>227</w:t>
            </w:r>
          </w:p>
          <w:p w14:paraId="3007F730" w14:textId="7C2C053C" w:rsidR="000A4BAB" w:rsidRPr="00B810CC" w:rsidRDefault="000A4BAB" w:rsidP="000A4BAB">
            <w:pPr>
              <w:pStyle w:val="TableHead"/>
              <w:jc w:val="right"/>
              <w:rPr>
                <w:b w:val="0"/>
                <w:sz w:val="22"/>
                <w:szCs w:val="22"/>
              </w:rPr>
            </w:pPr>
          </w:p>
        </w:tc>
        <w:tc>
          <w:tcPr>
            <w:tcW w:w="1559" w:type="dxa"/>
          </w:tcPr>
          <w:p w14:paraId="0BCE4AB6" w14:textId="77777777" w:rsidR="000A4BAB" w:rsidRDefault="000A4BAB" w:rsidP="000A4BAB">
            <w:pPr>
              <w:spacing w:after="0"/>
              <w:jc w:val="right"/>
              <w:rPr>
                <w:rFonts w:cs="Calibri"/>
                <w:color w:val="000000"/>
                <w:sz w:val="22"/>
                <w:szCs w:val="22"/>
              </w:rPr>
            </w:pPr>
            <w:r>
              <w:rPr>
                <w:rFonts w:cs="Calibri"/>
                <w:color w:val="000000"/>
                <w:sz w:val="22"/>
                <w:szCs w:val="22"/>
                <w:lang w:val="ga"/>
              </w:rPr>
              <w:t>16</w:t>
            </w:r>
          </w:p>
          <w:p w14:paraId="3CA2B9EA" w14:textId="36768729" w:rsidR="000A4BAB" w:rsidRPr="00B810CC" w:rsidRDefault="000A4BAB" w:rsidP="000A4BAB">
            <w:pPr>
              <w:pStyle w:val="TableHead"/>
              <w:jc w:val="right"/>
              <w:rPr>
                <w:b w:val="0"/>
                <w:sz w:val="22"/>
                <w:szCs w:val="22"/>
              </w:rPr>
            </w:pPr>
          </w:p>
        </w:tc>
        <w:tc>
          <w:tcPr>
            <w:tcW w:w="1544" w:type="dxa"/>
          </w:tcPr>
          <w:p w14:paraId="71CB0070" w14:textId="77777777" w:rsidR="000A4BAB" w:rsidRDefault="000A4BAB" w:rsidP="000A4BAB">
            <w:pPr>
              <w:spacing w:after="0"/>
              <w:jc w:val="right"/>
              <w:rPr>
                <w:rFonts w:cs="Calibri"/>
                <w:color w:val="000000"/>
                <w:sz w:val="22"/>
                <w:szCs w:val="22"/>
              </w:rPr>
            </w:pPr>
            <w:r>
              <w:rPr>
                <w:rFonts w:cs="Calibri"/>
                <w:color w:val="000000"/>
                <w:sz w:val="22"/>
                <w:szCs w:val="22"/>
                <w:lang w:val="ga"/>
              </w:rPr>
              <w:t>7.0%</w:t>
            </w:r>
          </w:p>
          <w:p w14:paraId="3B6E64AB" w14:textId="77777777" w:rsidR="000A4BAB" w:rsidRDefault="000A4BAB" w:rsidP="000A4BAB">
            <w:pPr>
              <w:spacing w:after="0"/>
              <w:jc w:val="right"/>
              <w:rPr>
                <w:sz w:val="22"/>
                <w:szCs w:val="22"/>
              </w:rPr>
            </w:pPr>
          </w:p>
          <w:p w14:paraId="49C318CE" w14:textId="35C75757" w:rsidR="000A4BAB" w:rsidRPr="00B810CC" w:rsidRDefault="000A4BAB" w:rsidP="000A4BAB">
            <w:pPr>
              <w:spacing w:after="0"/>
              <w:jc w:val="right"/>
              <w:rPr>
                <w:sz w:val="22"/>
                <w:szCs w:val="22"/>
              </w:rPr>
            </w:pPr>
          </w:p>
        </w:tc>
      </w:tr>
      <w:tr w:rsidR="000A4BAB" w:rsidRPr="00B810CC" w14:paraId="4F654018" w14:textId="77777777" w:rsidTr="0072284B">
        <w:trPr>
          <w:jc w:val="center"/>
        </w:trPr>
        <w:tc>
          <w:tcPr>
            <w:tcW w:w="2137" w:type="dxa"/>
          </w:tcPr>
          <w:p w14:paraId="34977C44" w14:textId="59F8C590" w:rsidR="000A4BAB" w:rsidRPr="00B810CC" w:rsidRDefault="000A4BAB" w:rsidP="00AA0798">
            <w:pPr>
              <w:pStyle w:val="TableHead"/>
              <w:spacing w:after="120"/>
              <w:rPr>
                <w:b w:val="0"/>
                <w:sz w:val="22"/>
                <w:szCs w:val="22"/>
              </w:rPr>
            </w:pPr>
            <w:r>
              <w:rPr>
                <w:rFonts w:cs="Calibri"/>
                <w:b w:val="0"/>
                <w:color w:val="000000"/>
                <w:sz w:val="22"/>
                <w:szCs w:val="22"/>
                <w:lang w:val="ga"/>
              </w:rPr>
              <w:t>Ollscoil Teicneolaíochta Bhaile Átha Cliath</w:t>
            </w:r>
          </w:p>
        </w:tc>
        <w:tc>
          <w:tcPr>
            <w:tcW w:w="1701" w:type="dxa"/>
          </w:tcPr>
          <w:p w14:paraId="3286F979" w14:textId="6352B21A" w:rsidR="000A4BAB" w:rsidRPr="00B810CC" w:rsidRDefault="000A4BAB" w:rsidP="000A4BAB">
            <w:pPr>
              <w:spacing w:after="0"/>
              <w:jc w:val="right"/>
              <w:rPr>
                <w:sz w:val="22"/>
                <w:szCs w:val="22"/>
              </w:rPr>
            </w:pPr>
            <w:r>
              <w:rPr>
                <w:rFonts w:cs="Calibri"/>
                <w:color w:val="000000"/>
                <w:sz w:val="22"/>
                <w:szCs w:val="22"/>
                <w:lang w:val="ga"/>
              </w:rPr>
              <w:t>3,275</w:t>
            </w:r>
          </w:p>
        </w:tc>
        <w:tc>
          <w:tcPr>
            <w:tcW w:w="1701" w:type="dxa"/>
          </w:tcPr>
          <w:p w14:paraId="7F1D5658" w14:textId="46C485D3" w:rsidR="000A4BAB" w:rsidRPr="00B810CC" w:rsidRDefault="000A4BAB" w:rsidP="000A4BAB">
            <w:pPr>
              <w:pStyle w:val="TableHead"/>
              <w:jc w:val="right"/>
              <w:rPr>
                <w:b w:val="0"/>
                <w:sz w:val="22"/>
                <w:szCs w:val="22"/>
              </w:rPr>
            </w:pPr>
            <w:r>
              <w:rPr>
                <w:rFonts w:cs="Calibri"/>
                <w:b w:val="0"/>
                <w:color w:val="000000"/>
                <w:sz w:val="22"/>
                <w:szCs w:val="22"/>
                <w:lang w:val="ga"/>
              </w:rPr>
              <w:t>97</w:t>
            </w:r>
          </w:p>
        </w:tc>
        <w:tc>
          <w:tcPr>
            <w:tcW w:w="1544" w:type="dxa"/>
          </w:tcPr>
          <w:p w14:paraId="2386616F" w14:textId="77272656" w:rsidR="000A4BAB" w:rsidRPr="00916962" w:rsidRDefault="000A4BAB" w:rsidP="000A4BAB">
            <w:pPr>
              <w:pStyle w:val="TableHead"/>
              <w:jc w:val="right"/>
              <w:rPr>
                <w:b w:val="0"/>
                <w:bCs/>
                <w:sz w:val="22"/>
                <w:szCs w:val="22"/>
              </w:rPr>
            </w:pPr>
            <w:r>
              <w:rPr>
                <w:rFonts w:cs="Calibri"/>
                <w:b w:val="0"/>
                <w:color w:val="000000"/>
                <w:sz w:val="22"/>
                <w:szCs w:val="22"/>
                <w:lang w:val="ga"/>
              </w:rPr>
              <w:t>3.0%</w:t>
            </w:r>
          </w:p>
        </w:tc>
        <w:tc>
          <w:tcPr>
            <w:tcW w:w="1291" w:type="dxa"/>
          </w:tcPr>
          <w:p w14:paraId="32DBF30D" w14:textId="77777777" w:rsidR="000A4BAB" w:rsidRDefault="000A4BAB" w:rsidP="000A4BAB">
            <w:pPr>
              <w:spacing w:after="0"/>
              <w:jc w:val="right"/>
              <w:rPr>
                <w:rFonts w:cs="Calibri"/>
                <w:color w:val="000000"/>
                <w:sz w:val="22"/>
                <w:szCs w:val="22"/>
              </w:rPr>
            </w:pPr>
            <w:r>
              <w:rPr>
                <w:rFonts w:cs="Calibri"/>
                <w:color w:val="000000"/>
                <w:sz w:val="22"/>
                <w:szCs w:val="22"/>
                <w:lang w:val="ga"/>
              </w:rPr>
              <w:t>3342</w:t>
            </w:r>
          </w:p>
          <w:p w14:paraId="7554B5B7" w14:textId="3ABB3FD9" w:rsidR="000A4BAB" w:rsidRPr="00B810CC" w:rsidRDefault="000A4BAB" w:rsidP="000A4BAB">
            <w:pPr>
              <w:pStyle w:val="TableHead"/>
              <w:jc w:val="right"/>
              <w:rPr>
                <w:b w:val="0"/>
                <w:sz w:val="22"/>
                <w:szCs w:val="22"/>
              </w:rPr>
            </w:pPr>
          </w:p>
        </w:tc>
        <w:tc>
          <w:tcPr>
            <w:tcW w:w="1559" w:type="dxa"/>
          </w:tcPr>
          <w:p w14:paraId="05F18342" w14:textId="77777777" w:rsidR="000A4BAB" w:rsidRDefault="000A4BAB" w:rsidP="000A4BAB">
            <w:pPr>
              <w:spacing w:after="0"/>
              <w:jc w:val="right"/>
              <w:rPr>
                <w:rFonts w:cs="Calibri"/>
                <w:color w:val="000000"/>
                <w:sz w:val="22"/>
                <w:szCs w:val="22"/>
              </w:rPr>
            </w:pPr>
            <w:r>
              <w:rPr>
                <w:rFonts w:cs="Calibri"/>
                <w:color w:val="000000"/>
                <w:sz w:val="22"/>
                <w:szCs w:val="22"/>
                <w:lang w:val="ga"/>
              </w:rPr>
              <w:t>110</w:t>
            </w:r>
          </w:p>
          <w:p w14:paraId="4DCC17E1" w14:textId="6E5B2C31" w:rsidR="000A4BAB" w:rsidRPr="00B810CC" w:rsidRDefault="000A4BAB" w:rsidP="000A4BAB">
            <w:pPr>
              <w:pStyle w:val="TableHead"/>
              <w:jc w:val="right"/>
              <w:rPr>
                <w:b w:val="0"/>
                <w:sz w:val="22"/>
                <w:szCs w:val="22"/>
              </w:rPr>
            </w:pPr>
          </w:p>
        </w:tc>
        <w:tc>
          <w:tcPr>
            <w:tcW w:w="1544" w:type="dxa"/>
          </w:tcPr>
          <w:p w14:paraId="14237586" w14:textId="77777777" w:rsidR="000A4BAB" w:rsidRDefault="000A4BAB" w:rsidP="000A4BAB">
            <w:pPr>
              <w:spacing w:after="0"/>
              <w:jc w:val="right"/>
              <w:rPr>
                <w:rFonts w:cs="Calibri"/>
                <w:color w:val="000000"/>
                <w:sz w:val="22"/>
                <w:szCs w:val="22"/>
              </w:rPr>
            </w:pPr>
            <w:r>
              <w:rPr>
                <w:rFonts w:cs="Calibri"/>
                <w:color w:val="000000"/>
                <w:sz w:val="22"/>
                <w:szCs w:val="22"/>
                <w:lang w:val="ga"/>
              </w:rPr>
              <w:t>3.3%</w:t>
            </w:r>
          </w:p>
          <w:p w14:paraId="29BCE9E2" w14:textId="3FD1CABB" w:rsidR="000A4BAB" w:rsidRPr="00B810CC" w:rsidRDefault="000A4BAB" w:rsidP="000A4BAB">
            <w:pPr>
              <w:spacing w:after="0"/>
              <w:jc w:val="right"/>
              <w:rPr>
                <w:sz w:val="22"/>
                <w:szCs w:val="22"/>
              </w:rPr>
            </w:pPr>
          </w:p>
        </w:tc>
      </w:tr>
      <w:tr w:rsidR="000A4BAB" w:rsidRPr="00B810CC" w14:paraId="62115A18" w14:textId="77777777" w:rsidTr="0072284B">
        <w:trPr>
          <w:trHeight w:val="966"/>
          <w:jc w:val="center"/>
        </w:trPr>
        <w:tc>
          <w:tcPr>
            <w:tcW w:w="2137" w:type="dxa"/>
          </w:tcPr>
          <w:p w14:paraId="0FAD99EC" w14:textId="5A684E0B" w:rsidR="000A4BAB" w:rsidRPr="00E33017" w:rsidRDefault="00AA0798" w:rsidP="000A4BAB">
            <w:pPr>
              <w:pStyle w:val="TableHead"/>
              <w:spacing w:after="120"/>
              <w:rPr>
                <w:b w:val="0"/>
                <w:sz w:val="22"/>
                <w:szCs w:val="22"/>
              </w:rPr>
            </w:pPr>
            <w:r>
              <w:rPr>
                <w:b w:val="0"/>
                <w:sz w:val="22"/>
                <w:szCs w:val="22"/>
                <w:lang w:val="ga"/>
              </w:rPr>
              <w:t>*</w:t>
            </w:r>
            <w:r w:rsidR="000A4BAB" w:rsidRPr="00AA0798">
              <w:rPr>
                <w:bCs/>
                <w:sz w:val="22"/>
                <w:szCs w:val="22"/>
                <w:lang w:val="ga"/>
              </w:rPr>
              <w:t>Ollscoil Teicneolaíochta an Oirdheiscirt (SETU)</w:t>
            </w:r>
          </w:p>
        </w:tc>
        <w:tc>
          <w:tcPr>
            <w:tcW w:w="1701" w:type="dxa"/>
          </w:tcPr>
          <w:p w14:paraId="11F6A1A5" w14:textId="4C32E1F8" w:rsidR="000A4BAB" w:rsidRPr="00E33017" w:rsidRDefault="000A4BAB" w:rsidP="000A4BAB">
            <w:pPr>
              <w:spacing w:after="0"/>
              <w:jc w:val="right"/>
              <w:rPr>
                <w:rFonts w:cs="Calibri"/>
                <w:color w:val="000000"/>
                <w:sz w:val="22"/>
                <w:szCs w:val="22"/>
              </w:rPr>
            </w:pPr>
            <w:r>
              <w:rPr>
                <w:rFonts w:cs="Calibri"/>
                <w:color w:val="000000"/>
                <w:sz w:val="22"/>
                <w:szCs w:val="22"/>
                <w:lang w:val="ga"/>
              </w:rPr>
              <w:t>- </w:t>
            </w:r>
          </w:p>
        </w:tc>
        <w:tc>
          <w:tcPr>
            <w:tcW w:w="1701" w:type="dxa"/>
          </w:tcPr>
          <w:p w14:paraId="3DA3DF2E" w14:textId="5713B398" w:rsidR="000A4BAB" w:rsidRPr="00E33017" w:rsidRDefault="000A4BAB" w:rsidP="000A4BAB">
            <w:pPr>
              <w:pStyle w:val="TableHead"/>
              <w:jc w:val="right"/>
              <w:rPr>
                <w:rFonts w:cs="Calibri"/>
                <w:b w:val="0"/>
                <w:color w:val="000000"/>
                <w:sz w:val="22"/>
                <w:szCs w:val="22"/>
              </w:rPr>
            </w:pPr>
            <w:r>
              <w:rPr>
                <w:rFonts w:cs="Calibri"/>
                <w:bCs/>
                <w:color w:val="000000"/>
                <w:sz w:val="22"/>
                <w:szCs w:val="22"/>
                <w:lang w:val="ga"/>
              </w:rPr>
              <w:t>- </w:t>
            </w:r>
          </w:p>
        </w:tc>
        <w:tc>
          <w:tcPr>
            <w:tcW w:w="1544" w:type="dxa"/>
          </w:tcPr>
          <w:p w14:paraId="52B5AFF1" w14:textId="29DDB985" w:rsidR="000A4BAB" w:rsidRPr="00E33017" w:rsidRDefault="000A4BAB" w:rsidP="000A4BAB">
            <w:pPr>
              <w:pStyle w:val="TableHead"/>
              <w:jc w:val="right"/>
              <w:rPr>
                <w:rFonts w:cs="Calibri"/>
                <w:b w:val="0"/>
                <w:bCs/>
                <w:color w:val="000000"/>
                <w:sz w:val="22"/>
                <w:szCs w:val="22"/>
              </w:rPr>
            </w:pPr>
            <w:r>
              <w:rPr>
                <w:rFonts w:cs="Calibri"/>
                <w:bCs/>
                <w:color w:val="000000"/>
                <w:sz w:val="22"/>
                <w:szCs w:val="22"/>
                <w:lang w:val="ga"/>
              </w:rPr>
              <w:t>- </w:t>
            </w:r>
          </w:p>
        </w:tc>
        <w:tc>
          <w:tcPr>
            <w:tcW w:w="1291" w:type="dxa"/>
          </w:tcPr>
          <w:p w14:paraId="45CBE9D7"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1619</w:t>
            </w:r>
          </w:p>
          <w:p w14:paraId="1F2B8E4A" w14:textId="77777777" w:rsidR="000A4BAB" w:rsidRPr="00E33017" w:rsidRDefault="000A4BAB" w:rsidP="000A4BAB">
            <w:pPr>
              <w:spacing w:after="0"/>
              <w:jc w:val="right"/>
              <w:rPr>
                <w:rFonts w:cs="Calibri"/>
                <w:color w:val="000000"/>
                <w:sz w:val="22"/>
                <w:szCs w:val="22"/>
              </w:rPr>
            </w:pPr>
          </w:p>
        </w:tc>
        <w:tc>
          <w:tcPr>
            <w:tcW w:w="1559" w:type="dxa"/>
          </w:tcPr>
          <w:p w14:paraId="39E40E1A"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119</w:t>
            </w:r>
          </w:p>
          <w:p w14:paraId="64FE6946" w14:textId="77777777" w:rsidR="000A4BAB" w:rsidRPr="00E33017" w:rsidRDefault="000A4BAB" w:rsidP="000A4BAB">
            <w:pPr>
              <w:spacing w:after="0"/>
              <w:jc w:val="right"/>
              <w:rPr>
                <w:rFonts w:cs="Calibri"/>
                <w:color w:val="000000"/>
                <w:sz w:val="22"/>
                <w:szCs w:val="22"/>
              </w:rPr>
            </w:pPr>
          </w:p>
        </w:tc>
        <w:tc>
          <w:tcPr>
            <w:tcW w:w="1544" w:type="dxa"/>
          </w:tcPr>
          <w:p w14:paraId="48FB90F1" w14:textId="77777777" w:rsidR="000A4BAB" w:rsidRPr="00E33017" w:rsidRDefault="000A4BAB" w:rsidP="000A4BAB">
            <w:pPr>
              <w:spacing w:after="0"/>
              <w:jc w:val="right"/>
              <w:rPr>
                <w:rFonts w:cs="Calibri"/>
                <w:color w:val="000000"/>
                <w:sz w:val="22"/>
                <w:szCs w:val="22"/>
              </w:rPr>
            </w:pPr>
            <w:r>
              <w:rPr>
                <w:rFonts w:cs="Calibri"/>
                <w:color w:val="000000"/>
                <w:sz w:val="22"/>
                <w:szCs w:val="22"/>
                <w:lang w:val="ga"/>
              </w:rPr>
              <w:t>7.4%</w:t>
            </w:r>
          </w:p>
          <w:p w14:paraId="0F198BB5" w14:textId="77777777" w:rsidR="000A4BAB" w:rsidRPr="00E33017" w:rsidRDefault="000A4BAB" w:rsidP="000A4BAB">
            <w:pPr>
              <w:spacing w:after="0"/>
              <w:jc w:val="right"/>
              <w:rPr>
                <w:rFonts w:cs="Calibri"/>
                <w:color w:val="000000"/>
                <w:sz w:val="22"/>
                <w:szCs w:val="22"/>
              </w:rPr>
            </w:pPr>
          </w:p>
        </w:tc>
      </w:tr>
      <w:tr w:rsidR="000A4BAB" w:rsidRPr="00B810CC" w14:paraId="3D8F8C4D" w14:textId="77777777" w:rsidTr="0072284B">
        <w:trPr>
          <w:trHeight w:val="405"/>
          <w:jc w:val="center"/>
        </w:trPr>
        <w:tc>
          <w:tcPr>
            <w:tcW w:w="2137" w:type="dxa"/>
          </w:tcPr>
          <w:p w14:paraId="0AB77F28" w14:textId="46F8B6E2" w:rsidR="000A4BAB" w:rsidRPr="00B810CC" w:rsidRDefault="000A4BAB" w:rsidP="000A4BAB">
            <w:pPr>
              <w:pStyle w:val="TableHead"/>
              <w:spacing w:after="120"/>
              <w:rPr>
                <w:b w:val="0"/>
                <w:sz w:val="22"/>
                <w:szCs w:val="22"/>
              </w:rPr>
            </w:pPr>
            <w:r>
              <w:rPr>
                <w:b w:val="0"/>
                <w:sz w:val="22"/>
                <w:szCs w:val="22"/>
                <w:lang w:val="ga"/>
              </w:rPr>
              <w:t>Ollscoil Teicneolaíochta na Sionainne (TUS): Lár Tíre, An tIarthar Láir (Campas Bhaile Átha Luain)</w:t>
            </w:r>
            <w:r>
              <w:rPr>
                <w:bCs/>
                <w:color w:val="000000"/>
                <w:sz w:val="22"/>
                <w:szCs w:val="22"/>
                <w:lang w:val="ga"/>
              </w:rPr>
              <w:t xml:space="preserve"> </w:t>
            </w:r>
          </w:p>
        </w:tc>
        <w:tc>
          <w:tcPr>
            <w:tcW w:w="1701" w:type="dxa"/>
          </w:tcPr>
          <w:p w14:paraId="3C95E019" w14:textId="19BD3744" w:rsidR="000A4BAB" w:rsidRPr="00B810CC" w:rsidRDefault="000A4BAB" w:rsidP="000A4BAB">
            <w:pPr>
              <w:spacing w:after="0"/>
              <w:jc w:val="right"/>
              <w:rPr>
                <w:sz w:val="22"/>
                <w:szCs w:val="22"/>
              </w:rPr>
            </w:pPr>
            <w:r>
              <w:rPr>
                <w:rFonts w:cs="Calibri"/>
                <w:color w:val="000000"/>
                <w:sz w:val="22"/>
                <w:szCs w:val="22"/>
                <w:lang w:val="ga"/>
              </w:rPr>
              <w:t>1,423</w:t>
            </w:r>
          </w:p>
        </w:tc>
        <w:tc>
          <w:tcPr>
            <w:tcW w:w="1701" w:type="dxa"/>
          </w:tcPr>
          <w:p w14:paraId="5CC2EC42" w14:textId="4CB4A7DA" w:rsidR="000A4BAB" w:rsidRPr="00B810CC" w:rsidRDefault="000A4BAB" w:rsidP="000A4BAB">
            <w:pPr>
              <w:pStyle w:val="TableHead"/>
              <w:jc w:val="right"/>
              <w:rPr>
                <w:b w:val="0"/>
                <w:sz w:val="22"/>
                <w:szCs w:val="22"/>
              </w:rPr>
            </w:pPr>
            <w:r>
              <w:rPr>
                <w:rFonts w:cs="Calibri"/>
                <w:b w:val="0"/>
                <w:color w:val="000000"/>
                <w:sz w:val="22"/>
                <w:szCs w:val="22"/>
                <w:lang w:val="ga"/>
              </w:rPr>
              <w:t>69</w:t>
            </w:r>
          </w:p>
        </w:tc>
        <w:tc>
          <w:tcPr>
            <w:tcW w:w="1544" w:type="dxa"/>
          </w:tcPr>
          <w:p w14:paraId="3CEE7D43" w14:textId="0E68142A" w:rsidR="000A4BAB" w:rsidRPr="00916962" w:rsidRDefault="000A4BAB" w:rsidP="000A4BAB">
            <w:pPr>
              <w:pStyle w:val="TableHead"/>
              <w:jc w:val="right"/>
              <w:rPr>
                <w:b w:val="0"/>
                <w:bCs/>
                <w:sz w:val="22"/>
                <w:szCs w:val="22"/>
              </w:rPr>
            </w:pPr>
            <w:r>
              <w:rPr>
                <w:rFonts w:cs="Calibri"/>
                <w:b w:val="0"/>
                <w:color w:val="000000"/>
                <w:sz w:val="22"/>
                <w:szCs w:val="22"/>
                <w:lang w:val="ga"/>
              </w:rPr>
              <w:t>4.8%</w:t>
            </w:r>
          </w:p>
        </w:tc>
        <w:tc>
          <w:tcPr>
            <w:tcW w:w="1291" w:type="dxa"/>
          </w:tcPr>
          <w:p w14:paraId="7594D09B" w14:textId="77777777" w:rsidR="000A4BAB" w:rsidRDefault="000A4BAB" w:rsidP="000A4BAB">
            <w:pPr>
              <w:spacing w:after="0"/>
              <w:jc w:val="right"/>
              <w:rPr>
                <w:rFonts w:cs="Calibri"/>
                <w:color w:val="000000"/>
                <w:sz w:val="22"/>
                <w:szCs w:val="22"/>
              </w:rPr>
            </w:pPr>
            <w:r>
              <w:rPr>
                <w:rFonts w:cs="Calibri"/>
                <w:color w:val="000000"/>
                <w:sz w:val="22"/>
                <w:szCs w:val="22"/>
                <w:lang w:val="ga"/>
              </w:rPr>
              <w:t>1459</w:t>
            </w:r>
          </w:p>
          <w:p w14:paraId="244852A7" w14:textId="03A634DC" w:rsidR="000A4BAB" w:rsidRPr="00B810CC" w:rsidRDefault="000A4BAB" w:rsidP="000A4BAB">
            <w:pPr>
              <w:pStyle w:val="TableHead"/>
              <w:jc w:val="right"/>
              <w:rPr>
                <w:b w:val="0"/>
                <w:sz w:val="22"/>
                <w:szCs w:val="22"/>
              </w:rPr>
            </w:pPr>
          </w:p>
        </w:tc>
        <w:tc>
          <w:tcPr>
            <w:tcW w:w="1559" w:type="dxa"/>
          </w:tcPr>
          <w:p w14:paraId="637DE2A6" w14:textId="77777777" w:rsidR="000A4BAB" w:rsidRDefault="000A4BAB" w:rsidP="000A4BAB">
            <w:pPr>
              <w:spacing w:after="0"/>
              <w:jc w:val="right"/>
              <w:rPr>
                <w:rFonts w:cs="Calibri"/>
                <w:color w:val="000000"/>
                <w:sz w:val="22"/>
                <w:szCs w:val="22"/>
              </w:rPr>
            </w:pPr>
            <w:r>
              <w:rPr>
                <w:rFonts w:cs="Calibri"/>
                <w:color w:val="000000"/>
                <w:sz w:val="22"/>
                <w:szCs w:val="22"/>
                <w:lang w:val="ga"/>
              </w:rPr>
              <w:t>87</w:t>
            </w:r>
          </w:p>
          <w:p w14:paraId="059785F2" w14:textId="11B5B9D1" w:rsidR="000A4BAB" w:rsidRPr="00B810CC" w:rsidRDefault="000A4BAB" w:rsidP="000A4BAB">
            <w:pPr>
              <w:pStyle w:val="TableHead"/>
              <w:jc w:val="right"/>
              <w:rPr>
                <w:b w:val="0"/>
                <w:sz w:val="22"/>
                <w:szCs w:val="22"/>
              </w:rPr>
            </w:pPr>
          </w:p>
        </w:tc>
        <w:tc>
          <w:tcPr>
            <w:tcW w:w="1544" w:type="dxa"/>
          </w:tcPr>
          <w:p w14:paraId="1B8464F2" w14:textId="77777777" w:rsidR="000A4BAB" w:rsidRDefault="000A4BAB" w:rsidP="000A4BAB">
            <w:pPr>
              <w:spacing w:after="0"/>
              <w:jc w:val="right"/>
              <w:rPr>
                <w:rFonts w:cs="Calibri"/>
                <w:color w:val="000000"/>
                <w:sz w:val="22"/>
                <w:szCs w:val="22"/>
              </w:rPr>
            </w:pPr>
            <w:r>
              <w:rPr>
                <w:rFonts w:cs="Calibri"/>
                <w:color w:val="000000"/>
                <w:sz w:val="22"/>
                <w:szCs w:val="22"/>
                <w:lang w:val="ga"/>
              </w:rPr>
              <w:t>6.0%</w:t>
            </w:r>
          </w:p>
          <w:p w14:paraId="20FA4E03" w14:textId="3C8D3EF9" w:rsidR="000A4BAB" w:rsidRPr="00B810CC" w:rsidRDefault="000A4BAB" w:rsidP="000A4BAB">
            <w:pPr>
              <w:spacing w:after="0"/>
              <w:jc w:val="right"/>
              <w:rPr>
                <w:sz w:val="22"/>
                <w:szCs w:val="22"/>
              </w:rPr>
            </w:pPr>
          </w:p>
        </w:tc>
      </w:tr>
      <w:tr w:rsidR="000A4BAB" w:rsidRPr="00611BF3" w14:paraId="084E4F04" w14:textId="77777777" w:rsidTr="0072284B">
        <w:trPr>
          <w:jc w:val="center"/>
        </w:trPr>
        <w:tc>
          <w:tcPr>
            <w:tcW w:w="2137" w:type="dxa"/>
          </w:tcPr>
          <w:p w14:paraId="46DE9F46" w14:textId="50C69227" w:rsidR="000A4BAB" w:rsidRPr="00B810CC" w:rsidRDefault="000A4BAB" w:rsidP="000A4BAB">
            <w:pPr>
              <w:pStyle w:val="TableHead"/>
              <w:rPr>
                <w:sz w:val="22"/>
                <w:szCs w:val="22"/>
              </w:rPr>
            </w:pPr>
            <w:r>
              <w:rPr>
                <w:bCs/>
                <w:sz w:val="22"/>
                <w:szCs w:val="22"/>
                <w:lang w:val="ga"/>
              </w:rPr>
              <w:t>Mór-Iomlán</w:t>
            </w:r>
          </w:p>
        </w:tc>
        <w:tc>
          <w:tcPr>
            <w:tcW w:w="1701" w:type="dxa"/>
          </w:tcPr>
          <w:p w14:paraId="2EBF3ECF"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12179</w:t>
            </w:r>
          </w:p>
          <w:p w14:paraId="659127FB" w14:textId="77777777" w:rsidR="000A4BAB" w:rsidRPr="00B810CC" w:rsidRDefault="000A4BAB" w:rsidP="000A4BAB">
            <w:pPr>
              <w:spacing w:after="0"/>
              <w:jc w:val="right"/>
              <w:rPr>
                <w:b/>
                <w:sz w:val="22"/>
                <w:szCs w:val="22"/>
              </w:rPr>
            </w:pPr>
          </w:p>
        </w:tc>
        <w:tc>
          <w:tcPr>
            <w:tcW w:w="1701" w:type="dxa"/>
          </w:tcPr>
          <w:p w14:paraId="0FFB81F4"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466</w:t>
            </w:r>
          </w:p>
          <w:p w14:paraId="0CB7A313" w14:textId="77777777" w:rsidR="000A4BAB" w:rsidRPr="00B810CC" w:rsidRDefault="000A4BAB" w:rsidP="000A4BAB">
            <w:pPr>
              <w:pStyle w:val="TableHead"/>
              <w:jc w:val="right"/>
              <w:rPr>
                <w:sz w:val="22"/>
                <w:szCs w:val="22"/>
              </w:rPr>
            </w:pPr>
          </w:p>
        </w:tc>
        <w:tc>
          <w:tcPr>
            <w:tcW w:w="1544" w:type="dxa"/>
          </w:tcPr>
          <w:p w14:paraId="6E6F7B65"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3.8%</w:t>
            </w:r>
          </w:p>
          <w:p w14:paraId="7BF7D00A" w14:textId="55407417" w:rsidR="000A4BAB" w:rsidRPr="00B810CC" w:rsidRDefault="000A4BAB" w:rsidP="000A4BAB">
            <w:pPr>
              <w:pStyle w:val="TableHead"/>
              <w:jc w:val="right"/>
              <w:rPr>
                <w:sz w:val="22"/>
                <w:szCs w:val="22"/>
              </w:rPr>
            </w:pPr>
          </w:p>
        </w:tc>
        <w:tc>
          <w:tcPr>
            <w:tcW w:w="1291" w:type="dxa"/>
          </w:tcPr>
          <w:p w14:paraId="1602D778"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12553</w:t>
            </w:r>
          </w:p>
          <w:p w14:paraId="6CF4FC0D" w14:textId="77777777" w:rsidR="000A4BAB" w:rsidRPr="00B810CC" w:rsidRDefault="000A4BAB" w:rsidP="000A4BAB">
            <w:pPr>
              <w:pStyle w:val="TableHead"/>
              <w:jc w:val="right"/>
              <w:rPr>
                <w:sz w:val="22"/>
                <w:szCs w:val="22"/>
              </w:rPr>
            </w:pPr>
          </w:p>
        </w:tc>
        <w:tc>
          <w:tcPr>
            <w:tcW w:w="1559" w:type="dxa"/>
          </w:tcPr>
          <w:p w14:paraId="3CB618FB"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578</w:t>
            </w:r>
          </w:p>
          <w:p w14:paraId="0D7678A2" w14:textId="77777777" w:rsidR="000A4BAB" w:rsidRPr="00B810CC" w:rsidRDefault="000A4BAB" w:rsidP="000A4BAB">
            <w:pPr>
              <w:pStyle w:val="TableHead"/>
              <w:jc w:val="right"/>
              <w:rPr>
                <w:sz w:val="22"/>
                <w:szCs w:val="22"/>
              </w:rPr>
            </w:pPr>
          </w:p>
        </w:tc>
        <w:tc>
          <w:tcPr>
            <w:tcW w:w="1544" w:type="dxa"/>
          </w:tcPr>
          <w:p w14:paraId="3AA8C921" w14:textId="77777777" w:rsidR="000A4BAB" w:rsidRDefault="000A4BAB" w:rsidP="000A4BAB">
            <w:pPr>
              <w:spacing w:after="0"/>
              <w:jc w:val="right"/>
              <w:rPr>
                <w:rFonts w:cs="Calibri"/>
                <w:b/>
                <w:bCs/>
                <w:color w:val="000000"/>
                <w:sz w:val="22"/>
                <w:szCs w:val="22"/>
              </w:rPr>
            </w:pPr>
            <w:r>
              <w:rPr>
                <w:rFonts w:cs="Calibri"/>
                <w:b/>
                <w:bCs/>
                <w:color w:val="000000"/>
                <w:sz w:val="22"/>
                <w:szCs w:val="22"/>
                <w:lang w:val="ga"/>
              </w:rPr>
              <w:t>4.6%</w:t>
            </w:r>
          </w:p>
          <w:p w14:paraId="14FEA6B6" w14:textId="76AC90EB" w:rsidR="000A4BAB" w:rsidRPr="00B810CC" w:rsidRDefault="000A4BAB" w:rsidP="000A4BAB">
            <w:pPr>
              <w:spacing w:after="0"/>
              <w:jc w:val="right"/>
              <w:rPr>
                <w:b/>
                <w:sz w:val="22"/>
                <w:szCs w:val="22"/>
              </w:rPr>
            </w:pPr>
          </w:p>
        </w:tc>
      </w:tr>
    </w:tbl>
    <w:p w14:paraId="59E33964" w14:textId="25F6C3F1" w:rsidR="00E46650" w:rsidRDefault="00E46650" w:rsidP="00E46650">
      <w:pPr>
        <w:rPr>
          <w:highlight w:val="green"/>
        </w:rPr>
      </w:pPr>
    </w:p>
    <w:p w14:paraId="06C7AD0D" w14:textId="77777777" w:rsidR="00E46650" w:rsidRDefault="00E46650">
      <w:pPr>
        <w:spacing w:after="0"/>
        <w:rPr>
          <w:highlight w:val="green"/>
        </w:rPr>
      </w:pPr>
      <w:r>
        <w:rPr>
          <w:highlight w:val="green"/>
          <w:lang w:val="ga"/>
        </w:rPr>
        <w:br w:type="page"/>
      </w:r>
    </w:p>
    <w:p w14:paraId="696E163F" w14:textId="77777777" w:rsidR="00F051FF" w:rsidRPr="00611BF3" w:rsidRDefault="00F051FF" w:rsidP="00DA2B08">
      <w:pPr>
        <w:rPr>
          <w:highlight w:val="green"/>
        </w:rPr>
      </w:pPr>
    </w:p>
    <w:p w14:paraId="19F825A2" w14:textId="77777777" w:rsidR="0087379A" w:rsidRPr="004D7A7B" w:rsidRDefault="0087379A" w:rsidP="00DA2B08"/>
    <w:p w14:paraId="189D1251" w14:textId="4CD17166" w:rsidR="000D5C5D" w:rsidRPr="004D7A7B" w:rsidRDefault="00624403" w:rsidP="00001536">
      <w:pPr>
        <w:pStyle w:val="Heading2"/>
        <w:spacing w:after="120"/>
        <w:jc w:val="center"/>
        <w:rPr>
          <w:color w:val="000000" w:themeColor="text1"/>
        </w:rPr>
      </w:pPr>
      <w:bookmarkStart w:id="76" w:name="_Toc147910092"/>
      <w:r>
        <w:rPr>
          <w:bCs/>
          <w:color w:val="000000" w:themeColor="text1"/>
          <w:lang w:val="ga"/>
        </w:rPr>
        <w:t>An Roinn Sláinte</w:t>
      </w:r>
      <w:bookmarkEnd w:id="76"/>
    </w:p>
    <w:tbl>
      <w:tblPr>
        <w:tblStyle w:val="TableGrid"/>
        <w:tblW w:w="11194" w:type="dxa"/>
        <w:jc w:val="center"/>
        <w:tblLayout w:type="fixed"/>
        <w:tblLook w:val="04A0" w:firstRow="1" w:lastRow="0" w:firstColumn="1" w:lastColumn="0" w:noHBand="0" w:noVBand="1"/>
        <w:tblCaption w:val="Department of Health "/>
      </w:tblPr>
      <w:tblGrid>
        <w:gridCol w:w="1853"/>
        <w:gridCol w:w="1842"/>
        <w:gridCol w:w="1560"/>
        <w:gridCol w:w="1544"/>
        <w:gridCol w:w="1291"/>
        <w:gridCol w:w="1559"/>
        <w:gridCol w:w="1545"/>
      </w:tblGrid>
      <w:tr w:rsidR="003F62BE" w:rsidRPr="004D7A7B" w14:paraId="1D84C0F6" w14:textId="77777777" w:rsidTr="0072284B">
        <w:trPr>
          <w:tblHeader/>
          <w:jc w:val="center"/>
        </w:trPr>
        <w:tc>
          <w:tcPr>
            <w:tcW w:w="1853" w:type="dxa"/>
          </w:tcPr>
          <w:p w14:paraId="6DF6DAB6" w14:textId="77777777" w:rsidR="003F62BE" w:rsidRPr="004D7A7B" w:rsidRDefault="003F62BE" w:rsidP="00812E67">
            <w:pPr>
              <w:pStyle w:val="TableHead"/>
              <w:rPr>
                <w:sz w:val="22"/>
                <w:szCs w:val="22"/>
              </w:rPr>
            </w:pPr>
            <w:r>
              <w:rPr>
                <w:bCs/>
                <w:sz w:val="22"/>
                <w:szCs w:val="22"/>
                <w:lang w:val="ga"/>
              </w:rPr>
              <w:t>Comhlacht Poiblí</w:t>
            </w:r>
          </w:p>
        </w:tc>
        <w:tc>
          <w:tcPr>
            <w:tcW w:w="1842" w:type="dxa"/>
          </w:tcPr>
          <w:p w14:paraId="6D46C8B1" w14:textId="77777777" w:rsidR="00F516FE" w:rsidRPr="004D7A7B" w:rsidRDefault="00F516FE" w:rsidP="00812E67">
            <w:pPr>
              <w:pStyle w:val="TableHead"/>
              <w:rPr>
                <w:sz w:val="22"/>
                <w:szCs w:val="22"/>
              </w:rPr>
            </w:pPr>
            <w:r>
              <w:rPr>
                <w:bCs/>
                <w:sz w:val="22"/>
                <w:szCs w:val="22"/>
                <w:lang w:val="ga"/>
              </w:rPr>
              <w:t xml:space="preserve">An líon </w:t>
            </w:r>
          </w:p>
          <w:p w14:paraId="3BEC2C70" w14:textId="77777777" w:rsidR="00F516FE" w:rsidRPr="004D7A7B" w:rsidRDefault="00F516FE" w:rsidP="00812E67">
            <w:pPr>
              <w:pStyle w:val="TableHead"/>
              <w:rPr>
                <w:sz w:val="22"/>
                <w:szCs w:val="22"/>
              </w:rPr>
            </w:pPr>
            <w:r>
              <w:rPr>
                <w:bCs/>
                <w:sz w:val="22"/>
                <w:szCs w:val="22"/>
                <w:lang w:val="ga"/>
              </w:rPr>
              <w:t xml:space="preserve">iomlán </w:t>
            </w:r>
          </w:p>
          <w:p w14:paraId="7863A4B1" w14:textId="77777777" w:rsidR="00F516FE" w:rsidRPr="004D7A7B" w:rsidRDefault="00F1261F" w:rsidP="00812E67">
            <w:pPr>
              <w:pStyle w:val="TableHead"/>
              <w:rPr>
                <w:sz w:val="22"/>
                <w:szCs w:val="22"/>
              </w:rPr>
            </w:pPr>
            <w:r>
              <w:rPr>
                <w:bCs/>
                <w:sz w:val="22"/>
                <w:szCs w:val="22"/>
                <w:lang w:val="ga"/>
              </w:rPr>
              <w:t xml:space="preserve">fostaithe </w:t>
            </w:r>
          </w:p>
          <w:p w14:paraId="323165D0" w14:textId="16F04A2F" w:rsidR="003F62BE" w:rsidRPr="004D7A7B" w:rsidRDefault="00F1261F" w:rsidP="00812E67">
            <w:pPr>
              <w:pStyle w:val="TableHead"/>
              <w:rPr>
                <w:sz w:val="22"/>
                <w:szCs w:val="22"/>
              </w:rPr>
            </w:pPr>
            <w:r>
              <w:rPr>
                <w:bCs/>
                <w:sz w:val="22"/>
                <w:szCs w:val="22"/>
                <w:lang w:val="ga"/>
              </w:rPr>
              <w:t>2021</w:t>
            </w:r>
          </w:p>
        </w:tc>
        <w:tc>
          <w:tcPr>
            <w:tcW w:w="1560" w:type="dxa"/>
          </w:tcPr>
          <w:p w14:paraId="2C1BB368" w14:textId="6E2E9C89" w:rsidR="003F62BE" w:rsidRPr="004D7A7B" w:rsidRDefault="003F62BE" w:rsidP="00812E67">
            <w:pPr>
              <w:pStyle w:val="TableHead"/>
              <w:rPr>
                <w:sz w:val="22"/>
                <w:szCs w:val="22"/>
              </w:rPr>
            </w:pPr>
            <w:r>
              <w:rPr>
                <w:bCs/>
                <w:sz w:val="22"/>
                <w:szCs w:val="22"/>
                <w:lang w:val="ga"/>
              </w:rPr>
              <w:t xml:space="preserve">An líon fostaithe a thuairiscigh míchumas </w:t>
            </w:r>
          </w:p>
          <w:p w14:paraId="3DBE6443" w14:textId="7EC29369" w:rsidR="003F62BE" w:rsidRPr="004D7A7B" w:rsidRDefault="00F1261F" w:rsidP="00812E67">
            <w:pPr>
              <w:pStyle w:val="TableHead"/>
              <w:rPr>
                <w:sz w:val="22"/>
                <w:szCs w:val="22"/>
              </w:rPr>
            </w:pPr>
            <w:r>
              <w:rPr>
                <w:bCs/>
                <w:sz w:val="22"/>
                <w:szCs w:val="22"/>
                <w:lang w:val="ga"/>
              </w:rPr>
              <w:t>2021</w:t>
            </w:r>
          </w:p>
        </w:tc>
        <w:tc>
          <w:tcPr>
            <w:tcW w:w="1544" w:type="dxa"/>
          </w:tcPr>
          <w:p w14:paraId="4C19431E" w14:textId="1615AEC9" w:rsidR="003F62BE" w:rsidRPr="004D7A7B" w:rsidRDefault="003F62BE" w:rsidP="00812E67">
            <w:pPr>
              <w:pStyle w:val="TableHead"/>
              <w:rPr>
                <w:sz w:val="22"/>
                <w:szCs w:val="22"/>
              </w:rPr>
            </w:pPr>
            <w:r>
              <w:rPr>
                <w:bCs/>
                <w:sz w:val="22"/>
                <w:szCs w:val="22"/>
                <w:lang w:val="ga"/>
              </w:rPr>
              <w:t>An % d’fhostaithe a thuairiscigh</w:t>
            </w:r>
          </w:p>
          <w:p w14:paraId="0030BB81" w14:textId="0F66459F" w:rsidR="003F62BE" w:rsidRPr="004D7A7B" w:rsidRDefault="00254A95" w:rsidP="00812E67">
            <w:pPr>
              <w:pStyle w:val="TableHead"/>
              <w:rPr>
                <w:sz w:val="22"/>
                <w:szCs w:val="22"/>
              </w:rPr>
            </w:pPr>
            <w:r>
              <w:rPr>
                <w:bCs/>
                <w:sz w:val="22"/>
                <w:szCs w:val="22"/>
                <w:lang w:val="ga"/>
              </w:rPr>
              <w:t>míchumas 2021</w:t>
            </w:r>
          </w:p>
        </w:tc>
        <w:tc>
          <w:tcPr>
            <w:tcW w:w="1291" w:type="dxa"/>
          </w:tcPr>
          <w:p w14:paraId="3C02A1E3" w14:textId="77777777" w:rsidR="00F516FE" w:rsidRPr="004D7A7B" w:rsidRDefault="00F1261F" w:rsidP="00812E67">
            <w:pPr>
              <w:pStyle w:val="TableHead"/>
              <w:rPr>
                <w:sz w:val="22"/>
                <w:szCs w:val="22"/>
              </w:rPr>
            </w:pPr>
            <w:r>
              <w:rPr>
                <w:bCs/>
                <w:sz w:val="22"/>
                <w:szCs w:val="22"/>
                <w:lang w:val="ga"/>
              </w:rPr>
              <w:t xml:space="preserve">An líon iomlán </w:t>
            </w:r>
          </w:p>
          <w:p w14:paraId="68960307" w14:textId="77AD81CD" w:rsidR="003F62BE" w:rsidRPr="004D7A7B" w:rsidRDefault="00F1261F" w:rsidP="00812E67">
            <w:pPr>
              <w:pStyle w:val="TableHead"/>
              <w:rPr>
                <w:sz w:val="22"/>
                <w:szCs w:val="22"/>
              </w:rPr>
            </w:pPr>
            <w:r>
              <w:rPr>
                <w:bCs/>
                <w:sz w:val="22"/>
                <w:szCs w:val="22"/>
                <w:lang w:val="ga"/>
              </w:rPr>
              <w:t>fostaithe 2022</w:t>
            </w:r>
          </w:p>
        </w:tc>
        <w:tc>
          <w:tcPr>
            <w:tcW w:w="1559" w:type="dxa"/>
          </w:tcPr>
          <w:p w14:paraId="5DFF021A" w14:textId="1C951FA4" w:rsidR="003F62BE" w:rsidRPr="004D7A7B" w:rsidRDefault="004B379F" w:rsidP="00812E67">
            <w:pPr>
              <w:pStyle w:val="TableHead"/>
              <w:rPr>
                <w:sz w:val="22"/>
                <w:szCs w:val="22"/>
              </w:rPr>
            </w:pPr>
            <w:r>
              <w:rPr>
                <w:bCs/>
                <w:sz w:val="22"/>
                <w:szCs w:val="22"/>
                <w:lang w:val="ga"/>
              </w:rPr>
              <w:t>An líon fostaithe a thuairiscigh míchumas</w:t>
            </w:r>
          </w:p>
          <w:p w14:paraId="1B009084" w14:textId="45CCFFCC" w:rsidR="003F62BE" w:rsidRPr="004D7A7B" w:rsidRDefault="00F1261F" w:rsidP="00812E67">
            <w:pPr>
              <w:pStyle w:val="TableHead"/>
              <w:rPr>
                <w:sz w:val="22"/>
                <w:szCs w:val="22"/>
              </w:rPr>
            </w:pPr>
            <w:r>
              <w:rPr>
                <w:bCs/>
                <w:sz w:val="22"/>
                <w:szCs w:val="22"/>
                <w:lang w:val="ga"/>
              </w:rPr>
              <w:t>2022</w:t>
            </w:r>
          </w:p>
        </w:tc>
        <w:tc>
          <w:tcPr>
            <w:tcW w:w="1545" w:type="dxa"/>
          </w:tcPr>
          <w:p w14:paraId="7FB4CF19" w14:textId="3215A039" w:rsidR="003F62BE" w:rsidRPr="004D7A7B" w:rsidRDefault="003F62BE" w:rsidP="00812E67">
            <w:pPr>
              <w:pStyle w:val="TableHead"/>
              <w:rPr>
                <w:sz w:val="22"/>
                <w:szCs w:val="22"/>
              </w:rPr>
            </w:pPr>
            <w:r>
              <w:rPr>
                <w:bCs/>
                <w:sz w:val="22"/>
                <w:szCs w:val="22"/>
                <w:lang w:val="ga"/>
              </w:rPr>
              <w:t>An % d’fhostaithe a thuairiscigh</w:t>
            </w:r>
          </w:p>
          <w:p w14:paraId="5679E64B" w14:textId="55B3D38E" w:rsidR="003F62BE" w:rsidRPr="004D7A7B" w:rsidRDefault="00254A95" w:rsidP="00812E67">
            <w:pPr>
              <w:pStyle w:val="TableHead"/>
              <w:rPr>
                <w:sz w:val="24"/>
              </w:rPr>
            </w:pPr>
            <w:r>
              <w:rPr>
                <w:bCs/>
                <w:sz w:val="22"/>
                <w:szCs w:val="22"/>
                <w:lang w:val="ga"/>
              </w:rPr>
              <w:t>míchumas 2022</w:t>
            </w:r>
          </w:p>
        </w:tc>
      </w:tr>
      <w:tr w:rsidR="004D7A7B" w:rsidRPr="004D7A7B" w14:paraId="61843E4C" w14:textId="77777777" w:rsidTr="0072284B">
        <w:trPr>
          <w:jc w:val="center"/>
        </w:trPr>
        <w:tc>
          <w:tcPr>
            <w:tcW w:w="1853" w:type="dxa"/>
          </w:tcPr>
          <w:p w14:paraId="559976D7" w14:textId="4D1A83A5" w:rsidR="004D7A7B" w:rsidRPr="004D7A7B" w:rsidRDefault="004D7A7B" w:rsidP="004D7A7B">
            <w:pPr>
              <w:rPr>
                <w:sz w:val="22"/>
                <w:szCs w:val="22"/>
              </w:rPr>
            </w:pPr>
            <w:r>
              <w:rPr>
                <w:rFonts w:cs="Calibri"/>
                <w:color w:val="000000"/>
                <w:sz w:val="22"/>
                <w:szCs w:val="22"/>
                <w:lang w:val="ga"/>
              </w:rPr>
              <w:t>Ospidéal Beaumont</w:t>
            </w:r>
          </w:p>
        </w:tc>
        <w:tc>
          <w:tcPr>
            <w:tcW w:w="1842" w:type="dxa"/>
          </w:tcPr>
          <w:p w14:paraId="7B70EC92" w14:textId="7AA0FE99" w:rsidR="004D7A7B" w:rsidRPr="004D7A7B" w:rsidRDefault="004D7A7B" w:rsidP="004D7A7B">
            <w:pPr>
              <w:jc w:val="right"/>
              <w:rPr>
                <w:sz w:val="22"/>
                <w:szCs w:val="22"/>
              </w:rPr>
            </w:pPr>
            <w:r>
              <w:rPr>
                <w:rFonts w:cs="Calibri"/>
                <w:color w:val="000000"/>
                <w:sz w:val="22"/>
                <w:szCs w:val="22"/>
                <w:lang w:val="ga"/>
              </w:rPr>
              <w:t>4,508</w:t>
            </w:r>
          </w:p>
        </w:tc>
        <w:tc>
          <w:tcPr>
            <w:tcW w:w="1560" w:type="dxa"/>
          </w:tcPr>
          <w:p w14:paraId="36308E68" w14:textId="72BAF31C" w:rsidR="004D7A7B" w:rsidRPr="004D7A7B" w:rsidRDefault="004D7A7B" w:rsidP="004D7A7B">
            <w:pPr>
              <w:jc w:val="right"/>
              <w:rPr>
                <w:sz w:val="22"/>
                <w:szCs w:val="22"/>
              </w:rPr>
            </w:pPr>
            <w:r>
              <w:rPr>
                <w:rFonts w:cs="Calibri"/>
                <w:color w:val="000000"/>
                <w:sz w:val="22"/>
                <w:szCs w:val="22"/>
                <w:lang w:val="ga"/>
              </w:rPr>
              <w:t>201</w:t>
            </w:r>
          </w:p>
        </w:tc>
        <w:tc>
          <w:tcPr>
            <w:tcW w:w="1544" w:type="dxa"/>
          </w:tcPr>
          <w:p w14:paraId="7FD3FEE0" w14:textId="60F3F7DD" w:rsidR="004D7A7B" w:rsidRPr="004D7A7B" w:rsidRDefault="004D7A7B" w:rsidP="004D7A7B">
            <w:pPr>
              <w:jc w:val="right"/>
              <w:rPr>
                <w:sz w:val="22"/>
                <w:szCs w:val="22"/>
              </w:rPr>
            </w:pPr>
            <w:r>
              <w:rPr>
                <w:rFonts w:cs="Calibri"/>
                <w:color w:val="000000"/>
                <w:sz w:val="22"/>
                <w:szCs w:val="22"/>
                <w:lang w:val="ga"/>
              </w:rPr>
              <w:t>4.5%</w:t>
            </w:r>
          </w:p>
        </w:tc>
        <w:tc>
          <w:tcPr>
            <w:tcW w:w="1291" w:type="dxa"/>
          </w:tcPr>
          <w:p w14:paraId="7D61B0AD" w14:textId="77777777" w:rsidR="004D7A7B" w:rsidRDefault="004D7A7B" w:rsidP="004D7A7B">
            <w:pPr>
              <w:spacing w:after="0"/>
              <w:jc w:val="right"/>
              <w:rPr>
                <w:rFonts w:cs="Calibri"/>
                <w:color w:val="000000"/>
                <w:sz w:val="22"/>
                <w:szCs w:val="22"/>
              </w:rPr>
            </w:pPr>
            <w:r>
              <w:rPr>
                <w:rFonts w:cs="Calibri"/>
                <w:color w:val="000000"/>
                <w:sz w:val="22"/>
                <w:szCs w:val="22"/>
                <w:lang w:val="ga"/>
              </w:rPr>
              <w:t>4683</w:t>
            </w:r>
          </w:p>
          <w:p w14:paraId="02E5C214" w14:textId="2CE7D982" w:rsidR="004D7A7B" w:rsidRPr="004D7A7B" w:rsidRDefault="004D7A7B" w:rsidP="004D7A7B">
            <w:pPr>
              <w:jc w:val="right"/>
              <w:rPr>
                <w:sz w:val="22"/>
                <w:szCs w:val="22"/>
              </w:rPr>
            </w:pPr>
          </w:p>
        </w:tc>
        <w:tc>
          <w:tcPr>
            <w:tcW w:w="1559" w:type="dxa"/>
          </w:tcPr>
          <w:p w14:paraId="45AB2044" w14:textId="77777777" w:rsidR="004D7A7B" w:rsidRDefault="004D7A7B" w:rsidP="004D7A7B">
            <w:pPr>
              <w:spacing w:after="0"/>
              <w:jc w:val="right"/>
              <w:rPr>
                <w:rFonts w:cs="Calibri"/>
                <w:color w:val="000000"/>
                <w:sz w:val="22"/>
                <w:szCs w:val="22"/>
              </w:rPr>
            </w:pPr>
            <w:r>
              <w:rPr>
                <w:rFonts w:cs="Calibri"/>
                <w:color w:val="000000"/>
                <w:sz w:val="22"/>
                <w:szCs w:val="22"/>
                <w:lang w:val="ga"/>
              </w:rPr>
              <w:t>202</w:t>
            </w:r>
          </w:p>
          <w:p w14:paraId="43531F8E" w14:textId="67FB408A" w:rsidR="004D7A7B" w:rsidRPr="004D7A7B" w:rsidRDefault="004D7A7B" w:rsidP="004D7A7B">
            <w:pPr>
              <w:jc w:val="right"/>
              <w:rPr>
                <w:sz w:val="22"/>
                <w:szCs w:val="22"/>
              </w:rPr>
            </w:pPr>
          </w:p>
        </w:tc>
        <w:tc>
          <w:tcPr>
            <w:tcW w:w="1545" w:type="dxa"/>
          </w:tcPr>
          <w:p w14:paraId="3C5C4D4D" w14:textId="77777777" w:rsidR="004D7A7B" w:rsidRDefault="004D7A7B" w:rsidP="004D7A7B">
            <w:pPr>
              <w:spacing w:after="0"/>
              <w:jc w:val="right"/>
              <w:rPr>
                <w:rFonts w:cs="Calibri"/>
                <w:color w:val="000000"/>
                <w:sz w:val="22"/>
                <w:szCs w:val="22"/>
              </w:rPr>
            </w:pPr>
            <w:r>
              <w:rPr>
                <w:rFonts w:cs="Calibri"/>
                <w:color w:val="000000"/>
                <w:sz w:val="22"/>
                <w:szCs w:val="22"/>
                <w:lang w:val="ga"/>
              </w:rPr>
              <w:t>4.3%</w:t>
            </w:r>
          </w:p>
          <w:p w14:paraId="66EE5D75" w14:textId="5855A080" w:rsidR="004D7A7B" w:rsidRPr="004D7A7B" w:rsidRDefault="004D7A7B" w:rsidP="004D7A7B">
            <w:pPr>
              <w:jc w:val="right"/>
              <w:rPr>
                <w:sz w:val="22"/>
                <w:szCs w:val="22"/>
              </w:rPr>
            </w:pPr>
          </w:p>
        </w:tc>
      </w:tr>
      <w:tr w:rsidR="004D7A7B" w:rsidRPr="004D7A7B" w14:paraId="0E4F61F6" w14:textId="77777777" w:rsidTr="0072284B">
        <w:trPr>
          <w:jc w:val="center"/>
        </w:trPr>
        <w:tc>
          <w:tcPr>
            <w:tcW w:w="1853" w:type="dxa"/>
          </w:tcPr>
          <w:p w14:paraId="182630D4" w14:textId="0D391F9F" w:rsidR="004D7A7B" w:rsidRPr="004D7A7B" w:rsidRDefault="004D7A7B" w:rsidP="004D7A7B">
            <w:pPr>
              <w:rPr>
                <w:sz w:val="22"/>
                <w:szCs w:val="22"/>
              </w:rPr>
            </w:pPr>
            <w:r>
              <w:rPr>
                <w:rFonts w:cs="Calibri"/>
                <w:color w:val="000000"/>
                <w:sz w:val="22"/>
                <w:szCs w:val="22"/>
                <w:lang w:val="ga"/>
              </w:rPr>
              <w:t>An Chomhairle Fiaclóireachta</w:t>
            </w:r>
          </w:p>
        </w:tc>
        <w:tc>
          <w:tcPr>
            <w:tcW w:w="1842" w:type="dxa"/>
          </w:tcPr>
          <w:p w14:paraId="0C2BEB1E" w14:textId="578495DE" w:rsidR="004D7A7B" w:rsidRPr="004D7A7B" w:rsidRDefault="004D7A7B" w:rsidP="004D7A7B">
            <w:pPr>
              <w:jc w:val="right"/>
              <w:rPr>
                <w:sz w:val="22"/>
                <w:szCs w:val="22"/>
              </w:rPr>
            </w:pPr>
            <w:r>
              <w:rPr>
                <w:rFonts w:cs="Calibri"/>
                <w:color w:val="000000"/>
                <w:sz w:val="22"/>
                <w:szCs w:val="22"/>
                <w:lang w:val="ga"/>
              </w:rPr>
              <w:t>8</w:t>
            </w:r>
          </w:p>
        </w:tc>
        <w:tc>
          <w:tcPr>
            <w:tcW w:w="1560" w:type="dxa"/>
          </w:tcPr>
          <w:p w14:paraId="0BE796EC" w14:textId="19DE3405" w:rsidR="004D7A7B" w:rsidRPr="004D7A7B" w:rsidRDefault="004D7A7B" w:rsidP="004D7A7B">
            <w:pPr>
              <w:jc w:val="right"/>
              <w:rPr>
                <w:sz w:val="22"/>
                <w:szCs w:val="22"/>
              </w:rPr>
            </w:pPr>
            <w:r>
              <w:rPr>
                <w:rFonts w:cs="Calibri"/>
                <w:color w:val="000000"/>
                <w:sz w:val="22"/>
                <w:szCs w:val="22"/>
                <w:lang w:val="ga"/>
              </w:rPr>
              <w:t>0</w:t>
            </w:r>
          </w:p>
        </w:tc>
        <w:tc>
          <w:tcPr>
            <w:tcW w:w="1544" w:type="dxa"/>
          </w:tcPr>
          <w:p w14:paraId="4E9597FA" w14:textId="19CD1D0B" w:rsidR="004D7A7B" w:rsidRPr="004D7A7B" w:rsidRDefault="004D7A7B" w:rsidP="004D7A7B">
            <w:pPr>
              <w:jc w:val="right"/>
              <w:rPr>
                <w:sz w:val="22"/>
                <w:szCs w:val="22"/>
              </w:rPr>
            </w:pPr>
            <w:r>
              <w:rPr>
                <w:rFonts w:cs="Calibri"/>
                <w:color w:val="000000"/>
                <w:sz w:val="22"/>
                <w:szCs w:val="22"/>
                <w:lang w:val="ga"/>
              </w:rPr>
              <w:t>0.0%</w:t>
            </w:r>
          </w:p>
        </w:tc>
        <w:tc>
          <w:tcPr>
            <w:tcW w:w="1291" w:type="dxa"/>
          </w:tcPr>
          <w:p w14:paraId="484F9A15" w14:textId="77777777" w:rsidR="004D7A7B" w:rsidRDefault="004D7A7B" w:rsidP="004D7A7B">
            <w:pPr>
              <w:spacing w:after="0"/>
              <w:jc w:val="right"/>
              <w:rPr>
                <w:rFonts w:cs="Calibri"/>
                <w:color w:val="000000"/>
                <w:sz w:val="22"/>
                <w:szCs w:val="22"/>
              </w:rPr>
            </w:pPr>
            <w:r>
              <w:rPr>
                <w:rFonts w:cs="Calibri"/>
                <w:color w:val="000000"/>
                <w:sz w:val="22"/>
                <w:szCs w:val="22"/>
                <w:lang w:val="ga"/>
              </w:rPr>
              <w:t>8</w:t>
            </w:r>
          </w:p>
          <w:p w14:paraId="5BF42D28" w14:textId="4CEAFAE9" w:rsidR="004D7A7B" w:rsidRPr="004D7A7B" w:rsidRDefault="004D7A7B" w:rsidP="004D7A7B">
            <w:pPr>
              <w:jc w:val="right"/>
              <w:rPr>
                <w:sz w:val="22"/>
                <w:szCs w:val="22"/>
              </w:rPr>
            </w:pPr>
          </w:p>
        </w:tc>
        <w:tc>
          <w:tcPr>
            <w:tcW w:w="1559" w:type="dxa"/>
          </w:tcPr>
          <w:p w14:paraId="4175417B" w14:textId="37811B5D" w:rsidR="004D7A7B" w:rsidRPr="004D7A7B" w:rsidRDefault="004D7A7B" w:rsidP="004D7A7B">
            <w:pPr>
              <w:jc w:val="right"/>
              <w:rPr>
                <w:sz w:val="22"/>
                <w:szCs w:val="22"/>
              </w:rPr>
            </w:pPr>
            <w:r>
              <w:rPr>
                <w:rFonts w:cs="Calibri"/>
                <w:color w:val="000000"/>
                <w:sz w:val="22"/>
                <w:szCs w:val="22"/>
                <w:lang w:val="ga"/>
              </w:rPr>
              <w:t>0</w:t>
            </w:r>
          </w:p>
        </w:tc>
        <w:tc>
          <w:tcPr>
            <w:tcW w:w="1545" w:type="dxa"/>
          </w:tcPr>
          <w:p w14:paraId="4A5DDF61" w14:textId="6F039ED8" w:rsidR="004D7A7B" w:rsidRPr="004D7A7B" w:rsidRDefault="004D7A7B" w:rsidP="004D7A7B">
            <w:pPr>
              <w:jc w:val="right"/>
              <w:rPr>
                <w:sz w:val="22"/>
                <w:szCs w:val="22"/>
              </w:rPr>
            </w:pPr>
            <w:r>
              <w:rPr>
                <w:rFonts w:cs="Calibri"/>
                <w:color w:val="000000"/>
                <w:sz w:val="22"/>
                <w:szCs w:val="22"/>
                <w:lang w:val="ga"/>
              </w:rPr>
              <w:t>0.0%</w:t>
            </w:r>
          </w:p>
        </w:tc>
      </w:tr>
      <w:tr w:rsidR="004D7A7B" w:rsidRPr="004D7A7B" w14:paraId="4BD24DCF" w14:textId="77777777" w:rsidTr="0072284B">
        <w:trPr>
          <w:jc w:val="center"/>
        </w:trPr>
        <w:tc>
          <w:tcPr>
            <w:tcW w:w="1853" w:type="dxa"/>
          </w:tcPr>
          <w:p w14:paraId="4224D3A5" w14:textId="1F760859" w:rsidR="004D7A7B" w:rsidRPr="004D7A7B" w:rsidRDefault="004D7A7B" w:rsidP="004D7A7B">
            <w:pPr>
              <w:rPr>
                <w:sz w:val="22"/>
                <w:szCs w:val="22"/>
              </w:rPr>
            </w:pPr>
            <w:r>
              <w:rPr>
                <w:rFonts w:cs="Calibri"/>
                <w:color w:val="000000"/>
                <w:sz w:val="22"/>
                <w:szCs w:val="22"/>
                <w:lang w:val="ga"/>
              </w:rPr>
              <w:t>Ospidéal Ollscoile Déidliachta Bhaile Átha Cliath</w:t>
            </w:r>
          </w:p>
        </w:tc>
        <w:tc>
          <w:tcPr>
            <w:tcW w:w="1842" w:type="dxa"/>
          </w:tcPr>
          <w:p w14:paraId="19D83EAE" w14:textId="681C1E4B" w:rsidR="004D7A7B" w:rsidRPr="004D7A7B" w:rsidRDefault="004D7A7B" w:rsidP="004D7A7B">
            <w:pPr>
              <w:jc w:val="right"/>
              <w:rPr>
                <w:sz w:val="22"/>
                <w:szCs w:val="22"/>
              </w:rPr>
            </w:pPr>
            <w:r>
              <w:rPr>
                <w:rFonts w:cs="Calibri"/>
                <w:color w:val="000000"/>
                <w:sz w:val="22"/>
                <w:szCs w:val="22"/>
                <w:lang w:val="ga"/>
              </w:rPr>
              <w:t>212</w:t>
            </w:r>
          </w:p>
        </w:tc>
        <w:tc>
          <w:tcPr>
            <w:tcW w:w="1560" w:type="dxa"/>
          </w:tcPr>
          <w:p w14:paraId="17E9559B" w14:textId="6C50DA2C" w:rsidR="004D7A7B" w:rsidRPr="004D7A7B" w:rsidRDefault="004D7A7B" w:rsidP="004D7A7B">
            <w:pPr>
              <w:jc w:val="right"/>
              <w:rPr>
                <w:sz w:val="22"/>
                <w:szCs w:val="22"/>
              </w:rPr>
            </w:pPr>
            <w:r>
              <w:rPr>
                <w:rFonts w:cs="Calibri"/>
                <w:color w:val="000000"/>
                <w:sz w:val="22"/>
                <w:szCs w:val="22"/>
                <w:lang w:val="ga"/>
              </w:rPr>
              <w:t>10</w:t>
            </w:r>
          </w:p>
        </w:tc>
        <w:tc>
          <w:tcPr>
            <w:tcW w:w="1544" w:type="dxa"/>
          </w:tcPr>
          <w:p w14:paraId="6D85DE38" w14:textId="3C6322DB" w:rsidR="004D7A7B" w:rsidRPr="004D7A7B" w:rsidRDefault="004D7A7B" w:rsidP="004D7A7B">
            <w:pPr>
              <w:jc w:val="right"/>
              <w:rPr>
                <w:sz w:val="22"/>
                <w:szCs w:val="22"/>
              </w:rPr>
            </w:pPr>
            <w:r>
              <w:rPr>
                <w:rFonts w:cs="Calibri"/>
                <w:color w:val="000000"/>
                <w:sz w:val="22"/>
                <w:szCs w:val="22"/>
                <w:lang w:val="ga"/>
              </w:rPr>
              <w:t>4.7%</w:t>
            </w:r>
          </w:p>
        </w:tc>
        <w:tc>
          <w:tcPr>
            <w:tcW w:w="1291" w:type="dxa"/>
          </w:tcPr>
          <w:p w14:paraId="331F6087" w14:textId="77777777" w:rsidR="004D7A7B" w:rsidRDefault="004D7A7B" w:rsidP="004D7A7B">
            <w:pPr>
              <w:spacing w:after="0"/>
              <w:jc w:val="right"/>
              <w:rPr>
                <w:rFonts w:cs="Calibri"/>
                <w:color w:val="000000"/>
                <w:sz w:val="22"/>
                <w:szCs w:val="22"/>
              </w:rPr>
            </w:pPr>
            <w:r>
              <w:rPr>
                <w:rFonts w:cs="Calibri"/>
                <w:color w:val="000000"/>
                <w:sz w:val="22"/>
                <w:szCs w:val="22"/>
                <w:lang w:val="ga"/>
              </w:rPr>
              <w:t>356</w:t>
            </w:r>
          </w:p>
          <w:p w14:paraId="43AAEC0D" w14:textId="324483B5" w:rsidR="004D7A7B" w:rsidRPr="004D7A7B" w:rsidRDefault="004D7A7B" w:rsidP="004D7A7B">
            <w:pPr>
              <w:jc w:val="right"/>
              <w:rPr>
                <w:sz w:val="22"/>
                <w:szCs w:val="22"/>
              </w:rPr>
            </w:pPr>
          </w:p>
        </w:tc>
        <w:tc>
          <w:tcPr>
            <w:tcW w:w="1559" w:type="dxa"/>
          </w:tcPr>
          <w:p w14:paraId="5E797C77" w14:textId="77777777" w:rsidR="004D7A7B" w:rsidRDefault="004D7A7B" w:rsidP="004D7A7B">
            <w:pPr>
              <w:spacing w:after="0"/>
              <w:jc w:val="right"/>
              <w:rPr>
                <w:rFonts w:cs="Calibri"/>
                <w:color w:val="000000"/>
                <w:sz w:val="22"/>
                <w:szCs w:val="22"/>
              </w:rPr>
            </w:pPr>
            <w:r>
              <w:rPr>
                <w:rFonts w:cs="Calibri"/>
                <w:color w:val="000000"/>
                <w:sz w:val="22"/>
                <w:szCs w:val="22"/>
                <w:lang w:val="ga"/>
              </w:rPr>
              <w:t>15</w:t>
            </w:r>
          </w:p>
          <w:p w14:paraId="0F2E832C" w14:textId="78821AA1" w:rsidR="004D7A7B" w:rsidRPr="004D7A7B" w:rsidRDefault="004D7A7B" w:rsidP="004D7A7B">
            <w:pPr>
              <w:jc w:val="right"/>
              <w:rPr>
                <w:sz w:val="22"/>
                <w:szCs w:val="22"/>
              </w:rPr>
            </w:pPr>
          </w:p>
        </w:tc>
        <w:tc>
          <w:tcPr>
            <w:tcW w:w="1545" w:type="dxa"/>
          </w:tcPr>
          <w:p w14:paraId="0BB36581" w14:textId="77777777" w:rsidR="004D7A7B" w:rsidRDefault="004D7A7B" w:rsidP="004D7A7B">
            <w:pPr>
              <w:spacing w:after="0"/>
              <w:jc w:val="right"/>
              <w:rPr>
                <w:rFonts w:cs="Calibri"/>
                <w:color w:val="000000"/>
                <w:sz w:val="22"/>
                <w:szCs w:val="22"/>
              </w:rPr>
            </w:pPr>
            <w:r>
              <w:rPr>
                <w:rFonts w:cs="Calibri"/>
                <w:color w:val="000000"/>
                <w:sz w:val="22"/>
                <w:szCs w:val="22"/>
                <w:lang w:val="ga"/>
              </w:rPr>
              <w:t>4.2%</w:t>
            </w:r>
          </w:p>
          <w:p w14:paraId="066AD74D" w14:textId="6DA89C53" w:rsidR="004D7A7B" w:rsidRPr="004D7A7B" w:rsidRDefault="004D7A7B" w:rsidP="004D7A7B">
            <w:pPr>
              <w:jc w:val="right"/>
              <w:rPr>
                <w:sz w:val="22"/>
                <w:szCs w:val="22"/>
              </w:rPr>
            </w:pPr>
          </w:p>
        </w:tc>
      </w:tr>
      <w:tr w:rsidR="004D7A7B" w:rsidRPr="004D7A7B" w14:paraId="177FC2EC" w14:textId="77777777" w:rsidTr="0072284B">
        <w:trPr>
          <w:jc w:val="center"/>
        </w:trPr>
        <w:tc>
          <w:tcPr>
            <w:tcW w:w="1853" w:type="dxa"/>
          </w:tcPr>
          <w:p w14:paraId="18870FE6" w14:textId="10892A33" w:rsidR="004D7A7B" w:rsidRPr="004D7A7B" w:rsidRDefault="004D7A7B" w:rsidP="004D7A7B">
            <w:pPr>
              <w:rPr>
                <w:sz w:val="22"/>
                <w:szCs w:val="22"/>
              </w:rPr>
            </w:pPr>
            <w:r>
              <w:rPr>
                <w:rFonts w:cs="Calibri"/>
                <w:color w:val="000000"/>
                <w:sz w:val="22"/>
                <w:szCs w:val="22"/>
                <w:lang w:val="ga"/>
              </w:rPr>
              <w:t>Údarás Sábháilteachta Bia na hÉireann</w:t>
            </w:r>
          </w:p>
        </w:tc>
        <w:tc>
          <w:tcPr>
            <w:tcW w:w="1842" w:type="dxa"/>
          </w:tcPr>
          <w:p w14:paraId="1079A3CE" w14:textId="3B639BF3" w:rsidR="004D7A7B" w:rsidRPr="004D7A7B" w:rsidRDefault="004D7A7B" w:rsidP="004D7A7B">
            <w:pPr>
              <w:jc w:val="right"/>
              <w:rPr>
                <w:sz w:val="22"/>
                <w:szCs w:val="22"/>
              </w:rPr>
            </w:pPr>
            <w:r>
              <w:rPr>
                <w:rFonts w:cs="Calibri"/>
                <w:color w:val="000000"/>
                <w:sz w:val="22"/>
                <w:szCs w:val="22"/>
                <w:lang w:val="ga"/>
              </w:rPr>
              <w:t>91</w:t>
            </w:r>
          </w:p>
        </w:tc>
        <w:tc>
          <w:tcPr>
            <w:tcW w:w="1560" w:type="dxa"/>
          </w:tcPr>
          <w:p w14:paraId="258DC09F" w14:textId="1B063F55" w:rsidR="004D7A7B" w:rsidRPr="004D7A7B" w:rsidRDefault="004D7A7B" w:rsidP="004D7A7B">
            <w:pPr>
              <w:jc w:val="right"/>
              <w:rPr>
                <w:sz w:val="22"/>
                <w:szCs w:val="22"/>
              </w:rPr>
            </w:pPr>
            <w:r>
              <w:rPr>
                <w:rFonts w:cs="Calibri"/>
                <w:color w:val="000000"/>
                <w:sz w:val="22"/>
                <w:szCs w:val="22"/>
                <w:lang w:val="ga"/>
              </w:rPr>
              <w:t>5</w:t>
            </w:r>
          </w:p>
        </w:tc>
        <w:tc>
          <w:tcPr>
            <w:tcW w:w="1544" w:type="dxa"/>
          </w:tcPr>
          <w:p w14:paraId="4A2362BC" w14:textId="11E67EC4" w:rsidR="004D7A7B" w:rsidRPr="004D7A7B" w:rsidRDefault="004D7A7B" w:rsidP="004D7A7B">
            <w:pPr>
              <w:jc w:val="right"/>
              <w:rPr>
                <w:sz w:val="22"/>
                <w:szCs w:val="22"/>
              </w:rPr>
            </w:pPr>
            <w:r>
              <w:rPr>
                <w:rFonts w:cs="Calibri"/>
                <w:color w:val="000000"/>
                <w:sz w:val="22"/>
                <w:szCs w:val="22"/>
                <w:lang w:val="ga"/>
              </w:rPr>
              <w:t>5.5%</w:t>
            </w:r>
          </w:p>
        </w:tc>
        <w:tc>
          <w:tcPr>
            <w:tcW w:w="1291" w:type="dxa"/>
          </w:tcPr>
          <w:p w14:paraId="629EB59C" w14:textId="77777777" w:rsidR="004D7A7B" w:rsidRDefault="004D7A7B" w:rsidP="004D7A7B">
            <w:pPr>
              <w:spacing w:after="0"/>
              <w:jc w:val="right"/>
              <w:rPr>
                <w:rFonts w:cs="Calibri"/>
                <w:color w:val="000000"/>
                <w:sz w:val="22"/>
                <w:szCs w:val="22"/>
              </w:rPr>
            </w:pPr>
            <w:r>
              <w:rPr>
                <w:rFonts w:cs="Calibri"/>
                <w:color w:val="000000"/>
                <w:sz w:val="22"/>
                <w:szCs w:val="22"/>
                <w:lang w:val="ga"/>
              </w:rPr>
              <w:t>101</w:t>
            </w:r>
          </w:p>
          <w:p w14:paraId="4A8FB15E" w14:textId="72A92264" w:rsidR="004D7A7B" w:rsidRPr="004D7A7B" w:rsidRDefault="004D7A7B" w:rsidP="004D7A7B">
            <w:pPr>
              <w:jc w:val="right"/>
              <w:rPr>
                <w:sz w:val="22"/>
                <w:szCs w:val="22"/>
              </w:rPr>
            </w:pPr>
          </w:p>
        </w:tc>
        <w:tc>
          <w:tcPr>
            <w:tcW w:w="1559" w:type="dxa"/>
          </w:tcPr>
          <w:p w14:paraId="78C4EAD6" w14:textId="77777777" w:rsidR="004D7A7B" w:rsidRDefault="004D7A7B" w:rsidP="004D7A7B">
            <w:pPr>
              <w:spacing w:after="0"/>
              <w:jc w:val="right"/>
              <w:rPr>
                <w:rFonts w:cs="Calibri"/>
                <w:color w:val="000000"/>
                <w:sz w:val="22"/>
                <w:szCs w:val="22"/>
              </w:rPr>
            </w:pPr>
            <w:r>
              <w:rPr>
                <w:rFonts w:cs="Calibri"/>
                <w:color w:val="000000"/>
                <w:sz w:val="22"/>
                <w:szCs w:val="22"/>
                <w:lang w:val="ga"/>
              </w:rPr>
              <w:t>6</w:t>
            </w:r>
          </w:p>
          <w:p w14:paraId="059452A5" w14:textId="2E078C96" w:rsidR="004D7A7B" w:rsidRPr="004D7A7B" w:rsidRDefault="004D7A7B" w:rsidP="004D7A7B">
            <w:pPr>
              <w:jc w:val="right"/>
              <w:rPr>
                <w:sz w:val="22"/>
                <w:szCs w:val="22"/>
              </w:rPr>
            </w:pPr>
          </w:p>
        </w:tc>
        <w:tc>
          <w:tcPr>
            <w:tcW w:w="1545" w:type="dxa"/>
          </w:tcPr>
          <w:p w14:paraId="54396E24" w14:textId="77777777" w:rsidR="004D7A7B" w:rsidRDefault="004D7A7B" w:rsidP="004D7A7B">
            <w:pPr>
              <w:spacing w:after="0"/>
              <w:jc w:val="right"/>
              <w:rPr>
                <w:rFonts w:cs="Calibri"/>
                <w:color w:val="000000"/>
                <w:sz w:val="22"/>
                <w:szCs w:val="22"/>
              </w:rPr>
            </w:pPr>
            <w:r>
              <w:rPr>
                <w:rFonts w:cs="Calibri"/>
                <w:color w:val="000000"/>
                <w:sz w:val="22"/>
                <w:szCs w:val="22"/>
                <w:lang w:val="ga"/>
              </w:rPr>
              <w:t>5.9%</w:t>
            </w:r>
          </w:p>
          <w:p w14:paraId="26334235" w14:textId="097D7BEB" w:rsidR="004D7A7B" w:rsidRPr="004D7A7B" w:rsidRDefault="004D7A7B" w:rsidP="004D7A7B">
            <w:pPr>
              <w:jc w:val="right"/>
              <w:rPr>
                <w:sz w:val="22"/>
                <w:szCs w:val="22"/>
              </w:rPr>
            </w:pPr>
          </w:p>
        </w:tc>
      </w:tr>
      <w:tr w:rsidR="004D7A7B" w:rsidRPr="004D7A7B" w14:paraId="0FA21089" w14:textId="77777777" w:rsidTr="0072284B">
        <w:trPr>
          <w:jc w:val="center"/>
        </w:trPr>
        <w:tc>
          <w:tcPr>
            <w:tcW w:w="1853" w:type="dxa"/>
          </w:tcPr>
          <w:p w14:paraId="74FAD41E" w14:textId="7924A34B" w:rsidR="004D7A7B" w:rsidRPr="004D7A7B" w:rsidRDefault="004D7A7B" w:rsidP="004D7A7B">
            <w:pPr>
              <w:rPr>
                <w:sz w:val="22"/>
                <w:szCs w:val="22"/>
              </w:rPr>
            </w:pPr>
            <w:r>
              <w:rPr>
                <w:rFonts w:cs="Calibri"/>
                <w:color w:val="000000"/>
                <w:sz w:val="22"/>
                <w:szCs w:val="22"/>
                <w:lang w:val="ga"/>
              </w:rPr>
              <w:t>An tÚdarás um Fhaisnéis agus Cáilíocht Sláinte</w:t>
            </w:r>
          </w:p>
        </w:tc>
        <w:tc>
          <w:tcPr>
            <w:tcW w:w="1842" w:type="dxa"/>
          </w:tcPr>
          <w:p w14:paraId="55A86F9E" w14:textId="72AD21CB" w:rsidR="004D7A7B" w:rsidRPr="004D7A7B" w:rsidRDefault="004D7A7B" w:rsidP="004D7A7B">
            <w:pPr>
              <w:jc w:val="right"/>
              <w:rPr>
                <w:sz w:val="22"/>
                <w:szCs w:val="22"/>
              </w:rPr>
            </w:pPr>
            <w:r>
              <w:rPr>
                <w:rFonts w:cs="Calibri"/>
                <w:color w:val="000000"/>
                <w:sz w:val="22"/>
                <w:szCs w:val="22"/>
                <w:lang w:val="ga"/>
              </w:rPr>
              <w:t>329</w:t>
            </w:r>
          </w:p>
        </w:tc>
        <w:tc>
          <w:tcPr>
            <w:tcW w:w="1560" w:type="dxa"/>
          </w:tcPr>
          <w:p w14:paraId="39CEEFD1" w14:textId="668C7F5E" w:rsidR="004D7A7B" w:rsidRPr="004D7A7B" w:rsidRDefault="004D7A7B" w:rsidP="004D7A7B">
            <w:pPr>
              <w:jc w:val="right"/>
              <w:rPr>
                <w:sz w:val="22"/>
                <w:szCs w:val="22"/>
              </w:rPr>
            </w:pPr>
            <w:r>
              <w:rPr>
                <w:rFonts w:cs="Calibri"/>
                <w:color w:val="000000"/>
                <w:sz w:val="22"/>
                <w:szCs w:val="22"/>
                <w:lang w:val="ga"/>
              </w:rPr>
              <w:t>17</w:t>
            </w:r>
          </w:p>
        </w:tc>
        <w:tc>
          <w:tcPr>
            <w:tcW w:w="1544" w:type="dxa"/>
          </w:tcPr>
          <w:p w14:paraId="52D30296" w14:textId="7448B167" w:rsidR="004D7A7B" w:rsidRPr="004D7A7B" w:rsidRDefault="004D7A7B" w:rsidP="004D7A7B">
            <w:pPr>
              <w:jc w:val="right"/>
              <w:rPr>
                <w:sz w:val="22"/>
                <w:szCs w:val="22"/>
              </w:rPr>
            </w:pPr>
            <w:r>
              <w:rPr>
                <w:rFonts w:cs="Calibri"/>
                <w:color w:val="000000"/>
                <w:sz w:val="22"/>
                <w:szCs w:val="22"/>
                <w:lang w:val="ga"/>
              </w:rPr>
              <w:t>5.2%</w:t>
            </w:r>
          </w:p>
        </w:tc>
        <w:tc>
          <w:tcPr>
            <w:tcW w:w="1291" w:type="dxa"/>
          </w:tcPr>
          <w:p w14:paraId="62070804" w14:textId="77777777" w:rsidR="004D7A7B" w:rsidRDefault="004D7A7B" w:rsidP="004D7A7B">
            <w:pPr>
              <w:spacing w:after="0"/>
              <w:jc w:val="right"/>
              <w:rPr>
                <w:rFonts w:cs="Calibri"/>
                <w:color w:val="000000"/>
                <w:sz w:val="22"/>
                <w:szCs w:val="22"/>
              </w:rPr>
            </w:pPr>
            <w:r>
              <w:rPr>
                <w:rFonts w:cs="Calibri"/>
                <w:color w:val="000000"/>
                <w:sz w:val="22"/>
                <w:szCs w:val="22"/>
                <w:lang w:val="ga"/>
              </w:rPr>
              <w:t>357</w:t>
            </w:r>
          </w:p>
          <w:p w14:paraId="04171049" w14:textId="2DDA4F8C" w:rsidR="004D7A7B" w:rsidRPr="004D7A7B" w:rsidRDefault="004D7A7B" w:rsidP="004D7A7B">
            <w:pPr>
              <w:jc w:val="right"/>
              <w:rPr>
                <w:sz w:val="22"/>
                <w:szCs w:val="22"/>
              </w:rPr>
            </w:pPr>
          </w:p>
        </w:tc>
        <w:tc>
          <w:tcPr>
            <w:tcW w:w="1559" w:type="dxa"/>
          </w:tcPr>
          <w:p w14:paraId="195364DE" w14:textId="77777777" w:rsidR="004D7A7B" w:rsidRDefault="004D7A7B" w:rsidP="004D7A7B">
            <w:pPr>
              <w:spacing w:after="0"/>
              <w:jc w:val="right"/>
              <w:rPr>
                <w:rFonts w:cs="Calibri"/>
                <w:color w:val="000000"/>
                <w:sz w:val="22"/>
                <w:szCs w:val="22"/>
              </w:rPr>
            </w:pPr>
            <w:r>
              <w:rPr>
                <w:rFonts w:cs="Calibri"/>
                <w:color w:val="000000"/>
                <w:sz w:val="22"/>
                <w:szCs w:val="22"/>
                <w:lang w:val="ga"/>
              </w:rPr>
              <w:t>19</w:t>
            </w:r>
          </w:p>
          <w:p w14:paraId="03D86131" w14:textId="5E9C50F2" w:rsidR="004D7A7B" w:rsidRPr="004D7A7B" w:rsidRDefault="004D7A7B" w:rsidP="004D7A7B">
            <w:pPr>
              <w:jc w:val="right"/>
              <w:rPr>
                <w:sz w:val="22"/>
                <w:szCs w:val="22"/>
              </w:rPr>
            </w:pPr>
          </w:p>
        </w:tc>
        <w:tc>
          <w:tcPr>
            <w:tcW w:w="1545" w:type="dxa"/>
          </w:tcPr>
          <w:p w14:paraId="382F5C38" w14:textId="77777777" w:rsidR="004D7A7B" w:rsidRDefault="004D7A7B" w:rsidP="004D7A7B">
            <w:pPr>
              <w:spacing w:after="0"/>
              <w:jc w:val="right"/>
              <w:rPr>
                <w:rFonts w:cs="Calibri"/>
                <w:color w:val="000000"/>
                <w:sz w:val="22"/>
                <w:szCs w:val="22"/>
              </w:rPr>
            </w:pPr>
            <w:r>
              <w:rPr>
                <w:rFonts w:cs="Calibri"/>
                <w:color w:val="000000"/>
                <w:sz w:val="22"/>
                <w:szCs w:val="22"/>
                <w:lang w:val="ga"/>
              </w:rPr>
              <w:t>5.3%</w:t>
            </w:r>
          </w:p>
          <w:p w14:paraId="1F154FC6" w14:textId="5D99569B" w:rsidR="004D7A7B" w:rsidRPr="004D7A7B" w:rsidRDefault="004D7A7B" w:rsidP="004D7A7B">
            <w:pPr>
              <w:jc w:val="right"/>
              <w:rPr>
                <w:sz w:val="22"/>
                <w:szCs w:val="22"/>
              </w:rPr>
            </w:pPr>
          </w:p>
        </w:tc>
      </w:tr>
      <w:tr w:rsidR="004D7A7B" w:rsidRPr="004D7A7B" w14:paraId="6C634916" w14:textId="77777777" w:rsidTr="0072284B">
        <w:trPr>
          <w:jc w:val="center"/>
        </w:trPr>
        <w:tc>
          <w:tcPr>
            <w:tcW w:w="1853" w:type="dxa"/>
          </w:tcPr>
          <w:p w14:paraId="49888DC0" w14:textId="0D995A01" w:rsidR="004D7A7B" w:rsidRPr="004D7A7B" w:rsidRDefault="004D7A7B" w:rsidP="004D7A7B">
            <w:pPr>
              <w:rPr>
                <w:sz w:val="22"/>
                <w:szCs w:val="22"/>
              </w:rPr>
            </w:pPr>
            <w:r>
              <w:rPr>
                <w:rFonts w:cs="Calibri"/>
                <w:color w:val="000000"/>
                <w:sz w:val="22"/>
                <w:szCs w:val="22"/>
                <w:lang w:val="ga"/>
              </w:rPr>
              <w:t>An tÚdarás Árachas Sláinte</w:t>
            </w:r>
          </w:p>
        </w:tc>
        <w:tc>
          <w:tcPr>
            <w:tcW w:w="1842" w:type="dxa"/>
          </w:tcPr>
          <w:p w14:paraId="16B2C93B" w14:textId="35062240" w:rsidR="004D7A7B" w:rsidRPr="004D7A7B" w:rsidRDefault="004D7A7B" w:rsidP="004D7A7B">
            <w:pPr>
              <w:jc w:val="right"/>
              <w:rPr>
                <w:sz w:val="22"/>
                <w:szCs w:val="22"/>
              </w:rPr>
            </w:pPr>
            <w:r>
              <w:rPr>
                <w:rFonts w:cs="Calibri"/>
                <w:color w:val="000000"/>
                <w:sz w:val="22"/>
                <w:szCs w:val="22"/>
                <w:lang w:val="ga"/>
              </w:rPr>
              <w:t>13</w:t>
            </w:r>
          </w:p>
        </w:tc>
        <w:tc>
          <w:tcPr>
            <w:tcW w:w="1560" w:type="dxa"/>
          </w:tcPr>
          <w:p w14:paraId="63DEA50A" w14:textId="4AFF8486" w:rsidR="004D7A7B" w:rsidRPr="004D7A7B" w:rsidRDefault="004D7A7B" w:rsidP="004D7A7B">
            <w:pPr>
              <w:jc w:val="right"/>
              <w:rPr>
                <w:sz w:val="22"/>
                <w:szCs w:val="22"/>
              </w:rPr>
            </w:pPr>
            <w:r>
              <w:rPr>
                <w:rFonts w:cs="Calibri"/>
                <w:color w:val="000000"/>
                <w:sz w:val="22"/>
                <w:szCs w:val="22"/>
                <w:lang w:val="ga"/>
              </w:rPr>
              <w:t>1</w:t>
            </w:r>
          </w:p>
        </w:tc>
        <w:tc>
          <w:tcPr>
            <w:tcW w:w="1544" w:type="dxa"/>
          </w:tcPr>
          <w:p w14:paraId="6F6E4AD8" w14:textId="5B670688" w:rsidR="004D7A7B" w:rsidRPr="004D7A7B" w:rsidRDefault="004D7A7B" w:rsidP="004D7A7B">
            <w:pPr>
              <w:jc w:val="right"/>
              <w:rPr>
                <w:sz w:val="22"/>
                <w:szCs w:val="22"/>
              </w:rPr>
            </w:pPr>
            <w:r>
              <w:rPr>
                <w:rFonts w:cs="Calibri"/>
                <w:color w:val="000000"/>
                <w:sz w:val="22"/>
                <w:szCs w:val="22"/>
                <w:lang w:val="ga"/>
              </w:rPr>
              <w:t>7.7%</w:t>
            </w:r>
          </w:p>
        </w:tc>
        <w:tc>
          <w:tcPr>
            <w:tcW w:w="1291" w:type="dxa"/>
          </w:tcPr>
          <w:p w14:paraId="34FBA9B8" w14:textId="77777777" w:rsidR="004D7A7B" w:rsidRDefault="004D7A7B" w:rsidP="004D7A7B">
            <w:pPr>
              <w:spacing w:after="0"/>
              <w:jc w:val="right"/>
              <w:rPr>
                <w:rFonts w:cs="Calibri"/>
                <w:color w:val="000000"/>
                <w:sz w:val="22"/>
                <w:szCs w:val="22"/>
              </w:rPr>
            </w:pPr>
            <w:r>
              <w:rPr>
                <w:rFonts w:cs="Calibri"/>
                <w:color w:val="000000"/>
                <w:sz w:val="22"/>
                <w:szCs w:val="22"/>
                <w:lang w:val="ga"/>
              </w:rPr>
              <w:t>18</w:t>
            </w:r>
          </w:p>
          <w:p w14:paraId="753A34FB" w14:textId="40B333D1" w:rsidR="004D7A7B" w:rsidRPr="004D7A7B" w:rsidRDefault="004D7A7B" w:rsidP="004D7A7B">
            <w:pPr>
              <w:jc w:val="right"/>
              <w:rPr>
                <w:sz w:val="22"/>
                <w:szCs w:val="22"/>
              </w:rPr>
            </w:pPr>
          </w:p>
        </w:tc>
        <w:tc>
          <w:tcPr>
            <w:tcW w:w="1559" w:type="dxa"/>
          </w:tcPr>
          <w:p w14:paraId="655DCB95" w14:textId="77777777" w:rsidR="004D7A7B" w:rsidRDefault="004D7A7B" w:rsidP="004D7A7B">
            <w:pPr>
              <w:spacing w:after="0"/>
              <w:jc w:val="right"/>
              <w:rPr>
                <w:rFonts w:cs="Calibri"/>
                <w:color w:val="000000"/>
                <w:sz w:val="22"/>
                <w:szCs w:val="22"/>
              </w:rPr>
            </w:pPr>
            <w:r>
              <w:rPr>
                <w:rFonts w:cs="Calibri"/>
                <w:color w:val="000000"/>
                <w:sz w:val="22"/>
                <w:szCs w:val="22"/>
                <w:lang w:val="ga"/>
              </w:rPr>
              <w:t>1</w:t>
            </w:r>
          </w:p>
          <w:p w14:paraId="550F6C68" w14:textId="17F5831A" w:rsidR="004D7A7B" w:rsidRPr="004D7A7B" w:rsidRDefault="004D7A7B" w:rsidP="004D7A7B">
            <w:pPr>
              <w:jc w:val="right"/>
              <w:rPr>
                <w:sz w:val="22"/>
                <w:szCs w:val="22"/>
              </w:rPr>
            </w:pPr>
          </w:p>
        </w:tc>
        <w:tc>
          <w:tcPr>
            <w:tcW w:w="1545" w:type="dxa"/>
          </w:tcPr>
          <w:p w14:paraId="5CCDE284" w14:textId="77777777" w:rsidR="004D7A7B" w:rsidRDefault="004D7A7B" w:rsidP="004D7A7B">
            <w:pPr>
              <w:spacing w:after="0"/>
              <w:jc w:val="right"/>
              <w:rPr>
                <w:rFonts w:cs="Calibri"/>
                <w:color w:val="000000"/>
                <w:sz w:val="22"/>
                <w:szCs w:val="22"/>
              </w:rPr>
            </w:pPr>
            <w:r>
              <w:rPr>
                <w:rFonts w:cs="Calibri"/>
                <w:color w:val="000000"/>
                <w:sz w:val="22"/>
                <w:szCs w:val="22"/>
                <w:lang w:val="ga"/>
              </w:rPr>
              <w:t>5.6%</w:t>
            </w:r>
          </w:p>
          <w:p w14:paraId="4BBEA8EC" w14:textId="2B2A7C76" w:rsidR="004D7A7B" w:rsidRPr="004D7A7B" w:rsidRDefault="004D7A7B" w:rsidP="004D7A7B">
            <w:pPr>
              <w:jc w:val="right"/>
              <w:rPr>
                <w:sz w:val="22"/>
                <w:szCs w:val="22"/>
              </w:rPr>
            </w:pPr>
          </w:p>
        </w:tc>
      </w:tr>
      <w:tr w:rsidR="004D7A7B" w:rsidRPr="004D7A7B" w14:paraId="4943B124" w14:textId="77777777" w:rsidTr="0072284B">
        <w:trPr>
          <w:jc w:val="center"/>
        </w:trPr>
        <w:tc>
          <w:tcPr>
            <w:tcW w:w="1853" w:type="dxa"/>
          </w:tcPr>
          <w:p w14:paraId="18EE21A0" w14:textId="4F1E7F40" w:rsidR="004D7A7B" w:rsidRPr="004D7A7B" w:rsidRDefault="004D7A7B" w:rsidP="004D7A7B">
            <w:pPr>
              <w:rPr>
                <w:sz w:val="22"/>
                <w:szCs w:val="22"/>
              </w:rPr>
            </w:pPr>
            <w:r>
              <w:rPr>
                <w:rFonts w:cs="Calibri"/>
                <w:color w:val="000000"/>
                <w:sz w:val="22"/>
                <w:szCs w:val="22"/>
                <w:lang w:val="ga"/>
              </w:rPr>
              <w:t>An tÚdarás Rialála Táirgí Sláinte</w:t>
            </w:r>
          </w:p>
        </w:tc>
        <w:tc>
          <w:tcPr>
            <w:tcW w:w="1842" w:type="dxa"/>
          </w:tcPr>
          <w:p w14:paraId="028CA3B6" w14:textId="34952C88" w:rsidR="004D7A7B" w:rsidRPr="004D7A7B" w:rsidRDefault="004D7A7B" w:rsidP="004D7A7B">
            <w:pPr>
              <w:jc w:val="right"/>
              <w:rPr>
                <w:sz w:val="22"/>
                <w:szCs w:val="22"/>
              </w:rPr>
            </w:pPr>
            <w:r>
              <w:rPr>
                <w:rFonts w:cs="Calibri"/>
                <w:color w:val="000000"/>
                <w:sz w:val="22"/>
                <w:szCs w:val="22"/>
                <w:lang w:val="ga"/>
              </w:rPr>
              <w:t>369</w:t>
            </w:r>
          </w:p>
        </w:tc>
        <w:tc>
          <w:tcPr>
            <w:tcW w:w="1560" w:type="dxa"/>
          </w:tcPr>
          <w:p w14:paraId="68713383" w14:textId="20DCFC36" w:rsidR="004D7A7B" w:rsidRPr="004D7A7B" w:rsidRDefault="004D7A7B" w:rsidP="004D7A7B">
            <w:pPr>
              <w:jc w:val="right"/>
              <w:rPr>
                <w:sz w:val="22"/>
                <w:szCs w:val="22"/>
              </w:rPr>
            </w:pPr>
            <w:r>
              <w:rPr>
                <w:rFonts w:cs="Calibri"/>
                <w:color w:val="000000"/>
                <w:sz w:val="22"/>
                <w:szCs w:val="22"/>
                <w:lang w:val="ga"/>
              </w:rPr>
              <w:t>16</w:t>
            </w:r>
          </w:p>
        </w:tc>
        <w:tc>
          <w:tcPr>
            <w:tcW w:w="1544" w:type="dxa"/>
          </w:tcPr>
          <w:p w14:paraId="59D223D9" w14:textId="01E047C7" w:rsidR="004D7A7B" w:rsidRPr="004D7A7B" w:rsidRDefault="004D7A7B" w:rsidP="004D7A7B">
            <w:pPr>
              <w:jc w:val="right"/>
              <w:rPr>
                <w:sz w:val="22"/>
                <w:szCs w:val="22"/>
              </w:rPr>
            </w:pPr>
            <w:r>
              <w:rPr>
                <w:rFonts w:cs="Calibri"/>
                <w:color w:val="000000"/>
                <w:sz w:val="22"/>
                <w:szCs w:val="22"/>
                <w:lang w:val="ga"/>
              </w:rPr>
              <w:t>4.3%</w:t>
            </w:r>
          </w:p>
        </w:tc>
        <w:tc>
          <w:tcPr>
            <w:tcW w:w="1291" w:type="dxa"/>
          </w:tcPr>
          <w:p w14:paraId="1F20C7CD" w14:textId="77777777" w:rsidR="004D7A7B" w:rsidRDefault="004D7A7B" w:rsidP="004D7A7B">
            <w:pPr>
              <w:spacing w:after="0"/>
              <w:jc w:val="right"/>
              <w:rPr>
                <w:rFonts w:cs="Calibri"/>
                <w:color w:val="000000"/>
                <w:sz w:val="22"/>
                <w:szCs w:val="22"/>
              </w:rPr>
            </w:pPr>
            <w:r>
              <w:rPr>
                <w:rFonts w:cs="Calibri"/>
                <w:color w:val="000000"/>
                <w:sz w:val="22"/>
                <w:szCs w:val="22"/>
                <w:lang w:val="ga"/>
              </w:rPr>
              <w:t>363</w:t>
            </w:r>
          </w:p>
          <w:p w14:paraId="6DB624F4" w14:textId="5221D5C1" w:rsidR="004D7A7B" w:rsidRPr="004D7A7B" w:rsidRDefault="004D7A7B" w:rsidP="004D7A7B">
            <w:pPr>
              <w:jc w:val="right"/>
              <w:rPr>
                <w:sz w:val="22"/>
                <w:szCs w:val="22"/>
              </w:rPr>
            </w:pPr>
          </w:p>
        </w:tc>
        <w:tc>
          <w:tcPr>
            <w:tcW w:w="1559" w:type="dxa"/>
          </w:tcPr>
          <w:p w14:paraId="11227329" w14:textId="77777777" w:rsidR="004D7A7B" w:rsidRDefault="004D7A7B" w:rsidP="004D7A7B">
            <w:pPr>
              <w:spacing w:after="0"/>
              <w:jc w:val="right"/>
              <w:rPr>
                <w:rFonts w:cs="Calibri"/>
                <w:color w:val="000000"/>
                <w:sz w:val="22"/>
                <w:szCs w:val="22"/>
              </w:rPr>
            </w:pPr>
            <w:r>
              <w:rPr>
                <w:rFonts w:cs="Calibri"/>
                <w:color w:val="000000"/>
                <w:sz w:val="22"/>
                <w:szCs w:val="22"/>
                <w:lang w:val="ga"/>
              </w:rPr>
              <w:t>16</w:t>
            </w:r>
          </w:p>
          <w:p w14:paraId="7FB49EC5" w14:textId="3047EB7D" w:rsidR="004D7A7B" w:rsidRPr="004D7A7B" w:rsidRDefault="004D7A7B" w:rsidP="004D7A7B">
            <w:pPr>
              <w:jc w:val="right"/>
              <w:rPr>
                <w:sz w:val="22"/>
                <w:szCs w:val="22"/>
              </w:rPr>
            </w:pPr>
          </w:p>
        </w:tc>
        <w:tc>
          <w:tcPr>
            <w:tcW w:w="1545" w:type="dxa"/>
          </w:tcPr>
          <w:p w14:paraId="2D10C296" w14:textId="77777777" w:rsidR="004D7A7B" w:rsidRDefault="004D7A7B" w:rsidP="004D7A7B">
            <w:pPr>
              <w:spacing w:after="0"/>
              <w:jc w:val="right"/>
              <w:rPr>
                <w:rFonts w:cs="Calibri"/>
                <w:color w:val="000000"/>
                <w:sz w:val="22"/>
                <w:szCs w:val="22"/>
              </w:rPr>
            </w:pPr>
            <w:r>
              <w:rPr>
                <w:rFonts w:cs="Calibri"/>
                <w:color w:val="000000"/>
                <w:sz w:val="22"/>
                <w:szCs w:val="22"/>
                <w:lang w:val="ga"/>
              </w:rPr>
              <w:t>4.4%</w:t>
            </w:r>
          </w:p>
          <w:p w14:paraId="4F3BEEC4" w14:textId="35D7BBAF" w:rsidR="004D7A7B" w:rsidRPr="004D7A7B" w:rsidRDefault="004D7A7B" w:rsidP="004D7A7B">
            <w:pPr>
              <w:jc w:val="right"/>
              <w:rPr>
                <w:sz w:val="22"/>
                <w:szCs w:val="22"/>
              </w:rPr>
            </w:pPr>
          </w:p>
        </w:tc>
      </w:tr>
      <w:tr w:rsidR="004D7A7B" w:rsidRPr="00611BF3" w14:paraId="012921D7" w14:textId="77777777" w:rsidTr="0072284B">
        <w:trPr>
          <w:jc w:val="center"/>
        </w:trPr>
        <w:tc>
          <w:tcPr>
            <w:tcW w:w="1853" w:type="dxa"/>
          </w:tcPr>
          <w:p w14:paraId="0BEC63BD" w14:textId="60049E81" w:rsidR="004D7A7B" w:rsidRPr="004D7A7B" w:rsidRDefault="004D7A7B" w:rsidP="004D7A7B">
            <w:pPr>
              <w:rPr>
                <w:sz w:val="22"/>
                <w:szCs w:val="22"/>
              </w:rPr>
            </w:pPr>
            <w:r>
              <w:rPr>
                <w:rFonts w:cs="Calibri"/>
                <w:color w:val="000000"/>
                <w:sz w:val="22"/>
                <w:szCs w:val="22"/>
                <w:lang w:val="ga"/>
              </w:rPr>
              <w:t>An Bord Taighde Sláinte</w:t>
            </w:r>
          </w:p>
        </w:tc>
        <w:tc>
          <w:tcPr>
            <w:tcW w:w="1842" w:type="dxa"/>
          </w:tcPr>
          <w:p w14:paraId="06BAF5F2" w14:textId="52196D81" w:rsidR="004D7A7B" w:rsidRPr="004D7A7B" w:rsidRDefault="004D7A7B" w:rsidP="004D7A7B">
            <w:pPr>
              <w:jc w:val="right"/>
              <w:rPr>
                <w:sz w:val="22"/>
                <w:szCs w:val="22"/>
              </w:rPr>
            </w:pPr>
            <w:r>
              <w:rPr>
                <w:rFonts w:cs="Calibri"/>
                <w:color w:val="000000"/>
                <w:sz w:val="22"/>
                <w:szCs w:val="22"/>
                <w:lang w:val="ga"/>
              </w:rPr>
              <w:t>87</w:t>
            </w:r>
          </w:p>
        </w:tc>
        <w:tc>
          <w:tcPr>
            <w:tcW w:w="1560" w:type="dxa"/>
          </w:tcPr>
          <w:p w14:paraId="4D7A05CD" w14:textId="4C528818" w:rsidR="004D7A7B" w:rsidRPr="004D7A7B" w:rsidRDefault="004D7A7B" w:rsidP="004D7A7B">
            <w:pPr>
              <w:jc w:val="right"/>
              <w:rPr>
                <w:sz w:val="22"/>
                <w:szCs w:val="22"/>
              </w:rPr>
            </w:pPr>
            <w:r>
              <w:rPr>
                <w:rFonts w:cs="Calibri"/>
                <w:color w:val="000000"/>
                <w:sz w:val="22"/>
                <w:szCs w:val="22"/>
                <w:lang w:val="ga"/>
              </w:rPr>
              <w:t>5</w:t>
            </w:r>
          </w:p>
        </w:tc>
        <w:tc>
          <w:tcPr>
            <w:tcW w:w="1544" w:type="dxa"/>
          </w:tcPr>
          <w:p w14:paraId="5D3D6ED9" w14:textId="36759804" w:rsidR="004D7A7B" w:rsidRPr="004D7A7B" w:rsidRDefault="004D7A7B" w:rsidP="004D7A7B">
            <w:pPr>
              <w:jc w:val="right"/>
              <w:rPr>
                <w:sz w:val="22"/>
                <w:szCs w:val="22"/>
              </w:rPr>
            </w:pPr>
            <w:r>
              <w:rPr>
                <w:rFonts w:cs="Calibri"/>
                <w:color w:val="000000"/>
                <w:sz w:val="22"/>
                <w:szCs w:val="22"/>
                <w:lang w:val="ga"/>
              </w:rPr>
              <w:t>5.7%</w:t>
            </w:r>
          </w:p>
        </w:tc>
        <w:tc>
          <w:tcPr>
            <w:tcW w:w="1291" w:type="dxa"/>
          </w:tcPr>
          <w:p w14:paraId="35354C9F" w14:textId="77777777" w:rsidR="004D7A7B" w:rsidRDefault="004D7A7B" w:rsidP="004D7A7B">
            <w:pPr>
              <w:spacing w:after="0"/>
              <w:jc w:val="right"/>
              <w:rPr>
                <w:rFonts w:cs="Calibri"/>
                <w:color w:val="000000"/>
                <w:sz w:val="22"/>
                <w:szCs w:val="22"/>
              </w:rPr>
            </w:pPr>
            <w:r>
              <w:rPr>
                <w:rFonts w:cs="Calibri"/>
                <w:color w:val="000000"/>
                <w:sz w:val="22"/>
                <w:szCs w:val="22"/>
                <w:lang w:val="ga"/>
              </w:rPr>
              <w:t>97</w:t>
            </w:r>
          </w:p>
          <w:p w14:paraId="18D271D2" w14:textId="0A157E7A" w:rsidR="004D7A7B" w:rsidRPr="004D7A7B" w:rsidRDefault="004D7A7B" w:rsidP="004D7A7B">
            <w:pPr>
              <w:jc w:val="right"/>
              <w:rPr>
                <w:sz w:val="22"/>
                <w:szCs w:val="22"/>
              </w:rPr>
            </w:pPr>
          </w:p>
        </w:tc>
        <w:tc>
          <w:tcPr>
            <w:tcW w:w="1559" w:type="dxa"/>
          </w:tcPr>
          <w:p w14:paraId="0596549D" w14:textId="77777777" w:rsidR="004D7A7B" w:rsidRDefault="004D7A7B" w:rsidP="004D7A7B">
            <w:pPr>
              <w:spacing w:after="0"/>
              <w:jc w:val="right"/>
              <w:rPr>
                <w:rFonts w:cs="Calibri"/>
                <w:color w:val="000000"/>
                <w:sz w:val="22"/>
                <w:szCs w:val="22"/>
              </w:rPr>
            </w:pPr>
            <w:r>
              <w:rPr>
                <w:rFonts w:cs="Calibri"/>
                <w:color w:val="000000"/>
                <w:sz w:val="22"/>
                <w:szCs w:val="22"/>
                <w:lang w:val="ga"/>
              </w:rPr>
              <w:t>10</w:t>
            </w:r>
          </w:p>
          <w:p w14:paraId="5C6549D9" w14:textId="0D9E39A1" w:rsidR="004D7A7B" w:rsidRPr="004D7A7B" w:rsidRDefault="004D7A7B" w:rsidP="004D7A7B">
            <w:pPr>
              <w:jc w:val="right"/>
              <w:rPr>
                <w:sz w:val="22"/>
                <w:szCs w:val="22"/>
              </w:rPr>
            </w:pPr>
          </w:p>
        </w:tc>
        <w:tc>
          <w:tcPr>
            <w:tcW w:w="1545" w:type="dxa"/>
          </w:tcPr>
          <w:p w14:paraId="7A9CA5EF" w14:textId="77777777" w:rsidR="004D7A7B" w:rsidRDefault="004D7A7B" w:rsidP="004D7A7B">
            <w:pPr>
              <w:spacing w:after="0"/>
              <w:jc w:val="right"/>
              <w:rPr>
                <w:rFonts w:cs="Calibri"/>
                <w:color w:val="000000"/>
                <w:sz w:val="22"/>
                <w:szCs w:val="22"/>
              </w:rPr>
            </w:pPr>
            <w:r>
              <w:rPr>
                <w:rFonts w:cs="Calibri"/>
                <w:color w:val="000000"/>
                <w:sz w:val="22"/>
                <w:szCs w:val="22"/>
                <w:lang w:val="ga"/>
              </w:rPr>
              <w:t>10.3%</w:t>
            </w:r>
          </w:p>
          <w:p w14:paraId="34CEEB64" w14:textId="7712218E" w:rsidR="004D7A7B" w:rsidRPr="004D7A7B" w:rsidRDefault="004D7A7B" w:rsidP="004D7A7B">
            <w:pPr>
              <w:jc w:val="right"/>
              <w:rPr>
                <w:sz w:val="22"/>
                <w:szCs w:val="22"/>
              </w:rPr>
            </w:pPr>
          </w:p>
        </w:tc>
      </w:tr>
      <w:tr w:rsidR="004D7A7B" w:rsidRPr="004D7A7B" w14:paraId="3B62D135" w14:textId="77777777" w:rsidTr="0072284B">
        <w:trPr>
          <w:jc w:val="center"/>
        </w:trPr>
        <w:tc>
          <w:tcPr>
            <w:tcW w:w="1853" w:type="dxa"/>
          </w:tcPr>
          <w:p w14:paraId="665C86F4" w14:textId="2C41960D" w:rsidR="004D7A7B" w:rsidRPr="004D7A7B" w:rsidRDefault="004D7A7B" w:rsidP="004D7A7B">
            <w:pPr>
              <w:rPr>
                <w:sz w:val="22"/>
                <w:szCs w:val="22"/>
              </w:rPr>
            </w:pPr>
            <w:r>
              <w:rPr>
                <w:rFonts w:cs="Calibri"/>
                <w:color w:val="000000"/>
                <w:sz w:val="22"/>
                <w:szCs w:val="22"/>
                <w:lang w:val="ga"/>
              </w:rPr>
              <w:t>Feidhmeannacht na Seirbhíse Sláinte</w:t>
            </w:r>
          </w:p>
        </w:tc>
        <w:tc>
          <w:tcPr>
            <w:tcW w:w="1842" w:type="dxa"/>
          </w:tcPr>
          <w:p w14:paraId="06B22273" w14:textId="0984BC70" w:rsidR="004D7A7B" w:rsidRPr="004D7A7B" w:rsidRDefault="004D7A7B" w:rsidP="004D7A7B">
            <w:pPr>
              <w:jc w:val="right"/>
              <w:rPr>
                <w:sz w:val="22"/>
                <w:szCs w:val="22"/>
              </w:rPr>
            </w:pPr>
            <w:r>
              <w:rPr>
                <w:rFonts w:cs="Calibri"/>
                <w:color w:val="000000"/>
                <w:sz w:val="22"/>
                <w:szCs w:val="22"/>
                <w:lang w:val="ga"/>
              </w:rPr>
              <w:t>96,675</w:t>
            </w:r>
          </w:p>
        </w:tc>
        <w:tc>
          <w:tcPr>
            <w:tcW w:w="1560" w:type="dxa"/>
          </w:tcPr>
          <w:p w14:paraId="7AE04727" w14:textId="12E111AA" w:rsidR="004D7A7B" w:rsidRPr="004D7A7B" w:rsidRDefault="004D7A7B" w:rsidP="004D7A7B">
            <w:pPr>
              <w:jc w:val="right"/>
              <w:rPr>
                <w:sz w:val="22"/>
                <w:szCs w:val="22"/>
              </w:rPr>
            </w:pPr>
            <w:r>
              <w:rPr>
                <w:rFonts w:cs="Calibri"/>
                <w:color w:val="000000"/>
                <w:sz w:val="22"/>
                <w:szCs w:val="22"/>
                <w:lang w:val="ga"/>
              </w:rPr>
              <w:t>1,508</w:t>
            </w:r>
          </w:p>
        </w:tc>
        <w:tc>
          <w:tcPr>
            <w:tcW w:w="1544" w:type="dxa"/>
          </w:tcPr>
          <w:p w14:paraId="091697E9" w14:textId="4DCBA2A2" w:rsidR="004D7A7B" w:rsidRPr="004D7A7B" w:rsidRDefault="004D7A7B" w:rsidP="004D7A7B">
            <w:pPr>
              <w:jc w:val="right"/>
              <w:rPr>
                <w:sz w:val="22"/>
                <w:szCs w:val="22"/>
              </w:rPr>
            </w:pPr>
            <w:r>
              <w:rPr>
                <w:rFonts w:cs="Calibri"/>
                <w:color w:val="000000"/>
                <w:sz w:val="22"/>
                <w:szCs w:val="22"/>
                <w:lang w:val="ga"/>
              </w:rPr>
              <w:t>1.6%</w:t>
            </w:r>
          </w:p>
        </w:tc>
        <w:tc>
          <w:tcPr>
            <w:tcW w:w="1291" w:type="dxa"/>
          </w:tcPr>
          <w:p w14:paraId="36BC7D30" w14:textId="77777777" w:rsidR="004D7A7B" w:rsidRDefault="004D7A7B" w:rsidP="004D7A7B">
            <w:pPr>
              <w:spacing w:after="0"/>
              <w:jc w:val="right"/>
              <w:rPr>
                <w:rFonts w:cs="Calibri"/>
                <w:color w:val="000000"/>
                <w:sz w:val="22"/>
                <w:szCs w:val="22"/>
              </w:rPr>
            </w:pPr>
            <w:r>
              <w:rPr>
                <w:rFonts w:cs="Calibri"/>
                <w:color w:val="000000"/>
                <w:sz w:val="22"/>
                <w:szCs w:val="22"/>
                <w:lang w:val="ga"/>
              </w:rPr>
              <w:t>101020</w:t>
            </w:r>
          </w:p>
          <w:p w14:paraId="42CE791F" w14:textId="656FD093" w:rsidR="004D7A7B" w:rsidRPr="004D7A7B" w:rsidRDefault="004D7A7B" w:rsidP="004D7A7B">
            <w:pPr>
              <w:jc w:val="right"/>
              <w:rPr>
                <w:sz w:val="22"/>
                <w:szCs w:val="22"/>
              </w:rPr>
            </w:pPr>
          </w:p>
        </w:tc>
        <w:tc>
          <w:tcPr>
            <w:tcW w:w="1559" w:type="dxa"/>
          </w:tcPr>
          <w:p w14:paraId="4535797F" w14:textId="77777777" w:rsidR="004D7A7B" w:rsidRDefault="004D7A7B" w:rsidP="004D7A7B">
            <w:pPr>
              <w:spacing w:after="0"/>
              <w:jc w:val="right"/>
              <w:rPr>
                <w:rFonts w:cs="Calibri"/>
                <w:color w:val="000000"/>
                <w:sz w:val="22"/>
                <w:szCs w:val="22"/>
              </w:rPr>
            </w:pPr>
            <w:r>
              <w:rPr>
                <w:rFonts w:cs="Calibri"/>
                <w:color w:val="000000"/>
                <w:sz w:val="22"/>
                <w:szCs w:val="22"/>
                <w:lang w:val="ga"/>
              </w:rPr>
              <w:t>2331</w:t>
            </w:r>
          </w:p>
          <w:p w14:paraId="06096BF0" w14:textId="5516C426" w:rsidR="004D7A7B" w:rsidRPr="004D7A7B" w:rsidRDefault="004D7A7B" w:rsidP="004D7A7B">
            <w:pPr>
              <w:jc w:val="right"/>
              <w:rPr>
                <w:sz w:val="22"/>
                <w:szCs w:val="22"/>
              </w:rPr>
            </w:pPr>
          </w:p>
        </w:tc>
        <w:tc>
          <w:tcPr>
            <w:tcW w:w="1545" w:type="dxa"/>
          </w:tcPr>
          <w:p w14:paraId="56C2F4A3" w14:textId="77777777" w:rsidR="004D7A7B" w:rsidRDefault="004D7A7B" w:rsidP="004D7A7B">
            <w:pPr>
              <w:spacing w:after="0"/>
              <w:jc w:val="right"/>
              <w:rPr>
                <w:rFonts w:cs="Calibri"/>
                <w:color w:val="000000"/>
                <w:sz w:val="22"/>
                <w:szCs w:val="22"/>
              </w:rPr>
            </w:pPr>
            <w:r>
              <w:rPr>
                <w:rFonts w:cs="Calibri"/>
                <w:color w:val="000000"/>
                <w:sz w:val="22"/>
                <w:szCs w:val="22"/>
                <w:lang w:val="ga"/>
              </w:rPr>
              <w:t>2.3%</w:t>
            </w:r>
          </w:p>
          <w:p w14:paraId="327E8937" w14:textId="2B14B955" w:rsidR="004D7A7B" w:rsidRPr="004D7A7B" w:rsidRDefault="004D7A7B" w:rsidP="004D7A7B">
            <w:pPr>
              <w:jc w:val="right"/>
              <w:rPr>
                <w:sz w:val="22"/>
                <w:szCs w:val="22"/>
              </w:rPr>
            </w:pPr>
          </w:p>
        </w:tc>
      </w:tr>
      <w:tr w:rsidR="004D7A7B" w:rsidRPr="004D7A7B" w14:paraId="1AD3BA95" w14:textId="77777777" w:rsidTr="0072284B">
        <w:trPr>
          <w:jc w:val="center"/>
        </w:trPr>
        <w:tc>
          <w:tcPr>
            <w:tcW w:w="1853" w:type="dxa"/>
          </w:tcPr>
          <w:p w14:paraId="15BCE3E8" w14:textId="6B264CBB" w:rsidR="004D7A7B" w:rsidRPr="004D7A7B" w:rsidRDefault="004D7A7B" w:rsidP="004D7A7B">
            <w:pPr>
              <w:rPr>
                <w:sz w:val="22"/>
                <w:szCs w:val="22"/>
              </w:rPr>
            </w:pPr>
            <w:r>
              <w:rPr>
                <w:rFonts w:cs="Calibri"/>
                <w:color w:val="000000"/>
                <w:sz w:val="22"/>
                <w:szCs w:val="22"/>
                <w:lang w:val="ga"/>
              </w:rPr>
              <w:t>An Institiúid um Shláinte Phoiblí</w:t>
            </w:r>
          </w:p>
        </w:tc>
        <w:tc>
          <w:tcPr>
            <w:tcW w:w="1842" w:type="dxa"/>
          </w:tcPr>
          <w:p w14:paraId="0A7FEF6F" w14:textId="439E0CF2" w:rsidR="004D7A7B" w:rsidRPr="004D7A7B" w:rsidRDefault="004D7A7B" w:rsidP="004D7A7B">
            <w:pPr>
              <w:jc w:val="right"/>
              <w:rPr>
                <w:sz w:val="22"/>
                <w:szCs w:val="22"/>
              </w:rPr>
            </w:pPr>
            <w:r>
              <w:rPr>
                <w:rFonts w:cs="Calibri"/>
                <w:color w:val="000000"/>
                <w:sz w:val="22"/>
                <w:szCs w:val="22"/>
                <w:lang w:val="ga"/>
              </w:rPr>
              <w:t>21</w:t>
            </w:r>
          </w:p>
        </w:tc>
        <w:tc>
          <w:tcPr>
            <w:tcW w:w="1560" w:type="dxa"/>
          </w:tcPr>
          <w:p w14:paraId="691138FB" w14:textId="02E63466" w:rsidR="004D7A7B" w:rsidRPr="004D7A7B" w:rsidRDefault="004D7A7B" w:rsidP="004D7A7B">
            <w:pPr>
              <w:jc w:val="right"/>
              <w:rPr>
                <w:sz w:val="22"/>
                <w:szCs w:val="22"/>
              </w:rPr>
            </w:pPr>
            <w:r>
              <w:rPr>
                <w:rFonts w:cs="Calibri"/>
                <w:color w:val="000000"/>
                <w:sz w:val="22"/>
                <w:szCs w:val="22"/>
                <w:lang w:val="ga"/>
              </w:rPr>
              <w:t>3</w:t>
            </w:r>
          </w:p>
        </w:tc>
        <w:tc>
          <w:tcPr>
            <w:tcW w:w="1544" w:type="dxa"/>
          </w:tcPr>
          <w:p w14:paraId="54C3F636" w14:textId="215E0406" w:rsidR="004D7A7B" w:rsidRPr="004D7A7B" w:rsidRDefault="004D7A7B" w:rsidP="004D7A7B">
            <w:pPr>
              <w:jc w:val="right"/>
              <w:rPr>
                <w:sz w:val="22"/>
                <w:szCs w:val="22"/>
              </w:rPr>
            </w:pPr>
            <w:r>
              <w:rPr>
                <w:rFonts w:cs="Calibri"/>
                <w:color w:val="000000"/>
                <w:sz w:val="22"/>
                <w:szCs w:val="22"/>
                <w:lang w:val="ga"/>
              </w:rPr>
              <w:t>14.3%</w:t>
            </w:r>
          </w:p>
        </w:tc>
        <w:tc>
          <w:tcPr>
            <w:tcW w:w="1291" w:type="dxa"/>
          </w:tcPr>
          <w:p w14:paraId="54022734" w14:textId="77777777" w:rsidR="004D7A7B" w:rsidRDefault="004D7A7B" w:rsidP="004D7A7B">
            <w:pPr>
              <w:spacing w:after="0"/>
              <w:jc w:val="right"/>
              <w:rPr>
                <w:rFonts w:cs="Calibri"/>
                <w:color w:val="000000"/>
                <w:sz w:val="22"/>
                <w:szCs w:val="22"/>
              </w:rPr>
            </w:pPr>
            <w:r>
              <w:rPr>
                <w:rFonts w:cs="Calibri"/>
                <w:color w:val="000000"/>
                <w:sz w:val="22"/>
                <w:szCs w:val="22"/>
                <w:lang w:val="ga"/>
              </w:rPr>
              <w:t>19</w:t>
            </w:r>
          </w:p>
          <w:p w14:paraId="7CC94736" w14:textId="3972AFA6" w:rsidR="004D7A7B" w:rsidRPr="004D7A7B" w:rsidRDefault="004D7A7B" w:rsidP="004D7A7B">
            <w:pPr>
              <w:jc w:val="right"/>
              <w:rPr>
                <w:sz w:val="22"/>
                <w:szCs w:val="22"/>
              </w:rPr>
            </w:pPr>
          </w:p>
        </w:tc>
        <w:tc>
          <w:tcPr>
            <w:tcW w:w="1559" w:type="dxa"/>
          </w:tcPr>
          <w:p w14:paraId="1EE25C26" w14:textId="77777777" w:rsidR="004D7A7B" w:rsidRDefault="004D7A7B" w:rsidP="004D7A7B">
            <w:pPr>
              <w:spacing w:after="0"/>
              <w:jc w:val="right"/>
              <w:rPr>
                <w:rFonts w:cs="Calibri"/>
                <w:color w:val="000000"/>
                <w:sz w:val="22"/>
                <w:szCs w:val="22"/>
              </w:rPr>
            </w:pPr>
            <w:r>
              <w:rPr>
                <w:rFonts w:cs="Calibri"/>
                <w:color w:val="000000"/>
                <w:sz w:val="22"/>
                <w:szCs w:val="22"/>
                <w:lang w:val="ga"/>
              </w:rPr>
              <w:t>3</w:t>
            </w:r>
          </w:p>
          <w:p w14:paraId="50BDDB67" w14:textId="0A5351B8" w:rsidR="004D7A7B" w:rsidRPr="004D7A7B" w:rsidRDefault="004D7A7B" w:rsidP="004D7A7B">
            <w:pPr>
              <w:jc w:val="right"/>
              <w:rPr>
                <w:sz w:val="22"/>
                <w:szCs w:val="22"/>
              </w:rPr>
            </w:pPr>
          </w:p>
        </w:tc>
        <w:tc>
          <w:tcPr>
            <w:tcW w:w="1545" w:type="dxa"/>
          </w:tcPr>
          <w:p w14:paraId="2DCD11AD" w14:textId="77777777" w:rsidR="004D7A7B" w:rsidRDefault="004D7A7B" w:rsidP="004D7A7B">
            <w:pPr>
              <w:spacing w:after="0"/>
              <w:jc w:val="right"/>
              <w:rPr>
                <w:rFonts w:cs="Calibri"/>
                <w:color w:val="000000"/>
                <w:sz w:val="22"/>
                <w:szCs w:val="22"/>
              </w:rPr>
            </w:pPr>
            <w:r>
              <w:rPr>
                <w:rFonts w:cs="Calibri"/>
                <w:color w:val="000000"/>
                <w:sz w:val="22"/>
                <w:szCs w:val="22"/>
                <w:lang w:val="ga"/>
              </w:rPr>
              <w:t>15.8%</w:t>
            </w:r>
          </w:p>
          <w:p w14:paraId="1E96D0C4" w14:textId="0DA19164" w:rsidR="004D7A7B" w:rsidRPr="004D7A7B" w:rsidRDefault="004D7A7B" w:rsidP="004D7A7B">
            <w:pPr>
              <w:jc w:val="right"/>
              <w:rPr>
                <w:sz w:val="22"/>
                <w:szCs w:val="22"/>
              </w:rPr>
            </w:pPr>
          </w:p>
        </w:tc>
      </w:tr>
      <w:tr w:rsidR="006F2FFB" w:rsidRPr="004D7A7B" w14:paraId="10C5B3BA" w14:textId="77777777" w:rsidTr="0072284B">
        <w:trPr>
          <w:jc w:val="center"/>
        </w:trPr>
        <w:tc>
          <w:tcPr>
            <w:tcW w:w="1853" w:type="dxa"/>
          </w:tcPr>
          <w:p w14:paraId="40958E90" w14:textId="375AA43C" w:rsidR="006F2FFB" w:rsidRPr="004D7A7B" w:rsidRDefault="006F2FFB" w:rsidP="006F2FFB">
            <w:pPr>
              <w:rPr>
                <w:sz w:val="22"/>
                <w:szCs w:val="22"/>
              </w:rPr>
            </w:pPr>
            <w:r>
              <w:rPr>
                <w:rFonts w:cs="Calibri"/>
                <w:color w:val="000000"/>
                <w:sz w:val="22"/>
                <w:szCs w:val="22"/>
                <w:lang w:val="ga"/>
              </w:rPr>
              <w:t>Seirbhís Fuilaistriúcháin na hÉireann</w:t>
            </w:r>
          </w:p>
        </w:tc>
        <w:tc>
          <w:tcPr>
            <w:tcW w:w="1842" w:type="dxa"/>
          </w:tcPr>
          <w:p w14:paraId="448AEEA6" w14:textId="0F5D4BFF" w:rsidR="006F2FFB" w:rsidRPr="004D7A7B" w:rsidRDefault="006F2FFB" w:rsidP="006F2FFB">
            <w:pPr>
              <w:jc w:val="right"/>
              <w:rPr>
                <w:sz w:val="22"/>
                <w:szCs w:val="22"/>
              </w:rPr>
            </w:pPr>
            <w:r>
              <w:rPr>
                <w:rFonts w:cs="Calibri"/>
                <w:color w:val="000000"/>
                <w:sz w:val="22"/>
                <w:szCs w:val="22"/>
                <w:lang w:val="ga"/>
              </w:rPr>
              <w:t>573</w:t>
            </w:r>
          </w:p>
        </w:tc>
        <w:tc>
          <w:tcPr>
            <w:tcW w:w="1560" w:type="dxa"/>
          </w:tcPr>
          <w:p w14:paraId="20F222F5" w14:textId="6F13A46A" w:rsidR="006F2FFB" w:rsidRPr="004D7A7B" w:rsidRDefault="006F2FFB" w:rsidP="006F2FFB">
            <w:pPr>
              <w:jc w:val="right"/>
              <w:rPr>
                <w:sz w:val="22"/>
                <w:szCs w:val="22"/>
              </w:rPr>
            </w:pPr>
            <w:r>
              <w:rPr>
                <w:rFonts w:cs="Calibri"/>
                <w:color w:val="000000"/>
                <w:sz w:val="22"/>
                <w:szCs w:val="22"/>
                <w:lang w:val="ga"/>
              </w:rPr>
              <w:t>16</w:t>
            </w:r>
          </w:p>
        </w:tc>
        <w:tc>
          <w:tcPr>
            <w:tcW w:w="1544" w:type="dxa"/>
          </w:tcPr>
          <w:p w14:paraId="0433E3E1" w14:textId="4E6D4FFD" w:rsidR="006F2FFB" w:rsidRPr="004D7A7B" w:rsidRDefault="006F2FFB" w:rsidP="006F2FFB">
            <w:pPr>
              <w:jc w:val="right"/>
              <w:rPr>
                <w:sz w:val="22"/>
                <w:szCs w:val="22"/>
              </w:rPr>
            </w:pPr>
            <w:r>
              <w:rPr>
                <w:rFonts w:cs="Calibri"/>
                <w:color w:val="000000"/>
                <w:sz w:val="22"/>
                <w:szCs w:val="22"/>
                <w:lang w:val="ga"/>
              </w:rPr>
              <w:t>2.8%</w:t>
            </w:r>
          </w:p>
        </w:tc>
        <w:tc>
          <w:tcPr>
            <w:tcW w:w="1291" w:type="dxa"/>
          </w:tcPr>
          <w:p w14:paraId="55B9DE2B" w14:textId="3061E661" w:rsidR="006F2FFB" w:rsidRPr="004D7A7B" w:rsidRDefault="006F2FFB" w:rsidP="006F2FFB">
            <w:pPr>
              <w:jc w:val="right"/>
              <w:rPr>
                <w:sz w:val="22"/>
                <w:szCs w:val="22"/>
              </w:rPr>
            </w:pPr>
            <w:r>
              <w:rPr>
                <w:rFonts w:cs="Calibri"/>
                <w:color w:val="000000"/>
                <w:sz w:val="22"/>
                <w:szCs w:val="22"/>
                <w:lang w:val="ga"/>
              </w:rPr>
              <w:t>592</w:t>
            </w:r>
          </w:p>
        </w:tc>
        <w:tc>
          <w:tcPr>
            <w:tcW w:w="1559" w:type="dxa"/>
          </w:tcPr>
          <w:p w14:paraId="568CF0A3" w14:textId="603463B9" w:rsidR="006F2FFB" w:rsidRPr="004D7A7B" w:rsidRDefault="006F2FFB" w:rsidP="006F2FFB">
            <w:pPr>
              <w:jc w:val="right"/>
              <w:rPr>
                <w:sz w:val="22"/>
                <w:szCs w:val="22"/>
              </w:rPr>
            </w:pPr>
            <w:r>
              <w:rPr>
                <w:rFonts w:cs="Calibri"/>
                <w:color w:val="000000"/>
                <w:sz w:val="22"/>
                <w:szCs w:val="22"/>
                <w:lang w:val="ga"/>
              </w:rPr>
              <w:t>24</w:t>
            </w:r>
          </w:p>
        </w:tc>
        <w:tc>
          <w:tcPr>
            <w:tcW w:w="1545" w:type="dxa"/>
          </w:tcPr>
          <w:p w14:paraId="77F86EF5" w14:textId="1F8B965A" w:rsidR="006F2FFB" w:rsidRPr="004D7A7B" w:rsidRDefault="006F2FFB" w:rsidP="006F2FFB">
            <w:pPr>
              <w:jc w:val="right"/>
              <w:rPr>
                <w:sz w:val="22"/>
                <w:szCs w:val="22"/>
              </w:rPr>
            </w:pPr>
            <w:r>
              <w:rPr>
                <w:rFonts w:cs="Calibri"/>
                <w:color w:val="000000"/>
                <w:sz w:val="22"/>
                <w:szCs w:val="22"/>
                <w:lang w:val="ga"/>
              </w:rPr>
              <w:t>4.1%</w:t>
            </w:r>
          </w:p>
        </w:tc>
      </w:tr>
      <w:tr w:rsidR="006F2FFB" w:rsidRPr="004D7A7B" w14:paraId="244C8F33" w14:textId="77777777" w:rsidTr="0072284B">
        <w:trPr>
          <w:jc w:val="center"/>
        </w:trPr>
        <w:tc>
          <w:tcPr>
            <w:tcW w:w="1853" w:type="dxa"/>
          </w:tcPr>
          <w:p w14:paraId="327BCE87" w14:textId="2B5B66D8" w:rsidR="006F2FFB" w:rsidRPr="004D7A7B" w:rsidRDefault="006F2FFB" w:rsidP="006F2FFB">
            <w:pPr>
              <w:rPr>
                <w:sz w:val="22"/>
                <w:szCs w:val="22"/>
              </w:rPr>
            </w:pPr>
            <w:r>
              <w:rPr>
                <w:rFonts w:cs="Calibri"/>
                <w:color w:val="000000"/>
                <w:sz w:val="22"/>
                <w:szCs w:val="22"/>
                <w:lang w:val="ga"/>
              </w:rPr>
              <w:t>Ospidéal Pháirc Bhaile na Lobhar</w:t>
            </w:r>
          </w:p>
        </w:tc>
        <w:tc>
          <w:tcPr>
            <w:tcW w:w="1842" w:type="dxa"/>
          </w:tcPr>
          <w:p w14:paraId="52AEE663" w14:textId="3CF1DE16" w:rsidR="006F2FFB" w:rsidRPr="004D7A7B" w:rsidRDefault="006F2FFB" w:rsidP="006F2FFB">
            <w:pPr>
              <w:jc w:val="right"/>
              <w:rPr>
                <w:sz w:val="22"/>
                <w:szCs w:val="22"/>
              </w:rPr>
            </w:pPr>
            <w:r>
              <w:rPr>
                <w:rFonts w:cs="Calibri"/>
                <w:color w:val="000000"/>
                <w:sz w:val="22"/>
                <w:szCs w:val="22"/>
                <w:lang w:val="ga"/>
              </w:rPr>
              <w:t>240</w:t>
            </w:r>
          </w:p>
        </w:tc>
        <w:tc>
          <w:tcPr>
            <w:tcW w:w="1560" w:type="dxa"/>
          </w:tcPr>
          <w:p w14:paraId="1AC93989" w14:textId="63668FC3" w:rsidR="006F2FFB" w:rsidRPr="004D7A7B" w:rsidRDefault="006F2FFB" w:rsidP="006F2FFB">
            <w:pPr>
              <w:jc w:val="right"/>
              <w:rPr>
                <w:sz w:val="22"/>
                <w:szCs w:val="22"/>
              </w:rPr>
            </w:pPr>
            <w:r>
              <w:rPr>
                <w:rFonts w:cs="Calibri"/>
                <w:color w:val="000000"/>
                <w:sz w:val="22"/>
                <w:szCs w:val="22"/>
                <w:lang w:val="ga"/>
              </w:rPr>
              <w:t>13</w:t>
            </w:r>
          </w:p>
        </w:tc>
        <w:tc>
          <w:tcPr>
            <w:tcW w:w="1544" w:type="dxa"/>
          </w:tcPr>
          <w:p w14:paraId="34B100E1" w14:textId="30B56206" w:rsidR="006F2FFB" w:rsidRPr="004D7A7B" w:rsidRDefault="006F2FFB" w:rsidP="006F2FFB">
            <w:pPr>
              <w:jc w:val="right"/>
              <w:rPr>
                <w:sz w:val="22"/>
                <w:szCs w:val="22"/>
              </w:rPr>
            </w:pPr>
            <w:r>
              <w:rPr>
                <w:rFonts w:cs="Calibri"/>
                <w:color w:val="000000"/>
                <w:sz w:val="22"/>
                <w:szCs w:val="22"/>
                <w:lang w:val="ga"/>
              </w:rPr>
              <w:t>5.4%</w:t>
            </w:r>
          </w:p>
        </w:tc>
        <w:tc>
          <w:tcPr>
            <w:tcW w:w="1291" w:type="dxa"/>
          </w:tcPr>
          <w:p w14:paraId="057B95DA" w14:textId="36CFE96F" w:rsidR="006F2FFB" w:rsidRPr="004D7A7B" w:rsidRDefault="006F2FFB" w:rsidP="006F2FFB">
            <w:pPr>
              <w:jc w:val="right"/>
              <w:rPr>
                <w:sz w:val="22"/>
                <w:szCs w:val="22"/>
              </w:rPr>
            </w:pPr>
            <w:r>
              <w:rPr>
                <w:rFonts w:cs="Calibri"/>
                <w:color w:val="000000"/>
                <w:sz w:val="22"/>
                <w:szCs w:val="22"/>
                <w:lang w:val="ga"/>
              </w:rPr>
              <w:t>227</w:t>
            </w:r>
          </w:p>
        </w:tc>
        <w:tc>
          <w:tcPr>
            <w:tcW w:w="1559" w:type="dxa"/>
          </w:tcPr>
          <w:p w14:paraId="71308510" w14:textId="54E2AB8A" w:rsidR="006F2FFB" w:rsidRPr="004D7A7B" w:rsidRDefault="006F2FFB" w:rsidP="006F2FFB">
            <w:pPr>
              <w:jc w:val="right"/>
              <w:rPr>
                <w:sz w:val="22"/>
                <w:szCs w:val="22"/>
              </w:rPr>
            </w:pPr>
            <w:r>
              <w:rPr>
                <w:rFonts w:cs="Calibri"/>
                <w:color w:val="000000"/>
                <w:sz w:val="22"/>
                <w:szCs w:val="22"/>
                <w:lang w:val="ga"/>
              </w:rPr>
              <w:t>11</w:t>
            </w:r>
          </w:p>
        </w:tc>
        <w:tc>
          <w:tcPr>
            <w:tcW w:w="1545" w:type="dxa"/>
          </w:tcPr>
          <w:p w14:paraId="6D6DB1D8" w14:textId="4913BCB5" w:rsidR="006F2FFB" w:rsidRPr="004D7A7B" w:rsidRDefault="006F2FFB" w:rsidP="006F2FFB">
            <w:pPr>
              <w:jc w:val="right"/>
              <w:rPr>
                <w:sz w:val="22"/>
                <w:szCs w:val="22"/>
              </w:rPr>
            </w:pPr>
            <w:r>
              <w:rPr>
                <w:rFonts w:cs="Calibri"/>
                <w:color w:val="000000"/>
                <w:sz w:val="22"/>
                <w:szCs w:val="22"/>
                <w:lang w:val="ga"/>
              </w:rPr>
              <w:t>4.8%</w:t>
            </w:r>
          </w:p>
        </w:tc>
      </w:tr>
      <w:tr w:rsidR="006F2FFB" w:rsidRPr="004D7A7B" w14:paraId="01166FA5" w14:textId="77777777" w:rsidTr="0072284B">
        <w:trPr>
          <w:jc w:val="center"/>
        </w:trPr>
        <w:tc>
          <w:tcPr>
            <w:tcW w:w="1853" w:type="dxa"/>
          </w:tcPr>
          <w:p w14:paraId="6E5CB3EE" w14:textId="6C852629" w:rsidR="006F2FFB" w:rsidRPr="004D7A7B" w:rsidRDefault="006F2FFB" w:rsidP="006F2FFB">
            <w:pPr>
              <w:rPr>
                <w:sz w:val="22"/>
                <w:szCs w:val="22"/>
              </w:rPr>
            </w:pPr>
            <w:r>
              <w:rPr>
                <w:rFonts w:cs="Calibri"/>
                <w:color w:val="000000"/>
                <w:sz w:val="22"/>
                <w:szCs w:val="22"/>
                <w:lang w:val="ga"/>
              </w:rPr>
              <w:t>Comhairle na nDochtúirí Leighis</w:t>
            </w:r>
          </w:p>
        </w:tc>
        <w:tc>
          <w:tcPr>
            <w:tcW w:w="1842" w:type="dxa"/>
          </w:tcPr>
          <w:p w14:paraId="756F9C15" w14:textId="3ED1C92E" w:rsidR="006F2FFB" w:rsidRPr="004D7A7B" w:rsidRDefault="006F2FFB" w:rsidP="006F2FFB">
            <w:pPr>
              <w:jc w:val="right"/>
              <w:rPr>
                <w:sz w:val="22"/>
                <w:szCs w:val="22"/>
              </w:rPr>
            </w:pPr>
            <w:r>
              <w:rPr>
                <w:rFonts w:cs="Calibri"/>
                <w:color w:val="000000"/>
                <w:sz w:val="22"/>
                <w:szCs w:val="22"/>
                <w:lang w:val="ga"/>
              </w:rPr>
              <w:t>92</w:t>
            </w:r>
          </w:p>
        </w:tc>
        <w:tc>
          <w:tcPr>
            <w:tcW w:w="1560" w:type="dxa"/>
          </w:tcPr>
          <w:p w14:paraId="55C3BDC0" w14:textId="08FA1CC8" w:rsidR="006F2FFB" w:rsidRPr="004D7A7B" w:rsidRDefault="006F2FFB" w:rsidP="006F2FFB">
            <w:pPr>
              <w:jc w:val="right"/>
              <w:rPr>
                <w:sz w:val="22"/>
                <w:szCs w:val="22"/>
              </w:rPr>
            </w:pPr>
            <w:r>
              <w:rPr>
                <w:rFonts w:cs="Calibri"/>
                <w:color w:val="000000"/>
                <w:sz w:val="22"/>
                <w:szCs w:val="22"/>
                <w:lang w:val="ga"/>
              </w:rPr>
              <w:t>8</w:t>
            </w:r>
          </w:p>
        </w:tc>
        <w:tc>
          <w:tcPr>
            <w:tcW w:w="1544" w:type="dxa"/>
          </w:tcPr>
          <w:p w14:paraId="51534CC9" w14:textId="644377C0" w:rsidR="006F2FFB" w:rsidRPr="004D7A7B" w:rsidRDefault="006F2FFB" w:rsidP="006F2FFB">
            <w:pPr>
              <w:jc w:val="right"/>
              <w:rPr>
                <w:sz w:val="22"/>
                <w:szCs w:val="22"/>
              </w:rPr>
            </w:pPr>
            <w:r>
              <w:rPr>
                <w:rFonts w:cs="Calibri"/>
                <w:color w:val="000000"/>
                <w:sz w:val="22"/>
                <w:szCs w:val="22"/>
                <w:lang w:val="ga"/>
              </w:rPr>
              <w:t>8.7%</w:t>
            </w:r>
          </w:p>
        </w:tc>
        <w:tc>
          <w:tcPr>
            <w:tcW w:w="1291" w:type="dxa"/>
          </w:tcPr>
          <w:p w14:paraId="03B5934A" w14:textId="613B2B21" w:rsidR="006F2FFB" w:rsidRPr="004D7A7B" w:rsidRDefault="006F2FFB" w:rsidP="006F2FFB">
            <w:pPr>
              <w:jc w:val="right"/>
              <w:rPr>
                <w:sz w:val="22"/>
                <w:szCs w:val="22"/>
              </w:rPr>
            </w:pPr>
            <w:r>
              <w:rPr>
                <w:rFonts w:cs="Calibri"/>
                <w:color w:val="000000"/>
                <w:sz w:val="22"/>
                <w:szCs w:val="22"/>
                <w:lang w:val="ga"/>
              </w:rPr>
              <w:t>103</w:t>
            </w:r>
          </w:p>
        </w:tc>
        <w:tc>
          <w:tcPr>
            <w:tcW w:w="1559" w:type="dxa"/>
          </w:tcPr>
          <w:p w14:paraId="67E0304F" w14:textId="16DBA63A" w:rsidR="006F2FFB" w:rsidRPr="004D7A7B" w:rsidRDefault="006F2FFB" w:rsidP="006F2FFB">
            <w:pPr>
              <w:jc w:val="right"/>
              <w:rPr>
                <w:sz w:val="22"/>
                <w:szCs w:val="22"/>
              </w:rPr>
            </w:pPr>
            <w:r>
              <w:rPr>
                <w:rFonts w:cs="Calibri"/>
                <w:color w:val="000000"/>
                <w:sz w:val="22"/>
                <w:szCs w:val="22"/>
                <w:lang w:val="ga"/>
              </w:rPr>
              <w:t>4</w:t>
            </w:r>
          </w:p>
        </w:tc>
        <w:tc>
          <w:tcPr>
            <w:tcW w:w="1545" w:type="dxa"/>
          </w:tcPr>
          <w:p w14:paraId="1EAA29E8" w14:textId="153B4692" w:rsidR="006F2FFB" w:rsidRPr="004D7A7B" w:rsidRDefault="006F2FFB" w:rsidP="006F2FFB">
            <w:pPr>
              <w:jc w:val="right"/>
              <w:rPr>
                <w:sz w:val="22"/>
                <w:szCs w:val="22"/>
              </w:rPr>
            </w:pPr>
            <w:r>
              <w:rPr>
                <w:rFonts w:cs="Calibri"/>
                <w:color w:val="000000"/>
                <w:sz w:val="22"/>
                <w:szCs w:val="22"/>
                <w:lang w:val="ga"/>
              </w:rPr>
              <w:t>3.9%</w:t>
            </w:r>
          </w:p>
        </w:tc>
      </w:tr>
      <w:tr w:rsidR="006F2FFB" w:rsidRPr="004D7A7B" w14:paraId="220707A0" w14:textId="77777777" w:rsidTr="0072284B">
        <w:trPr>
          <w:jc w:val="center"/>
        </w:trPr>
        <w:tc>
          <w:tcPr>
            <w:tcW w:w="1853" w:type="dxa"/>
          </w:tcPr>
          <w:p w14:paraId="5FB9AD45" w14:textId="4B15EDDA" w:rsidR="006F2FFB" w:rsidRPr="004D7A7B" w:rsidRDefault="006F2FFB" w:rsidP="006F2FFB">
            <w:pPr>
              <w:rPr>
                <w:sz w:val="22"/>
                <w:szCs w:val="22"/>
              </w:rPr>
            </w:pPr>
            <w:r>
              <w:rPr>
                <w:rFonts w:cs="Calibri"/>
                <w:color w:val="000000"/>
                <w:sz w:val="22"/>
                <w:szCs w:val="22"/>
                <w:lang w:val="ga"/>
              </w:rPr>
              <w:t>An Coimisiún Meabhair-Shláinte</w:t>
            </w:r>
          </w:p>
        </w:tc>
        <w:tc>
          <w:tcPr>
            <w:tcW w:w="1842" w:type="dxa"/>
          </w:tcPr>
          <w:p w14:paraId="71390DA6" w14:textId="77E921F0" w:rsidR="006F2FFB" w:rsidRPr="004D7A7B" w:rsidRDefault="006F2FFB" w:rsidP="006F2FFB">
            <w:pPr>
              <w:jc w:val="right"/>
              <w:rPr>
                <w:sz w:val="22"/>
                <w:szCs w:val="22"/>
              </w:rPr>
            </w:pPr>
            <w:r>
              <w:rPr>
                <w:rFonts w:cs="Calibri"/>
                <w:color w:val="000000"/>
                <w:sz w:val="22"/>
                <w:szCs w:val="22"/>
                <w:lang w:val="ga"/>
              </w:rPr>
              <w:t>71</w:t>
            </w:r>
          </w:p>
        </w:tc>
        <w:tc>
          <w:tcPr>
            <w:tcW w:w="1560" w:type="dxa"/>
          </w:tcPr>
          <w:p w14:paraId="34CD947D" w14:textId="220BBCAF" w:rsidR="006F2FFB" w:rsidRPr="004D7A7B" w:rsidRDefault="006F2FFB" w:rsidP="006F2FFB">
            <w:pPr>
              <w:jc w:val="right"/>
              <w:rPr>
                <w:sz w:val="22"/>
                <w:szCs w:val="22"/>
              </w:rPr>
            </w:pPr>
            <w:r>
              <w:rPr>
                <w:rFonts w:cs="Calibri"/>
                <w:color w:val="000000"/>
                <w:sz w:val="22"/>
                <w:szCs w:val="22"/>
                <w:lang w:val="ga"/>
              </w:rPr>
              <w:t>3</w:t>
            </w:r>
          </w:p>
        </w:tc>
        <w:tc>
          <w:tcPr>
            <w:tcW w:w="1544" w:type="dxa"/>
          </w:tcPr>
          <w:p w14:paraId="4DC64A90" w14:textId="6843DAD1" w:rsidR="006F2FFB" w:rsidRPr="004D7A7B" w:rsidRDefault="006F2FFB" w:rsidP="006F2FFB">
            <w:pPr>
              <w:jc w:val="right"/>
              <w:rPr>
                <w:sz w:val="22"/>
                <w:szCs w:val="22"/>
              </w:rPr>
            </w:pPr>
            <w:r>
              <w:rPr>
                <w:rFonts w:cs="Calibri"/>
                <w:color w:val="000000"/>
                <w:sz w:val="22"/>
                <w:szCs w:val="22"/>
                <w:lang w:val="ga"/>
              </w:rPr>
              <w:t>4.2%</w:t>
            </w:r>
          </w:p>
        </w:tc>
        <w:tc>
          <w:tcPr>
            <w:tcW w:w="1291" w:type="dxa"/>
          </w:tcPr>
          <w:p w14:paraId="4B275745" w14:textId="35F268BB" w:rsidR="006F2FFB" w:rsidRPr="004D7A7B" w:rsidRDefault="006F2FFB" w:rsidP="006F2FFB">
            <w:pPr>
              <w:jc w:val="right"/>
              <w:rPr>
                <w:sz w:val="22"/>
                <w:szCs w:val="22"/>
              </w:rPr>
            </w:pPr>
            <w:r>
              <w:rPr>
                <w:rFonts w:cs="Calibri"/>
                <w:color w:val="000000"/>
                <w:sz w:val="22"/>
                <w:szCs w:val="22"/>
                <w:lang w:val="ga"/>
              </w:rPr>
              <w:t>124</w:t>
            </w:r>
          </w:p>
        </w:tc>
        <w:tc>
          <w:tcPr>
            <w:tcW w:w="1559" w:type="dxa"/>
          </w:tcPr>
          <w:p w14:paraId="3F4BCD8E" w14:textId="0384B16D" w:rsidR="006F2FFB" w:rsidRPr="004D7A7B" w:rsidRDefault="006F2FFB" w:rsidP="006F2FFB">
            <w:pPr>
              <w:jc w:val="right"/>
              <w:rPr>
                <w:sz w:val="22"/>
                <w:szCs w:val="22"/>
              </w:rPr>
            </w:pPr>
            <w:r>
              <w:rPr>
                <w:rFonts w:cs="Calibri"/>
                <w:color w:val="000000"/>
                <w:sz w:val="22"/>
                <w:szCs w:val="22"/>
                <w:lang w:val="ga"/>
              </w:rPr>
              <w:t>4</w:t>
            </w:r>
          </w:p>
        </w:tc>
        <w:tc>
          <w:tcPr>
            <w:tcW w:w="1545" w:type="dxa"/>
          </w:tcPr>
          <w:p w14:paraId="5A19921B" w14:textId="1E0F0836" w:rsidR="006F2FFB" w:rsidRPr="004D7A7B" w:rsidRDefault="006F2FFB" w:rsidP="006F2FFB">
            <w:pPr>
              <w:jc w:val="right"/>
              <w:rPr>
                <w:sz w:val="22"/>
                <w:szCs w:val="22"/>
              </w:rPr>
            </w:pPr>
            <w:r>
              <w:rPr>
                <w:rFonts w:cs="Calibri"/>
                <w:color w:val="000000"/>
                <w:sz w:val="22"/>
                <w:szCs w:val="22"/>
                <w:lang w:val="ga"/>
              </w:rPr>
              <w:t>3.2%</w:t>
            </w:r>
          </w:p>
        </w:tc>
      </w:tr>
      <w:tr w:rsidR="006F2FFB" w:rsidRPr="004D7A7B" w14:paraId="1AEF3392" w14:textId="77777777" w:rsidTr="0072284B">
        <w:trPr>
          <w:jc w:val="center"/>
        </w:trPr>
        <w:tc>
          <w:tcPr>
            <w:tcW w:w="1853" w:type="dxa"/>
          </w:tcPr>
          <w:p w14:paraId="16C4559E" w14:textId="28E16E4A" w:rsidR="006F2FFB" w:rsidRPr="004D7A7B" w:rsidRDefault="006F2FFB" w:rsidP="006F2FFB">
            <w:pPr>
              <w:rPr>
                <w:rFonts w:cs="Calibri"/>
                <w:color w:val="000000"/>
                <w:sz w:val="22"/>
                <w:szCs w:val="22"/>
              </w:rPr>
            </w:pPr>
            <w:r>
              <w:rPr>
                <w:rFonts w:cs="Calibri"/>
                <w:color w:val="000000"/>
                <w:sz w:val="22"/>
                <w:szCs w:val="22"/>
                <w:lang w:val="ga"/>
              </w:rPr>
              <w:t>An Bord um an gClárlann Náisiúnta Ailse</w:t>
            </w:r>
          </w:p>
        </w:tc>
        <w:tc>
          <w:tcPr>
            <w:tcW w:w="1842" w:type="dxa"/>
          </w:tcPr>
          <w:p w14:paraId="05154028" w14:textId="24CA0EA0" w:rsidR="006F2FFB" w:rsidRPr="004D7A7B" w:rsidRDefault="006F2FFB" w:rsidP="006F2FFB">
            <w:pPr>
              <w:jc w:val="right"/>
              <w:rPr>
                <w:rFonts w:cs="Calibri"/>
                <w:color w:val="000000"/>
                <w:sz w:val="22"/>
                <w:szCs w:val="22"/>
              </w:rPr>
            </w:pPr>
            <w:r>
              <w:rPr>
                <w:rFonts w:cs="Calibri"/>
                <w:color w:val="000000"/>
                <w:sz w:val="22"/>
                <w:szCs w:val="22"/>
                <w:lang w:val="ga"/>
              </w:rPr>
              <w:t>43</w:t>
            </w:r>
          </w:p>
        </w:tc>
        <w:tc>
          <w:tcPr>
            <w:tcW w:w="1560" w:type="dxa"/>
          </w:tcPr>
          <w:p w14:paraId="1B4AE306" w14:textId="6DD17211" w:rsidR="006F2FFB" w:rsidRPr="004D7A7B" w:rsidRDefault="006F2FFB" w:rsidP="006F2FFB">
            <w:pPr>
              <w:jc w:val="right"/>
              <w:rPr>
                <w:rFonts w:cs="Calibri"/>
                <w:color w:val="000000"/>
                <w:sz w:val="22"/>
                <w:szCs w:val="22"/>
              </w:rPr>
            </w:pPr>
            <w:r>
              <w:rPr>
                <w:rFonts w:cs="Calibri"/>
                <w:color w:val="000000"/>
                <w:sz w:val="22"/>
                <w:szCs w:val="22"/>
                <w:lang w:val="ga"/>
              </w:rPr>
              <w:t>3</w:t>
            </w:r>
          </w:p>
        </w:tc>
        <w:tc>
          <w:tcPr>
            <w:tcW w:w="1544" w:type="dxa"/>
          </w:tcPr>
          <w:p w14:paraId="22F42244" w14:textId="25205044" w:rsidR="006F2FFB" w:rsidRPr="004D7A7B" w:rsidRDefault="006F2FFB" w:rsidP="006F2FFB">
            <w:pPr>
              <w:jc w:val="right"/>
              <w:rPr>
                <w:rFonts w:cs="Calibri"/>
                <w:color w:val="000000"/>
                <w:sz w:val="22"/>
                <w:szCs w:val="22"/>
              </w:rPr>
            </w:pPr>
            <w:r>
              <w:rPr>
                <w:rFonts w:cs="Calibri"/>
                <w:color w:val="000000"/>
                <w:sz w:val="22"/>
                <w:szCs w:val="22"/>
                <w:lang w:val="ga"/>
              </w:rPr>
              <w:t>7.0%</w:t>
            </w:r>
          </w:p>
        </w:tc>
        <w:tc>
          <w:tcPr>
            <w:tcW w:w="1291" w:type="dxa"/>
          </w:tcPr>
          <w:p w14:paraId="0AD35051" w14:textId="2FA89C4F" w:rsidR="006F2FFB" w:rsidRPr="004D7A7B" w:rsidRDefault="006F2FFB" w:rsidP="006F2FFB">
            <w:pPr>
              <w:jc w:val="right"/>
              <w:rPr>
                <w:rFonts w:cs="Calibri"/>
                <w:color w:val="000000"/>
                <w:sz w:val="22"/>
                <w:szCs w:val="22"/>
              </w:rPr>
            </w:pPr>
            <w:r>
              <w:rPr>
                <w:rFonts w:cs="Calibri"/>
                <w:color w:val="000000"/>
                <w:sz w:val="22"/>
                <w:szCs w:val="22"/>
                <w:lang w:val="ga"/>
              </w:rPr>
              <w:t>46</w:t>
            </w:r>
          </w:p>
        </w:tc>
        <w:tc>
          <w:tcPr>
            <w:tcW w:w="1559" w:type="dxa"/>
          </w:tcPr>
          <w:p w14:paraId="67BCDD15" w14:textId="14975879" w:rsidR="006F2FFB" w:rsidRPr="004D7A7B" w:rsidRDefault="006F2FFB" w:rsidP="006F2FFB">
            <w:pPr>
              <w:jc w:val="right"/>
              <w:rPr>
                <w:rFonts w:cs="Calibri"/>
                <w:color w:val="000000"/>
                <w:sz w:val="22"/>
                <w:szCs w:val="22"/>
              </w:rPr>
            </w:pPr>
            <w:r>
              <w:rPr>
                <w:rFonts w:cs="Calibri"/>
                <w:color w:val="000000"/>
                <w:sz w:val="22"/>
                <w:szCs w:val="22"/>
                <w:lang w:val="ga"/>
              </w:rPr>
              <w:t>4</w:t>
            </w:r>
          </w:p>
        </w:tc>
        <w:tc>
          <w:tcPr>
            <w:tcW w:w="1545" w:type="dxa"/>
          </w:tcPr>
          <w:p w14:paraId="537A6E88" w14:textId="41BAC9CC" w:rsidR="006F2FFB" w:rsidRPr="004D7A7B" w:rsidRDefault="006F2FFB" w:rsidP="006F2FFB">
            <w:pPr>
              <w:jc w:val="right"/>
              <w:rPr>
                <w:rFonts w:cs="Calibri"/>
                <w:color w:val="000000"/>
                <w:sz w:val="22"/>
                <w:szCs w:val="22"/>
              </w:rPr>
            </w:pPr>
            <w:r>
              <w:rPr>
                <w:rFonts w:cs="Calibri"/>
                <w:color w:val="000000"/>
                <w:sz w:val="22"/>
                <w:szCs w:val="22"/>
                <w:lang w:val="ga"/>
              </w:rPr>
              <w:t>8.7%</w:t>
            </w:r>
          </w:p>
        </w:tc>
      </w:tr>
      <w:tr w:rsidR="006F2FFB" w:rsidRPr="004D7A7B" w14:paraId="52A4EB73" w14:textId="77777777" w:rsidTr="0072284B">
        <w:trPr>
          <w:jc w:val="center"/>
        </w:trPr>
        <w:tc>
          <w:tcPr>
            <w:tcW w:w="1853" w:type="dxa"/>
          </w:tcPr>
          <w:p w14:paraId="62BC7EA4" w14:textId="2352A0E2" w:rsidR="006F2FFB" w:rsidRPr="004D7A7B" w:rsidRDefault="006F2FFB" w:rsidP="006F2FFB">
            <w:pPr>
              <w:rPr>
                <w:sz w:val="22"/>
                <w:szCs w:val="22"/>
              </w:rPr>
            </w:pPr>
            <w:r>
              <w:rPr>
                <w:rFonts w:cs="Calibri"/>
                <w:color w:val="000000"/>
                <w:sz w:val="22"/>
                <w:szCs w:val="22"/>
                <w:lang w:val="ga"/>
              </w:rPr>
              <w:t>An Ciste Náisiúnta um Cheannach Cóireála</w:t>
            </w:r>
          </w:p>
        </w:tc>
        <w:tc>
          <w:tcPr>
            <w:tcW w:w="1842" w:type="dxa"/>
          </w:tcPr>
          <w:p w14:paraId="745351FC" w14:textId="0C93D8E4" w:rsidR="006F2FFB" w:rsidRPr="004D7A7B" w:rsidRDefault="006F2FFB" w:rsidP="006F2FFB">
            <w:pPr>
              <w:jc w:val="right"/>
              <w:rPr>
                <w:sz w:val="22"/>
                <w:szCs w:val="22"/>
              </w:rPr>
            </w:pPr>
            <w:r>
              <w:rPr>
                <w:rFonts w:cs="Calibri"/>
                <w:color w:val="000000"/>
                <w:sz w:val="22"/>
                <w:szCs w:val="22"/>
                <w:lang w:val="ga"/>
              </w:rPr>
              <w:t>63</w:t>
            </w:r>
          </w:p>
        </w:tc>
        <w:tc>
          <w:tcPr>
            <w:tcW w:w="1560" w:type="dxa"/>
          </w:tcPr>
          <w:p w14:paraId="3B7D2CC7" w14:textId="1F941504" w:rsidR="006F2FFB" w:rsidRPr="004D7A7B" w:rsidRDefault="006F2FFB" w:rsidP="006F2FFB">
            <w:pPr>
              <w:jc w:val="right"/>
              <w:rPr>
                <w:sz w:val="22"/>
                <w:szCs w:val="22"/>
              </w:rPr>
            </w:pPr>
            <w:r>
              <w:rPr>
                <w:rFonts w:cs="Calibri"/>
                <w:color w:val="000000"/>
                <w:sz w:val="22"/>
                <w:szCs w:val="22"/>
                <w:lang w:val="ga"/>
              </w:rPr>
              <w:t>5</w:t>
            </w:r>
          </w:p>
        </w:tc>
        <w:tc>
          <w:tcPr>
            <w:tcW w:w="1544" w:type="dxa"/>
          </w:tcPr>
          <w:p w14:paraId="4C2BAE6D" w14:textId="37007C5C" w:rsidR="006F2FFB" w:rsidRPr="004D7A7B" w:rsidRDefault="006F2FFB" w:rsidP="006F2FFB">
            <w:pPr>
              <w:jc w:val="right"/>
              <w:rPr>
                <w:sz w:val="22"/>
                <w:szCs w:val="22"/>
              </w:rPr>
            </w:pPr>
            <w:r>
              <w:rPr>
                <w:rFonts w:cs="Calibri"/>
                <w:color w:val="000000"/>
                <w:sz w:val="22"/>
                <w:szCs w:val="22"/>
                <w:lang w:val="ga"/>
              </w:rPr>
              <w:t>7.9%</w:t>
            </w:r>
          </w:p>
        </w:tc>
        <w:tc>
          <w:tcPr>
            <w:tcW w:w="1291" w:type="dxa"/>
          </w:tcPr>
          <w:p w14:paraId="42CF6729" w14:textId="72815C63" w:rsidR="006F2FFB" w:rsidRPr="004D7A7B" w:rsidRDefault="006F2FFB" w:rsidP="006F2FFB">
            <w:pPr>
              <w:jc w:val="right"/>
              <w:rPr>
                <w:sz w:val="22"/>
                <w:szCs w:val="22"/>
              </w:rPr>
            </w:pPr>
            <w:r>
              <w:rPr>
                <w:rFonts w:cs="Calibri"/>
                <w:color w:val="000000"/>
                <w:sz w:val="22"/>
                <w:szCs w:val="22"/>
                <w:lang w:val="ga"/>
              </w:rPr>
              <w:t>75</w:t>
            </w:r>
          </w:p>
        </w:tc>
        <w:tc>
          <w:tcPr>
            <w:tcW w:w="1559" w:type="dxa"/>
          </w:tcPr>
          <w:p w14:paraId="29B56863" w14:textId="0D29E470" w:rsidR="006F2FFB" w:rsidRPr="004D7A7B" w:rsidRDefault="006F2FFB" w:rsidP="006F2FFB">
            <w:pPr>
              <w:jc w:val="right"/>
              <w:rPr>
                <w:sz w:val="22"/>
                <w:szCs w:val="22"/>
              </w:rPr>
            </w:pPr>
            <w:r>
              <w:rPr>
                <w:rFonts w:cs="Calibri"/>
                <w:color w:val="000000"/>
                <w:sz w:val="22"/>
                <w:szCs w:val="22"/>
                <w:lang w:val="ga"/>
              </w:rPr>
              <w:t>6</w:t>
            </w:r>
          </w:p>
        </w:tc>
        <w:tc>
          <w:tcPr>
            <w:tcW w:w="1545" w:type="dxa"/>
          </w:tcPr>
          <w:p w14:paraId="2F72654C" w14:textId="35DC6A35" w:rsidR="006F2FFB" w:rsidRPr="004D7A7B" w:rsidRDefault="006F2FFB" w:rsidP="006F2FFB">
            <w:pPr>
              <w:jc w:val="right"/>
              <w:rPr>
                <w:sz w:val="22"/>
                <w:szCs w:val="22"/>
              </w:rPr>
            </w:pPr>
            <w:r>
              <w:rPr>
                <w:rFonts w:cs="Calibri"/>
                <w:color w:val="000000"/>
                <w:sz w:val="22"/>
                <w:szCs w:val="22"/>
                <w:lang w:val="ga"/>
              </w:rPr>
              <w:t>8.0%</w:t>
            </w:r>
          </w:p>
        </w:tc>
      </w:tr>
      <w:tr w:rsidR="006F2FFB" w:rsidRPr="004D7A7B" w14:paraId="3C8F3970" w14:textId="77777777" w:rsidTr="0072284B">
        <w:trPr>
          <w:jc w:val="center"/>
        </w:trPr>
        <w:tc>
          <w:tcPr>
            <w:tcW w:w="1853" w:type="dxa"/>
          </w:tcPr>
          <w:p w14:paraId="73FCD8F6" w14:textId="33F2CC07" w:rsidR="006F2FFB" w:rsidRPr="004D7A7B" w:rsidRDefault="006F2FFB" w:rsidP="006F2FFB">
            <w:pPr>
              <w:rPr>
                <w:sz w:val="22"/>
                <w:szCs w:val="22"/>
              </w:rPr>
            </w:pPr>
            <w:r>
              <w:rPr>
                <w:rFonts w:cs="Calibri"/>
                <w:color w:val="000000"/>
                <w:sz w:val="22"/>
                <w:szCs w:val="22"/>
                <w:lang w:val="ga"/>
              </w:rPr>
              <w:t>Bord Altranais agus Cnáimhseachais na hÉireann</w:t>
            </w:r>
          </w:p>
        </w:tc>
        <w:tc>
          <w:tcPr>
            <w:tcW w:w="1842" w:type="dxa"/>
          </w:tcPr>
          <w:p w14:paraId="461C4F47" w14:textId="75E95A43" w:rsidR="006F2FFB" w:rsidRPr="004D7A7B" w:rsidRDefault="006F2FFB" w:rsidP="006F2FFB">
            <w:pPr>
              <w:jc w:val="right"/>
              <w:rPr>
                <w:sz w:val="22"/>
                <w:szCs w:val="22"/>
              </w:rPr>
            </w:pPr>
            <w:r>
              <w:rPr>
                <w:rFonts w:cs="Calibri"/>
                <w:color w:val="000000"/>
                <w:sz w:val="22"/>
                <w:szCs w:val="22"/>
                <w:lang w:val="ga"/>
              </w:rPr>
              <w:t>46</w:t>
            </w:r>
          </w:p>
        </w:tc>
        <w:tc>
          <w:tcPr>
            <w:tcW w:w="1560" w:type="dxa"/>
          </w:tcPr>
          <w:p w14:paraId="471A1EA6" w14:textId="5BD1BE6B" w:rsidR="006F2FFB" w:rsidRPr="004D7A7B" w:rsidRDefault="006F2FFB" w:rsidP="006F2FFB">
            <w:pPr>
              <w:jc w:val="right"/>
              <w:rPr>
                <w:sz w:val="22"/>
                <w:szCs w:val="22"/>
              </w:rPr>
            </w:pPr>
            <w:r>
              <w:rPr>
                <w:rFonts w:cs="Calibri"/>
                <w:color w:val="000000"/>
                <w:sz w:val="22"/>
                <w:szCs w:val="22"/>
                <w:lang w:val="ga"/>
              </w:rPr>
              <w:t>3</w:t>
            </w:r>
          </w:p>
        </w:tc>
        <w:tc>
          <w:tcPr>
            <w:tcW w:w="1544" w:type="dxa"/>
          </w:tcPr>
          <w:p w14:paraId="5016A790" w14:textId="710C80F3" w:rsidR="006F2FFB" w:rsidRPr="004D7A7B" w:rsidRDefault="006F2FFB" w:rsidP="006F2FFB">
            <w:pPr>
              <w:jc w:val="right"/>
              <w:rPr>
                <w:sz w:val="22"/>
                <w:szCs w:val="22"/>
              </w:rPr>
            </w:pPr>
            <w:r>
              <w:rPr>
                <w:rFonts w:cs="Calibri"/>
                <w:color w:val="000000"/>
                <w:sz w:val="22"/>
                <w:szCs w:val="22"/>
                <w:lang w:val="ga"/>
              </w:rPr>
              <w:t>6.5%</w:t>
            </w:r>
          </w:p>
        </w:tc>
        <w:tc>
          <w:tcPr>
            <w:tcW w:w="1291" w:type="dxa"/>
          </w:tcPr>
          <w:p w14:paraId="10271050" w14:textId="67C22C10" w:rsidR="006F2FFB" w:rsidRPr="004D7A7B" w:rsidRDefault="006F2FFB" w:rsidP="006F2FFB">
            <w:pPr>
              <w:jc w:val="right"/>
              <w:rPr>
                <w:sz w:val="22"/>
                <w:szCs w:val="22"/>
              </w:rPr>
            </w:pPr>
            <w:r>
              <w:rPr>
                <w:rFonts w:cs="Calibri"/>
                <w:color w:val="000000"/>
                <w:sz w:val="22"/>
                <w:szCs w:val="22"/>
                <w:lang w:val="ga"/>
              </w:rPr>
              <w:t>64</w:t>
            </w:r>
          </w:p>
        </w:tc>
        <w:tc>
          <w:tcPr>
            <w:tcW w:w="1559" w:type="dxa"/>
          </w:tcPr>
          <w:p w14:paraId="45A98E1A" w14:textId="1B2D654C" w:rsidR="006F2FFB" w:rsidRPr="004D7A7B" w:rsidRDefault="006F2FFB" w:rsidP="006F2FFB">
            <w:pPr>
              <w:jc w:val="right"/>
              <w:rPr>
                <w:sz w:val="22"/>
                <w:szCs w:val="22"/>
              </w:rPr>
            </w:pPr>
            <w:r>
              <w:rPr>
                <w:rFonts w:cs="Calibri"/>
                <w:color w:val="000000"/>
                <w:sz w:val="22"/>
                <w:szCs w:val="22"/>
                <w:lang w:val="ga"/>
              </w:rPr>
              <w:t>4</w:t>
            </w:r>
          </w:p>
        </w:tc>
        <w:tc>
          <w:tcPr>
            <w:tcW w:w="1545" w:type="dxa"/>
          </w:tcPr>
          <w:p w14:paraId="14BD4866" w14:textId="63E33796" w:rsidR="006F2FFB" w:rsidRPr="004D7A7B" w:rsidRDefault="006F2FFB" w:rsidP="006F2FFB">
            <w:pPr>
              <w:jc w:val="right"/>
              <w:rPr>
                <w:sz w:val="22"/>
                <w:szCs w:val="22"/>
              </w:rPr>
            </w:pPr>
            <w:r>
              <w:rPr>
                <w:rFonts w:cs="Calibri"/>
                <w:color w:val="000000"/>
                <w:sz w:val="22"/>
                <w:szCs w:val="22"/>
                <w:lang w:val="ga"/>
              </w:rPr>
              <w:t>6.3%</w:t>
            </w:r>
          </w:p>
        </w:tc>
      </w:tr>
      <w:tr w:rsidR="006F2FFB" w:rsidRPr="004D7A7B" w14:paraId="5C4B632C" w14:textId="77777777" w:rsidTr="0072284B">
        <w:trPr>
          <w:jc w:val="center"/>
        </w:trPr>
        <w:tc>
          <w:tcPr>
            <w:tcW w:w="1853" w:type="dxa"/>
          </w:tcPr>
          <w:p w14:paraId="463D6742" w14:textId="0489FECA" w:rsidR="006F2FFB" w:rsidRPr="004D7A7B" w:rsidRDefault="006F2FFB" w:rsidP="006F2FFB">
            <w:pPr>
              <w:rPr>
                <w:sz w:val="22"/>
                <w:szCs w:val="22"/>
              </w:rPr>
            </w:pPr>
            <w:r>
              <w:rPr>
                <w:rFonts w:cs="Calibri"/>
                <w:color w:val="000000"/>
                <w:sz w:val="22"/>
                <w:szCs w:val="22"/>
                <w:lang w:val="ga"/>
              </w:rPr>
              <w:t>Cumann Cógaiseoirí na hÉireann</w:t>
            </w:r>
          </w:p>
        </w:tc>
        <w:tc>
          <w:tcPr>
            <w:tcW w:w="1842" w:type="dxa"/>
          </w:tcPr>
          <w:p w14:paraId="3CAF2FDC" w14:textId="4EDD2554" w:rsidR="006F2FFB" w:rsidRPr="004D7A7B" w:rsidRDefault="006F2FFB" w:rsidP="006F2FFB">
            <w:pPr>
              <w:jc w:val="right"/>
              <w:rPr>
                <w:sz w:val="22"/>
                <w:szCs w:val="22"/>
              </w:rPr>
            </w:pPr>
            <w:r>
              <w:rPr>
                <w:rFonts w:cs="Calibri"/>
                <w:color w:val="000000"/>
                <w:sz w:val="22"/>
                <w:szCs w:val="22"/>
                <w:lang w:val="ga"/>
              </w:rPr>
              <w:t>44</w:t>
            </w:r>
          </w:p>
        </w:tc>
        <w:tc>
          <w:tcPr>
            <w:tcW w:w="1560" w:type="dxa"/>
          </w:tcPr>
          <w:p w14:paraId="27CBDF71" w14:textId="078EB358" w:rsidR="006F2FFB" w:rsidRPr="004D7A7B" w:rsidRDefault="006F2FFB" w:rsidP="006F2FFB">
            <w:pPr>
              <w:jc w:val="right"/>
              <w:rPr>
                <w:sz w:val="22"/>
                <w:szCs w:val="22"/>
              </w:rPr>
            </w:pPr>
            <w:r>
              <w:rPr>
                <w:rFonts w:cs="Calibri"/>
                <w:color w:val="000000"/>
                <w:sz w:val="22"/>
                <w:szCs w:val="22"/>
                <w:lang w:val="ga"/>
              </w:rPr>
              <w:t>2</w:t>
            </w:r>
          </w:p>
        </w:tc>
        <w:tc>
          <w:tcPr>
            <w:tcW w:w="1544" w:type="dxa"/>
          </w:tcPr>
          <w:p w14:paraId="5347C7B1" w14:textId="1FF05A08" w:rsidR="006F2FFB" w:rsidRPr="004D7A7B" w:rsidRDefault="006F2FFB" w:rsidP="006F2FFB">
            <w:pPr>
              <w:jc w:val="right"/>
              <w:rPr>
                <w:sz w:val="22"/>
                <w:szCs w:val="22"/>
              </w:rPr>
            </w:pPr>
            <w:r>
              <w:rPr>
                <w:rFonts w:cs="Calibri"/>
                <w:color w:val="000000"/>
                <w:sz w:val="22"/>
                <w:szCs w:val="22"/>
                <w:lang w:val="ga"/>
              </w:rPr>
              <w:t>4.5%</w:t>
            </w:r>
          </w:p>
        </w:tc>
        <w:tc>
          <w:tcPr>
            <w:tcW w:w="1291" w:type="dxa"/>
          </w:tcPr>
          <w:p w14:paraId="03C4C2BF" w14:textId="1F214372" w:rsidR="006F2FFB" w:rsidRPr="004D7A7B" w:rsidRDefault="006F2FFB" w:rsidP="006F2FFB">
            <w:pPr>
              <w:jc w:val="right"/>
              <w:rPr>
                <w:sz w:val="22"/>
                <w:szCs w:val="22"/>
              </w:rPr>
            </w:pPr>
            <w:r>
              <w:rPr>
                <w:rFonts w:cs="Calibri"/>
                <w:color w:val="000000"/>
                <w:sz w:val="22"/>
                <w:szCs w:val="22"/>
                <w:lang w:val="ga"/>
              </w:rPr>
              <w:t>44</w:t>
            </w:r>
          </w:p>
        </w:tc>
        <w:tc>
          <w:tcPr>
            <w:tcW w:w="1559" w:type="dxa"/>
          </w:tcPr>
          <w:p w14:paraId="2E6FCD04" w14:textId="3793C876" w:rsidR="006F2FFB" w:rsidRPr="004D7A7B" w:rsidRDefault="006F2FFB" w:rsidP="006F2FFB">
            <w:pPr>
              <w:jc w:val="right"/>
              <w:rPr>
                <w:sz w:val="22"/>
                <w:szCs w:val="22"/>
              </w:rPr>
            </w:pPr>
            <w:r>
              <w:rPr>
                <w:rFonts w:cs="Calibri"/>
                <w:color w:val="000000"/>
                <w:sz w:val="22"/>
                <w:szCs w:val="22"/>
                <w:lang w:val="ga"/>
              </w:rPr>
              <w:t>2</w:t>
            </w:r>
          </w:p>
        </w:tc>
        <w:tc>
          <w:tcPr>
            <w:tcW w:w="1545" w:type="dxa"/>
          </w:tcPr>
          <w:p w14:paraId="1218CBB4" w14:textId="1ED86882" w:rsidR="006F2FFB" w:rsidRPr="004D7A7B" w:rsidRDefault="006F2FFB" w:rsidP="006F2FFB">
            <w:pPr>
              <w:jc w:val="right"/>
              <w:rPr>
                <w:sz w:val="22"/>
                <w:szCs w:val="22"/>
              </w:rPr>
            </w:pPr>
            <w:r>
              <w:rPr>
                <w:rFonts w:cs="Calibri"/>
                <w:color w:val="000000"/>
                <w:sz w:val="22"/>
                <w:szCs w:val="22"/>
                <w:lang w:val="ga"/>
              </w:rPr>
              <w:t>4.5%</w:t>
            </w:r>
          </w:p>
        </w:tc>
      </w:tr>
      <w:tr w:rsidR="006F2FFB" w:rsidRPr="004D7A7B" w14:paraId="3BCCE182" w14:textId="77777777" w:rsidTr="0072284B">
        <w:trPr>
          <w:jc w:val="center"/>
        </w:trPr>
        <w:tc>
          <w:tcPr>
            <w:tcW w:w="1853" w:type="dxa"/>
          </w:tcPr>
          <w:p w14:paraId="4A0ECC44" w14:textId="3D00417B" w:rsidR="006F2FFB" w:rsidRPr="004D7A7B" w:rsidRDefault="006F2FFB" w:rsidP="006F2FFB">
            <w:pPr>
              <w:rPr>
                <w:sz w:val="22"/>
                <w:szCs w:val="22"/>
              </w:rPr>
            </w:pPr>
            <w:r>
              <w:rPr>
                <w:rFonts w:cs="Calibri"/>
                <w:color w:val="000000"/>
                <w:sz w:val="22"/>
                <w:szCs w:val="22"/>
                <w:lang w:val="ga"/>
              </w:rPr>
              <w:t>An Chomhairle um Chúram Éigeandála Réamhospidéil</w:t>
            </w:r>
          </w:p>
        </w:tc>
        <w:tc>
          <w:tcPr>
            <w:tcW w:w="1842" w:type="dxa"/>
          </w:tcPr>
          <w:p w14:paraId="34BF38D3" w14:textId="2BCDD544" w:rsidR="006F2FFB" w:rsidRPr="004D7A7B" w:rsidRDefault="006F2FFB" w:rsidP="006F2FFB">
            <w:pPr>
              <w:jc w:val="right"/>
              <w:rPr>
                <w:sz w:val="22"/>
                <w:szCs w:val="22"/>
              </w:rPr>
            </w:pPr>
            <w:r>
              <w:rPr>
                <w:rFonts w:cs="Calibri"/>
                <w:color w:val="000000"/>
                <w:sz w:val="22"/>
                <w:szCs w:val="22"/>
                <w:lang w:val="ga"/>
              </w:rPr>
              <w:t>20</w:t>
            </w:r>
          </w:p>
        </w:tc>
        <w:tc>
          <w:tcPr>
            <w:tcW w:w="1560" w:type="dxa"/>
          </w:tcPr>
          <w:p w14:paraId="26F3D49D" w14:textId="21E27BCD" w:rsidR="006F2FFB" w:rsidRPr="004D7A7B" w:rsidRDefault="006F2FFB" w:rsidP="006F2FFB">
            <w:pPr>
              <w:jc w:val="right"/>
              <w:rPr>
                <w:sz w:val="22"/>
                <w:szCs w:val="22"/>
              </w:rPr>
            </w:pPr>
            <w:r>
              <w:rPr>
                <w:rFonts w:cs="Calibri"/>
                <w:color w:val="000000"/>
                <w:sz w:val="22"/>
                <w:szCs w:val="22"/>
                <w:lang w:val="ga"/>
              </w:rPr>
              <w:t>1</w:t>
            </w:r>
          </w:p>
        </w:tc>
        <w:tc>
          <w:tcPr>
            <w:tcW w:w="1544" w:type="dxa"/>
          </w:tcPr>
          <w:p w14:paraId="73305C54" w14:textId="050119D6" w:rsidR="006F2FFB" w:rsidRPr="004D7A7B" w:rsidRDefault="006F2FFB" w:rsidP="006F2FFB">
            <w:pPr>
              <w:jc w:val="right"/>
              <w:rPr>
                <w:sz w:val="22"/>
                <w:szCs w:val="22"/>
              </w:rPr>
            </w:pPr>
            <w:r>
              <w:rPr>
                <w:rFonts w:cs="Calibri"/>
                <w:color w:val="000000"/>
                <w:sz w:val="22"/>
                <w:szCs w:val="22"/>
                <w:lang w:val="ga"/>
              </w:rPr>
              <w:t>5.0%</w:t>
            </w:r>
          </w:p>
        </w:tc>
        <w:tc>
          <w:tcPr>
            <w:tcW w:w="1291" w:type="dxa"/>
          </w:tcPr>
          <w:p w14:paraId="215305CB" w14:textId="5A2539E3" w:rsidR="006F2FFB" w:rsidRPr="004D7A7B" w:rsidRDefault="006F2FFB" w:rsidP="006F2FFB">
            <w:pPr>
              <w:jc w:val="right"/>
              <w:rPr>
                <w:sz w:val="22"/>
                <w:szCs w:val="22"/>
              </w:rPr>
            </w:pPr>
            <w:r>
              <w:rPr>
                <w:rFonts w:cs="Calibri"/>
                <w:color w:val="000000"/>
                <w:sz w:val="22"/>
                <w:szCs w:val="22"/>
                <w:lang w:val="ga"/>
              </w:rPr>
              <w:t>21</w:t>
            </w:r>
          </w:p>
        </w:tc>
        <w:tc>
          <w:tcPr>
            <w:tcW w:w="1559" w:type="dxa"/>
          </w:tcPr>
          <w:p w14:paraId="0911F938" w14:textId="3B7E2505" w:rsidR="006F2FFB" w:rsidRPr="004D7A7B" w:rsidRDefault="006F2FFB" w:rsidP="006F2FFB">
            <w:pPr>
              <w:jc w:val="right"/>
              <w:rPr>
                <w:sz w:val="22"/>
                <w:szCs w:val="22"/>
              </w:rPr>
            </w:pPr>
            <w:r>
              <w:rPr>
                <w:rFonts w:cs="Calibri"/>
                <w:color w:val="000000"/>
                <w:sz w:val="22"/>
                <w:szCs w:val="22"/>
                <w:lang w:val="ga"/>
              </w:rPr>
              <w:t>1</w:t>
            </w:r>
          </w:p>
        </w:tc>
        <w:tc>
          <w:tcPr>
            <w:tcW w:w="1545" w:type="dxa"/>
          </w:tcPr>
          <w:p w14:paraId="11927CDD" w14:textId="6F2E1618" w:rsidR="006F2FFB" w:rsidRPr="004D7A7B" w:rsidRDefault="006F2FFB" w:rsidP="006F2FFB">
            <w:pPr>
              <w:jc w:val="right"/>
              <w:rPr>
                <w:sz w:val="22"/>
                <w:szCs w:val="22"/>
              </w:rPr>
            </w:pPr>
            <w:r>
              <w:rPr>
                <w:rFonts w:cs="Calibri"/>
                <w:color w:val="000000"/>
                <w:sz w:val="22"/>
                <w:szCs w:val="22"/>
                <w:lang w:val="ga"/>
              </w:rPr>
              <w:t>4.8%</w:t>
            </w:r>
          </w:p>
        </w:tc>
      </w:tr>
      <w:tr w:rsidR="006F2FFB" w:rsidRPr="004D7A7B" w14:paraId="07B961D6" w14:textId="77777777" w:rsidTr="0072284B">
        <w:trPr>
          <w:jc w:val="center"/>
        </w:trPr>
        <w:tc>
          <w:tcPr>
            <w:tcW w:w="1853" w:type="dxa"/>
          </w:tcPr>
          <w:p w14:paraId="7E62D567" w14:textId="4DDCEB11" w:rsidR="006F2FFB" w:rsidRPr="004D7A7B" w:rsidRDefault="006F2FFB" w:rsidP="006F2FFB">
            <w:pPr>
              <w:rPr>
                <w:sz w:val="22"/>
                <w:szCs w:val="22"/>
              </w:rPr>
            </w:pPr>
            <w:r>
              <w:rPr>
                <w:rFonts w:cs="Calibri"/>
                <w:color w:val="000000"/>
                <w:sz w:val="22"/>
                <w:szCs w:val="22"/>
                <w:lang w:val="ga"/>
              </w:rPr>
              <w:t>safefood</w:t>
            </w:r>
          </w:p>
        </w:tc>
        <w:tc>
          <w:tcPr>
            <w:tcW w:w="1842" w:type="dxa"/>
          </w:tcPr>
          <w:p w14:paraId="30A1D2A5" w14:textId="022ADC11" w:rsidR="006F2FFB" w:rsidRPr="004D7A7B" w:rsidRDefault="006F2FFB" w:rsidP="006F2FFB">
            <w:pPr>
              <w:jc w:val="right"/>
              <w:rPr>
                <w:sz w:val="22"/>
                <w:szCs w:val="22"/>
              </w:rPr>
            </w:pPr>
            <w:r>
              <w:rPr>
                <w:rFonts w:cs="Calibri"/>
                <w:color w:val="000000"/>
                <w:sz w:val="22"/>
                <w:szCs w:val="22"/>
                <w:lang w:val="ga"/>
              </w:rPr>
              <w:t>26</w:t>
            </w:r>
          </w:p>
        </w:tc>
        <w:tc>
          <w:tcPr>
            <w:tcW w:w="1560" w:type="dxa"/>
          </w:tcPr>
          <w:p w14:paraId="4B1AD217" w14:textId="2D08AF45" w:rsidR="006F2FFB" w:rsidRPr="004D7A7B" w:rsidRDefault="006F2FFB" w:rsidP="006F2FFB">
            <w:pPr>
              <w:jc w:val="right"/>
              <w:rPr>
                <w:sz w:val="22"/>
                <w:szCs w:val="22"/>
              </w:rPr>
            </w:pPr>
            <w:r>
              <w:rPr>
                <w:rFonts w:cs="Calibri"/>
                <w:color w:val="000000"/>
                <w:sz w:val="22"/>
                <w:szCs w:val="22"/>
                <w:lang w:val="ga"/>
              </w:rPr>
              <w:t>2</w:t>
            </w:r>
          </w:p>
        </w:tc>
        <w:tc>
          <w:tcPr>
            <w:tcW w:w="1544" w:type="dxa"/>
          </w:tcPr>
          <w:p w14:paraId="5EFAA780" w14:textId="36A710A6" w:rsidR="006F2FFB" w:rsidRPr="004D7A7B" w:rsidRDefault="006F2FFB" w:rsidP="006F2FFB">
            <w:pPr>
              <w:jc w:val="right"/>
              <w:rPr>
                <w:sz w:val="22"/>
                <w:szCs w:val="22"/>
              </w:rPr>
            </w:pPr>
            <w:r>
              <w:rPr>
                <w:rFonts w:cs="Calibri"/>
                <w:color w:val="000000"/>
                <w:sz w:val="22"/>
                <w:szCs w:val="22"/>
                <w:lang w:val="ga"/>
              </w:rPr>
              <w:t>7.7%</w:t>
            </w:r>
          </w:p>
        </w:tc>
        <w:tc>
          <w:tcPr>
            <w:tcW w:w="1291" w:type="dxa"/>
          </w:tcPr>
          <w:p w14:paraId="50F8CFF6" w14:textId="612AB29F" w:rsidR="006F2FFB" w:rsidRPr="004D7A7B" w:rsidRDefault="006F2FFB" w:rsidP="006F2FFB">
            <w:pPr>
              <w:jc w:val="right"/>
              <w:rPr>
                <w:sz w:val="22"/>
                <w:szCs w:val="22"/>
              </w:rPr>
            </w:pPr>
            <w:r>
              <w:rPr>
                <w:rFonts w:cs="Calibri"/>
                <w:color w:val="000000"/>
                <w:sz w:val="22"/>
                <w:szCs w:val="22"/>
                <w:lang w:val="ga"/>
              </w:rPr>
              <w:t>28</w:t>
            </w:r>
          </w:p>
        </w:tc>
        <w:tc>
          <w:tcPr>
            <w:tcW w:w="1559" w:type="dxa"/>
          </w:tcPr>
          <w:p w14:paraId="744EF0DF" w14:textId="715EF599" w:rsidR="006F2FFB" w:rsidRPr="004D7A7B" w:rsidRDefault="006F2FFB" w:rsidP="006F2FFB">
            <w:pPr>
              <w:jc w:val="right"/>
              <w:rPr>
                <w:sz w:val="22"/>
                <w:szCs w:val="22"/>
              </w:rPr>
            </w:pPr>
            <w:r>
              <w:rPr>
                <w:rFonts w:cs="Calibri"/>
                <w:color w:val="000000"/>
                <w:sz w:val="22"/>
                <w:szCs w:val="22"/>
                <w:lang w:val="ga"/>
              </w:rPr>
              <w:t>2</w:t>
            </w:r>
          </w:p>
        </w:tc>
        <w:tc>
          <w:tcPr>
            <w:tcW w:w="1545" w:type="dxa"/>
          </w:tcPr>
          <w:p w14:paraId="137B996B" w14:textId="561292E0" w:rsidR="006F2FFB" w:rsidRPr="004D7A7B" w:rsidRDefault="006F2FFB" w:rsidP="006F2FFB">
            <w:pPr>
              <w:jc w:val="right"/>
              <w:rPr>
                <w:sz w:val="22"/>
                <w:szCs w:val="22"/>
              </w:rPr>
            </w:pPr>
            <w:r>
              <w:rPr>
                <w:rFonts w:cs="Calibri"/>
                <w:color w:val="000000"/>
                <w:sz w:val="22"/>
                <w:szCs w:val="22"/>
                <w:lang w:val="ga"/>
              </w:rPr>
              <w:t>7.1%</w:t>
            </w:r>
          </w:p>
        </w:tc>
      </w:tr>
      <w:tr w:rsidR="006F2FFB" w:rsidRPr="004D7A7B" w14:paraId="20D0C865" w14:textId="77777777" w:rsidTr="0072284B">
        <w:trPr>
          <w:jc w:val="center"/>
        </w:trPr>
        <w:tc>
          <w:tcPr>
            <w:tcW w:w="1853" w:type="dxa"/>
          </w:tcPr>
          <w:p w14:paraId="6BECA05E" w14:textId="2F32CDC8" w:rsidR="006F2FFB" w:rsidRPr="004D7A7B" w:rsidRDefault="006F2FFB" w:rsidP="006F2FFB">
            <w:pPr>
              <w:rPr>
                <w:sz w:val="22"/>
                <w:szCs w:val="22"/>
              </w:rPr>
            </w:pPr>
            <w:r>
              <w:rPr>
                <w:rFonts w:cs="Calibri"/>
                <w:color w:val="000000"/>
                <w:sz w:val="22"/>
                <w:szCs w:val="22"/>
                <w:lang w:val="ga"/>
              </w:rPr>
              <w:t>Ospidéal San Séamas</w:t>
            </w:r>
          </w:p>
        </w:tc>
        <w:tc>
          <w:tcPr>
            <w:tcW w:w="1842" w:type="dxa"/>
          </w:tcPr>
          <w:p w14:paraId="6FD129D6" w14:textId="3F47D72B" w:rsidR="006F2FFB" w:rsidRPr="004D7A7B" w:rsidRDefault="006F2FFB" w:rsidP="006F2FFB">
            <w:pPr>
              <w:jc w:val="right"/>
              <w:rPr>
                <w:sz w:val="22"/>
                <w:szCs w:val="22"/>
              </w:rPr>
            </w:pPr>
            <w:r>
              <w:rPr>
                <w:rFonts w:cs="Calibri"/>
                <w:color w:val="000000"/>
                <w:sz w:val="22"/>
                <w:szCs w:val="22"/>
                <w:lang w:val="ga"/>
              </w:rPr>
              <w:t>4,985</w:t>
            </w:r>
          </w:p>
        </w:tc>
        <w:tc>
          <w:tcPr>
            <w:tcW w:w="1560" w:type="dxa"/>
          </w:tcPr>
          <w:p w14:paraId="463EE1F7" w14:textId="7037909B" w:rsidR="006F2FFB" w:rsidRPr="004D7A7B" w:rsidRDefault="006F2FFB" w:rsidP="006F2FFB">
            <w:pPr>
              <w:jc w:val="right"/>
              <w:rPr>
                <w:sz w:val="22"/>
                <w:szCs w:val="22"/>
              </w:rPr>
            </w:pPr>
            <w:r>
              <w:rPr>
                <w:rFonts w:cs="Calibri"/>
                <w:color w:val="000000"/>
                <w:sz w:val="22"/>
                <w:szCs w:val="22"/>
                <w:lang w:val="ga"/>
              </w:rPr>
              <w:t>278</w:t>
            </w:r>
          </w:p>
        </w:tc>
        <w:tc>
          <w:tcPr>
            <w:tcW w:w="1544" w:type="dxa"/>
          </w:tcPr>
          <w:p w14:paraId="756F97DE" w14:textId="672668BC" w:rsidR="006F2FFB" w:rsidRPr="004D7A7B" w:rsidRDefault="006F2FFB" w:rsidP="006F2FFB">
            <w:pPr>
              <w:jc w:val="right"/>
              <w:rPr>
                <w:sz w:val="22"/>
                <w:szCs w:val="22"/>
              </w:rPr>
            </w:pPr>
            <w:r>
              <w:rPr>
                <w:rFonts w:cs="Calibri"/>
                <w:color w:val="000000"/>
                <w:sz w:val="22"/>
                <w:szCs w:val="22"/>
                <w:lang w:val="ga"/>
              </w:rPr>
              <w:t>5.6%</w:t>
            </w:r>
          </w:p>
        </w:tc>
        <w:tc>
          <w:tcPr>
            <w:tcW w:w="1291" w:type="dxa"/>
          </w:tcPr>
          <w:p w14:paraId="5522295E" w14:textId="3E1372F3" w:rsidR="006F2FFB" w:rsidRPr="004D7A7B" w:rsidRDefault="006F2FFB" w:rsidP="006F2FFB">
            <w:pPr>
              <w:jc w:val="right"/>
              <w:rPr>
                <w:sz w:val="22"/>
                <w:szCs w:val="22"/>
              </w:rPr>
            </w:pPr>
            <w:r>
              <w:rPr>
                <w:rFonts w:cs="Calibri"/>
                <w:color w:val="000000"/>
                <w:sz w:val="22"/>
                <w:szCs w:val="22"/>
                <w:lang w:val="ga"/>
              </w:rPr>
              <w:t>5124</w:t>
            </w:r>
          </w:p>
        </w:tc>
        <w:tc>
          <w:tcPr>
            <w:tcW w:w="1559" w:type="dxa"/>
          </w:tcPr>
          <w:p w14:paraId="1A99CF98" w14:textId="6300E50B" w:rsidR="006F2FFB" w:rsidRPr="004D7A7B" w:rsidRDefault="006F2FFB" w:rsidP="006F2FFB">
            <w:pPr>
              <w:jc w:val="right"/>
              <w:rPr>
                <w:sz w:val="22"/>
                <w:szCs w:val="22"/>
              </w:rPr>
            </w:pPr>
            <w:r>
              <w:rPr>
                <w:rFonts w:cs="Calibri"/>
                <w:color w:val="000000"/>
                <w:sz w:val="22"/>
                <w:szCs w:val="22"/>
                <w:lang w:val="ga"/>
              </w:rPr>
              <w:t>322</w:t>
            </w:r>
          </w:p>
        </w:tc>
        <w:tc>
          <w:tcPr>
            <w:tcW w:w="1545" w:type="dxa"/>
          </w:tcPr>
          <w:p w14:paraId="19BDC8E5" w14:textId="21997478" w:rsidR="006F2FFB" w:rsidRPr="004D7A7B" w:rsidRDefault="006F2FFB" w:rsidP="006F2FFB">
            <w:pPr>
              <w:jc w:val="right"/>
              <w:rPr>
                <w:sz w:val="22"/>
                <w:szCs w:val="22"/>
              </w:rPr>
            </w:pPr>
            <w:r>
              <w:rPr>
                <w:rFonts w:cs="Calibri"/>
                <w:color w:val="000000"/>
                <w:sz w:val="22"/>
                <w:szCs w:val="22"/>
                <w:lang w:val="ga"/>
              </w:rPr>
              <w:t>6.3%</w:t>
            </w:r>
          </w:p>
        </w:tc>
      </w:tr>
      <w:tr w:rsidR="006F2FFB" w:rsidRPr="004D7A7B" w14:paraId="058799A2" w14:textId="77777777" w:rsidTr="0072284B">
        <w:trPr>
          <w:trHeight w:val="338"/>
          <w:jc w:val="center"/>
        </w:trPr>
        <w:tc>
          <w:tcPr>
            <w:tcW w:w="1853" w:type="dxa"/>
          </w:tcPr>
          <w:p w14:paraId="2E7135BB" w14:textId="4B0D4CFE" w:rsidR="006F2FFB" w:rsidRPr="004D7A7B" w:rsidRDefault="006F2FFB" w:rsidP="006F2FFB">
            <w:pPr>
              <w:rPr>
                <w:sz w:val="22"/>
                <w:szCs w:val="22"/>
              </w:rPr>
            </w:pPr>
            <w:r>
              <w:rPr>
                <w:rFonts w:cs="Calibri"/>
                <w:color w:val="000000"/>
                <w:sz w:val="22"/>
                <w:szCs w:val="22"/>
                <w:lang w:val="ga"/>
              </w:rPr>
              <w:t>Ospidéal Ollscoile Thamhlachta</w:t>
            </w:r>
          </w:p>
        </w:tc>
        <w:tc>
          <w:tcPr>
            <w:tcW w:w="1842" w:type="dxa"/>
          </w:tcPr>
          <w:p w14:paraId="482700C7" w14:textId="016DB3A3" w:rsidR="006F2FFB" w:rsidRPr="004D7A7B" w:rsidRDefault="006F2FFB" w:rsidP="006F2FFB">
            <w:pPr>
              <w:jc w:val="right"/>
              <w:rPr>
                <w:sz w:val="22"/>
                <w:szCs w:val="22"/>
              </w:rPr>
            </w:pPr>
            <w:r>
              <w:rPr>
                <w:rFonts w:cs="Calibri"/>
                <w:color w:val="000000"/>
                <w:sz w:val="22"/>
                <w:szCs w:val="22"/>
                <w:lang w:val="ga"/>
              </w:rPr>
              <w:t>3,279</w:t>
            </w:r>
          </w:p>
        </w:tc>
        <w:tc>
          <w:tcPr>
            <w:tcW w:w="1560" w:type="dxa"/>
          </w:tcPr>
          <w:p w14:paraId="1B55B4D4" w14:textId="260B07B0" w:rsidR="006F2FFB" w:rsidRPr="004D7A7B" w:rsidRDefault="006F2FFB" w:rsidP="006F2FFB">
            <w:pPr>
              <w:jc w:val="right"/>
              <w:rPr>
                <w:sz w:val="22"/>
                <w:szCs w:val="22"/>
              </w:rPr>
            </w:pPr>
            <w:r>
              <w:rPr>
                <w:rFonts w:cs="Calibri"/>
                <w:color w:val="000000"/>
                <w:sz w:val="22"/>
                <w:szCs w:val="22"/>
                <w:lang w:val="ga"/>
              </w:rPr>
              <w:t>102</w:t>
            </w:r>
          </w:p>
        </w:tc>
        <w:tc>
          <w:tcPr>
            <w:tcW w:w="1544" w:type="dxa"/>
          </w:tcPr>
          <w:p w14:paraId="4206D706" w14:textId="0486310F" w:rsidR="006F2FFB" w:rsidRPr="004D7A7B" w:rsidRDefault="006F2FFB" w:rsidP="006F2FFB">
            <w:pPr>
              <w:jc w:val="right"/>
              <w:rPr>
                <w:sz w:val="22"/>
                <w:szCs w:val="22"/>
              </w:rPr>
            </w:pPr>
            <w:r>
              <w:rPr>
                <w:rFonts w:cs="Calibri"/>
                <w:color w:val="000000"/>
                <w:sz w:val="22"/>
                <w:szCs w:val="22"/>
                <w:lang w:val="ga"/>
              </w:rPr>
              <w:t>3.1%</w:t>
            </w:r>
          </w:p>
        </w:tc>
        <w:tc>
          <w:tcPr>
            <w:tcW w:w="1291" w:type="dxa"/>
          </w:tcPr>
          <w:p w14:paraId="1B73C8E3" w14:textId="0B2DB16B" w:rsidR="006F2FFB" w:rsidRPr="004D7A7B" w:rsidRDefault="006F2FFB" w:rsidP="006F2FFB">
            <w:pPr>
              <w:jc w:val="right"/>
              <w:rPr>
                <w:sz w:val="22"/>
                <w:szCs w:val="22"/>
              </w:rPr>
            </w:pPr>
            <w:r>
              <w:rPr>
                <w:rFonts w:cs="Calibri"/>
                <w:color w:val="000000"/>
                <w:sz w:val="22"/>
                <w:szCs w:val="22"/>
                <w:lang w:val="ga"/>
              </w:rPr>
              <w:t>3521</w:t>
            </w:r>
          </w:p>
        </w:tc>
        <w:tc>
          <w:tcPr>
            <w:tcW w:w="1559" w:type="dxa"/>
          </w:tcPr>
          <w:p w14:paraId="43EE7FC9" w14:textId="345FB794" w:rsidR="006F2FFB" w:rsidRPr="004D7A7B" w:rsidRDefault="006F2FFB" w:rsidP="006F2FFB">
            <w:pPr>
              <w:jc w:val="right"/>
              <w:rPr>
                <w:sz w:val="22"/>
                <w:szCs w:val="22"/>
              </w:rPr>
            </w:pPr>
            <w:r>
              <w:rPr>
                <w:rFonts w:cs="Calibri"/>
                <w:color w:val="000000"/>
                <w:sz w:val="22"/>
                <w:szCs w:val="22"/>
                <w:lang w:val="ga"/>
              </w:rPr>
              <w:t>136</w:t>
            </w:r>
          </w:p>
        </w:tc>
        <w:tc>
          <w:tcPr>
            <w:tcW w:w="1545" w:type="dxa"/>
          </w:tcPr>
          <w:p w14:paraId="2FA91B43" w14:textId="1715D1F3" w:rsidR="006F2FFB" w:rsidRPr="004D7A7B" w:rsidRDefault="006F2FFB" w:rsidP="006F2FFB">
            <w:pPr>
              <w:jc w:val="right"/>
              <w:rPr>
                <w:sz w:val="22"/>
                <w:szCs w:val="22"/>
              </w:rPr>
            </w:pPr>
            <w:r>
              <w:rPr>
                <w:rFonts w:cs="Calibri"/>
                <w:color w:val="000000"/>
                <w:sz w:val="22"/>
                <w:szCs w:val="22"/>
                <w:lang w:val="ga"/>
              </w:rPr>
              <w:t>3.9%</w:t>
            </w:r>
          </w:p>
        </w:tc>
      </w:tr>
      <w:tr w:rsidR="006F2FFB" w:rsidRPr="004D7A7B" w14:paraId="4FF95006" w14:textId="77777777" w:rsidTr="0072284B">
        <w:trPr>
          <w:jc w:val="center"/>
        </w:trPr>
        <w:tc>
          <w:tcPr>
            <w:tcW w:w="1853" w:type="dxa"/>
          </w:tcPr>
          <w:p w14:paraId="5469E157" w14:textId="584F9639" w:rsidR="006F2FFB" w:rsidRPr="004D7A7B" w:rsidRDefault="006F2FFB" w:rsidP="006F2FFB">
            <w:pPr>
              <w:rPr>
                <w:sz w:val="22"/>
                <w:szCs w:val="22"/>
              </w:rPr>
            </w:pPr>
            <w:r>
              <w:rPr>
                <w:rFonts w:cs="Calibri"/>
                <w:color w:val="000000"/>
                <w:sz w:val="22"/>
                <w:szCs w:val="22"/>
                <w:lang w:val="ga"/>
              </w:rPr>
              <w:t xml:space="preserve">Vhi um Chúram Sláinte </w:t>
            </w:r>
          </w:p>
        </w:tc>
        <w:tc>
          <w:tcPr>
            <w:tcW w:w="1842" w:type="dxa"/>
          </w:tcPr>
          <w:p w14:paraId="7CF6A310" w14:textId="1E4E6031" w:rsidR="006F2FFB" w:rsidRPr="004D7A7B" w:rsidRDefault="006F2FFB" w:rsidP="006F2FFB">
            <w:pPr>
              <w:jc w:val="right"/>
              <w:rPr>
                <w:sz w:val="22"/>
                <w:szCs w:val="22"/>
              </w:rPr>
            </w:pPr>
            <w:r>
              <w:rPr>
                <w:rFonts w:cs="Calibri"/>
                <w:color w:val="000000"/>
                <w:sz w:val="22"/>
                <w:szCs w:val="22"/>
                <w:lang w:val="ga"/>
              </w:rPr>
              <w:t>1,604</w:t>
            </w:r>
          </w:p>
        </w:tc>
        <w:tc>
          <w:tcPr>
            <w:tcW w:w="1560" w:type="dxa"/>
          </w:tcPr>
          <w:p w14:paraId="1CDAA290" w14:textId="34762870" w:rsidR="006F2FFB" w:rsidRPr="004D7A7B" w:rsidRDefault="006F2FFB" w:rsidP="006F2FFB">
            <w:pPr>
              <w:jc w:val="right"/>
              <w:rPr>
                <w:sz w:val="22"/>
                <w:szCs w:val="22"/>
              </w:rPr>
            </w:pPr>
            <w:r>
              <w:rPr>
                <w:rFonts w:cs="Calibri"/>
                <w:color w:val="000000"/>
                <w:sz w:val="22"/>
                <w:szCs w:val="22"/>
                <w:lang w:val="ga"/>
              </w:rPr>
              <w:t>94</w:t>
            </w:r>
          </w:p>
        </w:tc>
        <w:tc>
          <w:tcPr>
            <w:tcW w:w="1544" w:type="dxa"/>
          </w:tcPr>
          <w:p w14:paraId="0A9B2AA2" w14:textId="1F3B6ED9" w:rsidR="006F2FFB" w:rsidRPr="004D7A7B" w:rsidRDefault="006F2FFB" w:rsidP="006F2FFB">
            <w:pPr>
              <w:jc w:val="right"/>
              <w:rPr>
                <w:sz w:val="22"/>
                <w:szCs w:val="22"/>
              </w:rPr>
            </w:pPr>
            <w:r>
              <w:rPr>
                <w:rFonts w:cs="Calibri"/>
                <w:color w:val="000000"/>
                <w:sz w:val="22"/>
                <w:szCs w:val="22"/>
                <w:lang w:val="ga"/>
              </w:rPr>
              <w:t>5.9%</w:t>
            </w:r>
          </w:p>
        </w:tc>
        <w:tc>
          <w:tcPr>
            <w:tcW w:w="1291" w:type="dxa"/>
          </w:tcPr>
          <w:p w14:paraId="7DBF44CA" w14:textId="72FC00E1" w:rsidR="006F2FFB" w:rsidRPr="004D7A7B" w:rsidRDefault="006F2FFB" w:rsidP="006F2FFB">
            <w:pPr>
              <w:jc w:val="right"/>
              <w:rPr>
                <w:sz w:val="22"/>
                <w:szCs w:val="22"/>
              </w:rPr>
            </w:pPr>
            <w:r>
              <w:rPr>
                <w:rFonts w:cs="Calibri"/>
                <w:color w:val="000000"/>
                <w:sz w:val="22"/>
                <w:szCs w:val="22"/>
                <w:lang w:val="ga"/>
              </w:rPr>
              <w:t>1922</w:t>
            </w:r>
          </w:p>
        </w:tc>
        <w:tc>
          <w:tcPr>
            <w:tcW w:w="1559" w:type="dxa"/>
          </w:tcPr>
          <w:p w14:paraId="2DBF0593" w14:textId="571287C6" w:rsidR="006F2FFB" w:rsidRPr="004D7A7B" w:rsidRDefault="006F2FFB" w:rsidP="006F2FFB">
            <w:pPr>
              <w:jc w:val="right"/>
              <w:rPr>
                <w:sz w:val="22"/>
                <w:szCs w:val="22"/>
              </w:rPr>
            </w:pPr>
            <w:r>
              <w:rPr>
                <w:rFonts w:cs="Calibri"/>
                <w:color w:val="000000"/>
                <w:sz w:val="22"/>
                <w:szCs w:val="22"/>
                <w:lang w:val="ga"/>
              </w:rPr>
              <w:t>118</w:t>
            </w:r>
          </w:p>
        </w:tc>
        <w:tc>
          <w:tcPr>
            <w:tcW w:w="1545" w:type="dxa"/>
          </w:tcPr>
          <w:p w14:paraId="1445AC8D" w14:textId="3B240D27" w:rsidR="006F2FFB" w:rsidRPr="004D7A7B" w:rsidRDefault="006F2FFB" w:rsidP="006F2FFB">
            <w:pPr>
              <w:jc w:val="right"/>
              <w:rPr>
                <w:sz w:val="22"/>
                <w:szCs w:val="22"/>
              </w:rPr>
            </w:pPr>
            <w:r>
              <w:rPr>
                <w:rFonts w:cs="Calibri"/>
                <w:color w:val="000000"/>
                <w:sz w:val="22"/>
                <w:szCs w:val="22"/>
                <w:lang w:val="ga"/>
              </w:rPr>
              <w:t>6.1%</w:t>
            </w:r>
          </w:p>
        </w:tc>
      </w:tr>
      <w:tr w:rsidR="004D7A7B" w:rsidRPr="004D7A7B" w14:paraId="05506347" w14:textId="77777777" w:rsidTr="0072284B">
        <w:trPr>
          <w:trHeight w:val="517"/>
          <w:jc w:val="center"/>
        </w:trPr>
        <w:tc>
          <w:tcPr>
            <w:tcW w:w="1853" w:type="dxa"/>
          </w:tcPr>
          <w:p w14:paraId="46FA73E9" w14:textId="0A31B96C" w:rsidR="004D7A7B" w:rsidRPr="004D7A7B" w:rsidRDefault="004D7A7B" w:rsidP="004D7A7B">
            <w:pPr>
              <w:spacing w:after="0"/>
              <w:rPr>
                <w:b/>
                <w:sz w:val="22"/>
                <w:szCs w:val="22"/>
              </w:rPr>
            </w:pPr>
            <w:r>
              <w:rPr>
                <w:b/>
                <w:bCs/>
                <w:sz w:val="22"/>
                <w:szCs w:val="22"/>
                <w:lang w:val="ga"/>
              </w:rPr>
              <w:t xml:space="preserve">Mór-Iomlán </w:t>
            </w:r>
          </w:p>
        </w:tc>
        <w:tc>
          <w:tcPr>
            <w:tcW w:w="1842" w:type="dxa"/>
          </w:tcPr>
          <w:p w14:paraId="461831FB" w14:textId="77777777" w:rsidR="004D7A7B" w:rsidRPr="004D7A7B" w:rsidRDefault="004D7A7B" w:rsidP="004D7A7B">
            <w:pPr>
              <w:spacing w:after="0"/>
              <w:jc w:val="right"/>
              <w:rPr>
                <w:rFonts w:cs="Calibri"/>
                <w:b/>
                <w:bCs/>
                <w:color w:val="000000"/>
                <w:sz w:val="22"/>
                <w:szCs w:val="22"/>
              </w:rPr>
            </w:pPr>
            <w:r>
              <w:rPr>
                <w:rFonts w:cs="Calibri"/>
                <w:b/>
                <w:bCs/>
                <w:color w:val="000000"/>
                <w:sz w:val="22"/>
                <w:szCs w:val="22"/>
                <w:lang w:val="ga"/>
              </w:rPr>
              <w:t>113,399</w:t>
            </w:r>
          </w:p>
          <w:p w14:paraId="113D84BE" w14:textId="71A1111D" w:rsidR="004D7A7B" w:rsidRPr="004D7A7B" w:rsidRDefault="004D7A7B" w:rsidP="004D7A7B">
            <w:pPr>
              <w:spacing w:after="0"/>
              <w:jc w:val="right"/>
              <w:rPr>
                <w:sz w:val="22"/>
                <w:szCs w:val="22"/>
              </w:rPr>
            </w:pPr>
          </w:p>
        </w:tc>
        <w:tc>
          <w:tcPr>
            <w:tcW w:w="1560" w:type="dxa"/>
          </w:tcPr>
          <w:p w14:paraId="29423809" w14:textId="77777777" w:rsidR="004D7A7B" w:rsidRPr="004D7A7B" w:rsidRDefault="004D7A7B" w:rsidP="004D7A7B">
            <w:pPr>
              <w:spacing w:after="0"/>
              <w:jc w:val="right"/>
              <w:rPr>
                <w:rFonts w:cs="Calibri"/>
                <w:b/>
                <w:bCs/>
                <w:color w:val="000000"/>
                <w:sz w:val="22"/>
                <w:szCs w:val="22"/>
              </w:rPr>
            </w:pPr>
            <w:r>
              <w:rPr>
                <w:rFonts w:cs="Calibri"/>
                <w:b/>
                <w:bCs/>
                <w:color w:val="000000"/>
                <w:sz w:val="22"/>
                <w:szCs w:val="22"/>
                <w:lang w:val="ga"/>
              </w:rPr>
              <w:t>2,296</w:t>
            </w:r>
          </w:p>
          <w:p w14:paraId="001A315D" w14:textId="5A6F18DA" w:rsidR="004D7A7B" w:rsidRPr="004D7A7B" w:rsidRDefault="004D7A7B" w:rsidP="004D7A7B">
            <w:pPr>
              <w:spacing w:after="0"/>
              <w:jc w:val="right"/>
              <w:rPr>
                <w:b/>
                <w:sz w:val="22"/>
                <w:szCs w:val="22"/>
              </w:rPr>
            </w:pPr>
          </w:p>
        </w:tc>
        <w:tc>
          <w:tcPr>
            <w:tcW w:w="1544" w:type="dxa"/>
          </w:tcPr>
          <w:p w14:paraId="07E46314" w14:textId="198C3515" w:rsidR="004D7A7B" w:rsidRPr="004D7A7B" w:rsidRDefault="004D7A7B" w:rsidP="004D7A7B">
            <w:pPr>
              <w:spacing w:after="0"/>
              <w:jc w:val="right"/>
              <w:rPr>
                <w:b/>
                <w:sz w:val="22"/>
                <w:szCs w:val="22"/>
              </w:rPr>
            </w:pPr>
            <w:r>
              <w:rPr>
                <w:b/>
                <w:bCs/>
                <w:sz w:val="22"/>
                <w:szCs w:val="22"/>
                <w:lang w:val="ga"/>
              </w:rPr>
              <w:t>2.0%</w:t>
            </w:r>
          </w:p>
        </w:tc>
        <w:tc>
          <w:tcPr>
            <w:tcW w:w="1291" w:type="dxa"/>
          </w:tcPr>
          <w:p w14:paraId="4BFE4855" w14:textId="0E2B0A76" w:rsidR="006F2FFB" w:rsidRDefault="006F2FFB" w:rsidP="006F2FFB">
            <w:pPr>
              <w:spacing w:after="0"/>
              <w:jc w:val="right"/>
              <w:rPr>
                <w:rFonts w:cs="Calibri"/>
                <w:b/>
                <w:bCs/>
                <w:color w:val="000000"/>
                <w:sz w:val="22"/>
                <w:szCs w:val="22"/>
              </w:rPr>
            </w:pPr>
            <w:r>
              <w:rPr>
                <w:rFonts w:cs="Calibri"/>
                <w:b/>
                <w:bCs/>
                <w:color w:val="000000"/>
                <w:sz w:val="22"/>
                <w:szCs w:val="22"/>
                <w:lang w:val="ga"/>
              </w:rPr>
              <w:t>118,913</w:t>
            </w:r>
          </w:p>
          <w:p w14:paraId="5FB9A2C6" w14:textId="41F1CC38" w:rsidR="004D7A7B" w:rsidRPr="004D7A7B" w:rsidRDefault="004D7A7B" w:rsidP="004D7A7B">
            <w:pPr>
              <w:spacing w:after="0"/>
              <w:jc w:val="right"/>
              <w:rPr>
                <w:b/>
                <w:sz w:val="22"/>
                <w:szCs w:val="22"/>
              </w:rPr>
            </w:pPr>
          </w:p>
        </w:tc>
        <w:tc>
          <w:tcPr>
            <w:tcW w:w="1559" w:type="dxa"/>
          </w:tcPr>
          <w:p w14:paraId="6B9239FB" w14:textId="77777777" w:rsidR="006F2FFB" w:rsidRDefault="006F2FFB" w:rsidP="006F2FFB">
            <w:pPr>
              <w:spacing w:after="0"/>
              <w:jc w:val="right"/>
              <w:rPr>
                <w:rFonts w:cs="Calibri"/>
                <w:b/>
                <w:bCs/>
                <w:color w:val="000000"/>
                <w:sz w:val="22"/>
                <w:szCs w:val="22"/>
              </w:rPr>
            </w:pPr>
            <w:r>
              <w:rPr>
                <w:rFonts w:cs="Calibri"/>
                <w:b/>
                <w:bCs/>
                <w:color w:val="000000"/>
                <w:sz w:val="22"/>
                <w:szCs w:val="22"/>
                <w:lang w:val="ga"/>
              </w:rPr>
              <w:t>3241</w:t>
            </w:r>
          </w:p>
          <w:p w14:paraId="6FA66A19" w14:textId="59F5B371" w:rsidR="004D7A7B" w:rsidRPr="004D7A7B" w:rsidRDefault="004D7A7B" w:rsidP="004D7A7B">
            <w:pPr>
              <w:spacing w:after="0"/>
              <w:jc w:val="right"/>
              <w:rPr>
                <w:b/>
                <w:sz w:val="22"/>
                <w:szCs w:val="22"/>
              </w:rPr>
            </w:pPr>
          </w:p>
        </w:tc>
        <w:tc>
          <w:tcPr>
            <w:tcW w:w="1545" w:type="dxa"/>
          </w:tcPr>
          <w:p w14:paraId="29103E3F" w14:textId="77777777" w:rsidR="006F2FFB" w:rsidRDefault="006F2FFB" w:rsidP="006F2FFB">
            <w:pPr>
              <w:spacing w:after="0"/>
              <w:jc w:val="right"/>
              <w:rPr>
                <w:rFonts w:cs="Calibri"/>
                <w:b/>
                <w:bCs/>
                <w:color w:val="000000"/>
                <w:sz w:val="22"/>
                <w:szCs w:val="22"/>
              </w:rPr>
            </w:pPr>
            <w:r>
              <w:rPr>
                <w:rFonts w:cs="Calibri"/>
                <w:b/>
                <w:bCs/>
                <w:color w:val="000000"/>
                <w:sz w:val="22"/>
                <w:szCs w:val="22"/>
                <w:lang w:val="ga"/>
              </w:rPr>
              <w:t>2.7%</w:t>
            </w:r>
          </w:p>
          <w:p w14:paraId="5E412C61" w14:textId="4002C452" w:rsidR="004D7A7B" w:rsidRPr="004D7A7B" w:rsidRDefault="004D7A7B" w:rsidP="004D7A7B">
            <w:pPr>
              <w:spacing w:after="0"/>
              <w:jc w:val="right"/>
              <w:rPr>
                <w:b/>
                <w:sz w:val="22"/>
                <w:szCs w:val="22"/>
              </w:rPr>
            </w:pPr>
          </w:p>
        </w:tc>
      </w:tr>
    </w:tbl>
    <w:p w14:paraId="0F5B2E45" w14:textId="0EF6DD6D" w:rsidR="00692A75" w:rsidRPr="00611BF3" w:rsidRDefault="00692A75">
      <w:pPr>
        <w:spacing w:after="0"/>
        <w:rPr>
          <w:rFonts w:cs="Arial"/>
          <w:b/>
          <w:sz w:val="22"/>
          <w:szCs w:val="22"/>
          <w:highlight w:val="green"/>
        </w:rPr>
      </w:pPr>
    </w:p>
    <w:p w14:paraId="7F7C73BC" w14:textId="77777777" w:rsidR="001624B2" w:rsidRPr="006F2FFB" w:rsidRDefault="001624B2" w:rsidP="00DA2B08"/>
    <w:p w14:paraId="364D35AF" w14:textId="77777777" w:rsidR="00500B99" w:rsidRDefault="00500B99" w:rsidP="00DA2B08"/>
    <w:p w14:paraId="726A5D7B" w14:textId="77777777" w:rsidR="00500B99" w:rsidRDefault="00500B99" w:rsidP="00DA2B08"/>
    <w:p w14:paraId="294D2F95" w14:textId="77777777" w:rsidR="0072284B" w:rsidRDefault="0072284B">
      <w:pPr>
        <w:spacing w:after="0"/>
        <w:rPr>
          <w:rFonts w:ascii="Rockwell" w:hAnsi="Rockwell"/>
          <w:b/>
          <w:bCs/>
          <w:color w:val="000000" w:themeColor="text1"/>
          <w:sz w:val="32"/>
          <w:szCs w:val="32"/>
          <w:lang w:val="ga"/>
        </w:rPr>
      </w:pPr>
      <w:bookmarkStart w:id="77" w:name="_Toc147910093"/>
      <w:r>
        <w:rPr>
          <w:bCs/>
          <w:color w:val="000000" w:themeColor="text1"/>
          <w:lang w:val="ga"/>
        </w:rPr>
        <w:br w:type="page"/>
      </w:r>
    </w:p>
    <w:p w14:paraId="7FF59402" w14:textId="6FC9BC64" w:rsidR="00001536" w:rsidRPr="006F2FFB" w:rsidRDefault="00624403" w:rsidP="00001536">
      <w:pPr>
        <w:pStyle w:val="Heading2"/>
        <w:rPr>
          <w:color w:val="000000" w:themeColor="text1"/>
        </w:rPr>
      </w:pPr>
      <w:r>
        <w:rPr>
          <w:bCs/>
          <w:color w:val="000000" w:themeColor="text1"/>
          <w:lang w:val="ga"/>
        </w:rPr>
        <w:t>An Roinn Tithíochta, Rialtais Áitiúil agus Oidhreachta</w:t>
      </w:r>
      <w:bookmarkEnd w:id="77"/>
      <w:r>
        <w:rPr>
          <w:bCs/>
          <w:color w:val="000000" w:themeColor="text1"/>
          <w:lang w:val="ga"/>
        </w:rPr>
        <w:t xml:space="preserve"> </w:t>
      </w:r>
    </w:p>
    <w:p w14:paraId="2892E4E8" w14:textId="77777777" w:rsidR="00031890" w:rsidRPr="006F2FFB" w:rsidRDefault="00031890" w:rsidP="00031890">
      <w:pPr>
        <w:rPr>
          <w:sz w:val="6"/>
          <w:szCs w:val="6"/>
        </w:rPr>
      </w:pPr>
    </w:p>
    <w:tbl>
      <w:tblPr>
        <w:tblStyle w:val="TableGrid"/>
        <w:tblW w:w="11335" w:type="dxa"/>
        <w:jc w:val="center"/>
        <w:tblLayout w:type="fixed"/>
        <w:tblLook w:val="04A0" w:firstRow="1" w:lastRow="0" w:firstColumn="1" w:lastColumn="0" w:noHBand="0" w:noVBand="1"/>
        <w:tblCaption w:val="Department of Housing, Local Government &amp; Heritage"/>
        <w:tblDescription w:val="Department of Housing, Local Government &amp; Heritage (comparison to the former Department of Housing, Planning &amp; Local Government in 2019)"/>
      </w:tblPr>
      <w:tblGrid>
        <w:gridCol w:w="2278"/>
        <w:gridCol w:w="1559"/>
        <w:gridCol w:w="1560"/>
        <w:gridCol w:w="1544"/>
        <w:gridCol w:w="1291"/>
        <w:gridCol w:w="1559"/>
        <w:gridCol w:w="1544"/>
      </w:tblGrid>
      <w:tr w:rsidR="00107D01" w:rsidRPr="006F2FFB" w14:paraId="7A0873C6" w14:textId="77777777" w:rsidTr="00D804C4">
        <w:trPr>
          <w:tblHeader/>
          <w:jc w:val="center"/>
        </w:trPr>
        <w:tc>
          <w:tcPr>
            <w:tcW w:w="2278" w:type="dxa"/>
          </w:tcPr>
          <w:p w14:paraId="27950BF4" w14:textId="77777777" w:rsidR="00107D01" w:rsidRPr="006F2FFB" w:rsidRDefault="00107D01" w:rsidP="00812E67">
            <w:pPr>
              <w:pStyle w:val="TableHead"/>
              <w:rPr>
                <w:sz w:val="22"/>
                <w:szCs w:val="22"/>
              </w:rPr>
            </w:pPr>
            <w:r>
              <w:rPr>
                <w:bCs/>
                <w:sz w:val="22"/>
                <w:szCs w:val="22"/>
                <w:lang w:val="ga"/>
              </w:rPr>
              <w:t>Comhlacht Poiblí</w:t>
            </w:r>
          </w:p>
        </w:tc>
        <w:tc>
          <w:tcPr>
            <w:tcW w:w="1559" w:type="dxa"/>
          </w:tcPr>
          <w:p w14:paraId="1ADC5270" w14:textId="77777777" w:rsidR="00F516FE" w:rsidRPr="006F2FFB" w:rsidRDefault="00107D01" w:rsidP="00812E67">
            <w:pPr>
              <w:pStyle w:val="TableHead"/>
              <w:rPr>
                <w:sz w:val="22"/>
                <w:szCs w:val="22"/>
              </w:rPr>
            </w:pPr>
            <w:r>
              <w:rPr>
                <w:bCs/>
                <w:sz w:val="22"/>
                <w:szCs w:val="22"/>
                <w:lang w:val="ga"/>
              </w:rPr>
              <w:t xml:space="preserve">An líon iomlán </w:t>
            </w:r>
          </w:p>
          <w:p w14:paraId="1BF86343" w14:textId="0EB1BF99" w:rsidR="00107D01" w:rsidRPr="006F2FFB" w:rsidRDefault="00107D01" w:rsidP="00812E67">
            <w:pPr>
              <w:pStyle w:val="TableHead"/>
              <w:rPr>
                <w:sz w:val="22"/>
                <w:szCs w:val="22"/>
              </w:rPr>
            </w:pPr>
            <w:r>
              <w:rPr>
                <w:bCs/>
                <w:sz w:val="22"/>
                <w:szCs w:val="22"/>
                <w:lang w:val="ga"/>
              </w:rPr>
              <w:t>fostaithe 2021</w:t>
            </w:r>
          </w:p>
        </w:tc>
        <w:tc>
          <w:tcPr>
            <w:tcW w:w="1560" w:type="dxa"/>
          </w:tcPr>
          <w:p w14:paraId="2304D017" w14:textId="721F865B" w:rsidR="00107D01" w:rsidRPr="006F2FFB" w:rsidRDefault="00107D01" w:rsidP="00812E67">
            <w:pPr>
              <w:pStyle w:val="TableHead"/>
              <w:rPr>
                <w:sz w:val="22"/>
                <w:szCs w:val="22"/>
              </w:rPr>
            </w:pPr>
            <w:r>
              <w:rPr>
                <w:bCs/>
                <w:sz w:val="22"/>
                <w:szCs w:val="22"/>
                <w:lang w:val="ga"/>
              </w:rPr>
              <w:t xml:space="preserve">An líon fostaithe a thuairiscigh míchumas </w:t>
            </w:r>
          </w:p>
          <w:p w14:paraId="0AAFD887" w14:textId="091EBB18" w:rsidR="00107D01" w:rsidRPr="006F2FFB" w:rsidRDefault="00F1261F" w:rsidP="00812E67">
            <w:pPr>
              <w:pStyle w:val="TableHead"/>
              <w:rPr>
                <w:sz w:val="22"/>
                <w:szCs w:val="22"/>
              </w:rPr>
            </w:pPr>
            <w:r>
              <w:rPr>
                <w:bCs/>
                <w:sz w:val="22"/>
                <w:szCs w:val="22"/>
                <w:lang w:val="ga"/>
              </w:rPr>
              <w:t>2021</w:t>
            </w:r>
          </w:p>
        </w:tc>
        <w:tc>
          <w:tcPr>
            <w:tcW w:w="1544" w:type="dxa"/>
          </w:tcPr>
          <w:p w14:paraId="1712622D" w14:textId="47FD9542" w:rsidR="00107D01" w:rsidRPr="006F2FFB" w:rsidRDefault="00107D01" w:rsidP="00812E67">
            <w:pPr>
              <w:pStyle w:val="TableHead"/>
              <w:rPr>
                <w:sz w:val="22"/>
                <w:szCs w:val="22"/>
              </w:rPr>
            </w:pPr>
            <w:r>
              <w:rPr>
                <w:bCs/>
                <w:sz w:val="22"/>
                <w:szCs w:val="22"/>
                <w:lang w:val="ga"/>
              </w:rPr>
              <w:t>An % d’fhostaithe a thuairiscigh</w:t>
            </w:r>
          </w:p>
          <w:p w14:paraId="374D157D" w14:textId="39E7D9CB" w:rsidR="00107D01" w:rsidRPr="006F2FFB" w:rsidRDefault="004B379F" w:rsidP="00812E67">
            <w:pPr>
              <w:pStyle w:val="TableHead"/>
              <w:rPr>
                <w:sz w:val="22"/>
                <w:szCs w:val="22"/>
              </w:rPr>
            </w:pPr>
            <w:r>
              <w:rPr>
                <w:bCs/>
                <w:sz w:val="22"/>
                <w:szCs w:val="22"/>
                <w:lang w:val="ga"/>
              </w:rPr>
              <w:t>míchumas 2021</w:t>
            </w:r>
          </w:p>
        </w:tc>
        <w:tc>
          <w:tcPr>
            <w:tcW w:w="1291" w:type="dxa"/>
          </w:tcPr>
          <w:p w14:paraId="5AFC1F58" w14:textId="77777777" w:rsidR="00F516FE" w:rsidRPr="006F2FFB" w:rsidRDefault="00F1261F" w:rsidP="00812E67">
            <w:pPr>
              <w:pStyle w:val="TableHead"/>
              <w:rPr>
                <w:sz w:val="22"/>
                <w:szCs w:val="22"/>
              </w:rPr>
            </w:pPr>
            <w:r>
              <w:rPr>
                <w:bCs/>
                <w:sz w:val="22"/>
                <w:szCs w:val="22"/>
                <w:lang w:val="ga"/>
              </w:rPr>
              <w:t xml:space="preserve">An líon iomlán </w:t>
            </w:r>
          </w:p>
          <w:p w14:paraId="233E3EA5" w14:textId="6E328B5A" w:rsidR="00107D01" w:rsidRPr="006F2FFB" w:rsidRDefault="00F1261F" w:rsidP="00812E67">
            <w:pPr>
              <w:pStyle w:val="TableHead"/>
              <w:rPr>
                <w:sz w:val="22"/>
                <w:szCs w:val="22"/>
              </w:rPr>
            </w:pPr>
            <w:r>
              <w:rPr>
                <w:bCs/>
                <w:sz w:val="22"/>
                <w:szCs w:val="22"/>
                <w:lang w:val="ga"/>
              </w:rPr>
              <w:t>fostaithe 2022</w:t>
            </w:r>
          </w:p>
        </w:tc>
        <w:tc>
          <w:tcPr>
            <w:tcW w:w="1559" w:type="dxa"/>
          </w:tcPr>
          <w:p w14:paraId="25F5F870" w14:textId="0CD8B15A" w:rsidR="00107D01" w:rsidRPr="006F2FFB" w:rsidRDefault="004B379F" w:rsidP="00812E67">
            <w:pPr>
              <w:pStyle w:val="TableHead"/>
              <w:rPr>
                <w:sz w:val="22"/>
                <w:szCs w:val="22"/>
              </w:rPr>
            </w:pPr>
            <w:r>
              <w:rPr>
                <w:bCs/>
                <w:sz w:val="22"/>
                <w:szCs w:val="22"/>
                <w:lang w:val="ga"/>
              </w:rPr>
              <w:t xml:space="preserve">An líon fostaithe a thuairiscigh míchumas </w:t>
            </w:r>
          </w:p>
          <w:p w14:paraId="6848B8E0" w14:textId="6D33FBEC" w:rsidR="00107D01" w:rsidRPr="006F2FFB" w:rsidRDefault="00F1261F" w:rsidP="00812E67">
            <w:pPr>
              <w:pStyle w:val="TableHead"/>
              <w:rPr>
                <w:sz w:val="22"/>
                <w:szCs w:val="22"/>
              </w:rPr>
            </w:pPr>
            <w:r>
              <w:rPr>
                <w:bCs/>
                <w:sz w:val="22"/>
                <w:szCs w:val="22"/>
                <w:lang w:val="ga"/>
              </w:rPr>
              <w:t>2022</w:t>
            </w:r>
          </w:p>
        </w:tc>
        <w:tc>
          <w:tcPr>
            <w:tcW w:w="1544" w:type="dxa"/>
          </w:tcPr>
          <w:p w14:paraId="48E9618F" w14:textId="0A23B395" w:rsidR="00107D01" w:rsidRPr="006F2FFB" w:rsidRDefault="00107D01" w:rsidP="00812E67">
            <w:pPr>
              <w:pStyle w:val="TableHead"/>
              <w:rPr>
                <w:sz w:val="22"/>
                <w:szCs w:val="22"/>
              </w:rPr>
            </w:pPr>
            <w:r>
              <w:rPr>
                <w:bCs/>
                <w:sz w:val="22"/>
                <w:szCs w:val="22"/>
                <w:lang w:val="ga"/>
              </w:rPr>
              <w:t>An % d’fhostaithe a thuairiscigh</w:t>
            </w:r>
          </w:p>
          <w:p w14:paraId="3C509247" w14:textId="07F57B76" w:rsidR="00107D01" w:rsidRPr="006F2FFB" w:rsidRDefault="004B379F" w:rsidP="00812E67">
            <w:pPr>
              <w:pStyle w:val="TableHead"/>
              <w:rPr>
                <w:sz w:val="22"/>
                <w:szCs w:val="22"/>
              </w:rPr>
            </w:pPr>
            <w:r>
              <w:rPr>
                <w:bCs/>
                <w:sz w:val="22"/>
                <w:szCs w:val="22"/>
                <w:lang w:val="ga"/>
              </w:rPr>
              <w:t>míchumas 2022</w:t>
            </w:r>
          </w:p>
        </w:tc>
      </w:tr>
      <w:tr w:rsidR="006F2FFB" w:rsidRPr="006F2FFB" w14:paraId="205E78D3" w14:textId="77777777" w:rsidTr="00D804C4">
        <w:trPr>
          <w:jc w:val="center"/>
        </w:trPr>
        <w:tc>
          <w:tcPr>
            <w:tcW w:w="2278" w:type="dxa"/>
          </w:tcPr>
          <w:p w14:paraId="6CC20903" w14:textId="419FFD09" w:rsidR="006F2FFB" w:rsidRPr="006F2FFB" w:rsidRDefault="006F2FFB" w:rsidP="006F2FFB">
            <w:pPr>
              <w:rPr>
                <w:sz w:val="22"/>
                <w:szCs w:val="22"/>
              </w:rPr>
            </w:pPr>
            <w:r>
              <w:rPr>
                <w:rFonts w:cs="Calibri"/>
                <w:color w:val="000000"/>
                <w:sz w:val="22"/>
                <w:szCs w:val="22"/>
                <w:lang w:val="ga"/>
              </w:rPr>
              <w:t>An Bord Pleanála</w:t>
            </w:r>
          </w:p>
        </w:tc>
        <w:tc>
          <w:tcPr>
            <w:tcW w:w="1559" w:type="dxa"/>
          </w:tcPr>
          <w:p w14:paraId="6AE0AC27" w14:textId="5E5F7346" w:rsidR="006F2FFB" w:rsidRPr="006F2FFB" w:rsidRDefault="006F2FFB" w:rsidP="006F2FFB">
            <w:pPr>
              <w:jc w:val="right"/>
              <w:rPr>
                <w:sz w:val="22"/>
                <w:szCs w:val="22"/>
              </w:rPr>
            </w:pPr>
            <w:r>
              <w:rPr>
                <w:rFonts w:cs="Calibri"/>
                <w:color w:val="000000"/>
                <w:sz w:val="22"/>
                <w:szCs w:val="22"/>
                <w:lang w:val="ga"/>
              </w:rPr>
              <w:t>203</w:t>
            </w:r>
          </w:p>
        </w:tc>
        <w:tc>
          <w:tcPr>
            <w:tcW w:w="1560" w:type="dxa"/>
          </w:tcPr>
          <w:p w14:paraId="48393BF2" w14:textId="494DF7FA" w:rsidR="006F2FFB" w:rsidRPr="006F2FFB" w:rsidRDefault="006F2FFB" w:rsidP="006F2FFB">
            <w:pPr>
              <w:jc w:val="right"/>
              <w:rPr>
                <w:sz w:val="22"/>
                <w:szCs w:val="22"/>
              </w:rPr>
            </w:pPr>
            <w:r>
              <w:rPr>
                <w:rFonts w:cs="Calibri"/>
                <w:color w:val="000000"/>
                <w:sz w:val="22"/>
                <w:szCs w:val="22"/>
                <w:lang w:val="ga"/>
              </w:rPr>
              <w:t>22</w:t>
            </w:r>
          </w:p>
        </w:tc>
        <w:tc>
          <w:tcPr>
            <w:tcW w:w="1544" w:type="dxa"/>
          </w:tcPr>
          <w:p w14:paraId="56BD7C6B" w14:textId="5B57DEA2" w:rsidR="006F2FFB" w:rsidRPr="006F2FFB" w:rsidRDefault="006F2FFB" w:rsidP="006F2FFB">
            <w:pPr>
              <w:jc w:val="right"/>
              <w:rPr>
                <w:sz w:val="22"/>
                <w:szCs w:val="22"/>
              </w:rPr>
            </w:pPr>
            <w:r>
              <w:rPr>
                <w:rFonts w:cs="Calibri"/>
                <w:color w:val="000000"/>
                <w:sz w:val="22"/>
                <w:szCs w:val="22"/>
                <w:lang w:val="ga"/>
              </w:rPr>
              <w:t>10.8%</w:t>
            </w:r>
          </w:p>
        </w:tc>
        <w:tc>
          <w:tcPr>
            <w:tcW w:w="1291" w:type="dxa"/>
          </w:tcPr>
          <w:p w14:paraId="3E5AF5FB" w14:textId="173A2837" w:rsidR="006F2FFB" w:rsidRPr="006F2FFB" w:rsidRDefault="006F2FFB" w:rsidP="006F2FFB">
            <w:pPr>
              <w:jc w:val="right"/>
              <w:rPr>
                <w:sz w:val="22"/>
                <w:szCs w:val="22"/>
              </w:rPr>
            </w:pPr>
            <w:r>
              <w:rPr>
                <w:rFonts w:cs="Calibri"/>
                <w:color w:val="000000"/>
                <w:sz w:val="22"/>
                <w:szCs w:val="22"/>
                <w:lang w:val="ga"/>
              </w:rPr>
              <w:t>203</w:t>
            </w:r>
          </w:p>
        </w:tc>
        <w:tc>
          <w:tcPr>
            <w:tcW w:w="1559" w:type="dxa"/>
          </w:tcPr>
          <w:p w14:paraId="429B613F" w14:textId="78C50155" w:rsidR="006F2FFB" w:rsidRPr="006F2FFB" w:rsidRDefault="006F2FFB" w:rsidP="006F2FFB">
            <w:pPr>
              <w:jc w:val="right"/>
              <w:rPr>
                <w:sz w:val="22"/>
                <w:szCs w:val="22"/>
              </w:rPr>
            </w:pPr>
            <w:r>
              <w:rPr>
                <w:rFonts w:cs="Calibri"/>
                <w:color w:val="000000"/>
                <w:sz w:val="22"/>
                <w:szCs w:val="22"/>
                <w:lang w:val="ga"/>
              </w:rPr>
              <w:t>19</w:t>
            </w:r>
          </w:p>
        </w:tc>
        <w:tc>
          <w:tcPr>
            <w:tcW w:w="1544" w:type="dxa"/>
          </w:tcPr>
          <w:p w14:paraId="5DEE772A" w14:textId="3CAAD0BA" w:rsidR="006F2FFB" w:rsidRPr="006F2FFB" w:rsidRDefault="006F2FFB" w:rsidP="006F2FFB">
            <w:pPr>
              <w:jc w:val="right"/>
              <w:rPr>
                <w:sz w:val="22"/>
                <w:szCs w:val="22"/>
              </w:rPr>
            </w:pPr>
            <w:r>
              <w:rPr>
                <w:rFonts w:cs="Calibri"/>
                <w:color w:val="000000"/>
                <w:sz w:val="22"/>
                <w:szCs w:val="22"/>
                <w:lang w:val="ga"/>
              </w:rPr>
              <w:t>9.4%</w:t>
            </w:r>
          </w:p>
        </w:tc>
      </w:tr>
      <w:tr w:rsidR="006F2FFB" w:rsidRPr="006F2FFB" w14:paraId="5D7AAD41" w14:textId="77777777" w:rsidTr="00D804C4">
        <w:trPr>
          <w:jc w:val="center"/>
        </w:trPr>
        <w:tc>
          <w:tcPr>
            <w:tcW w:w="2278" w:type="dxa"/>
          </w:tcPr>
          <w:p w14:paraId="566A9DFE" w14:textId="18183F1D" w:rsidR="006F2FFB" w:rsidRPr="006F2FFB" w:rsidRDefault="006F2FFB" w:rsidP="006F2FFB">
            <w:pPr>
              <w:rPr>
                <w:sz w:val="22"/>
                <w:szCs w:val="22"/>
              </w:rPr>
            </w:pPr>
            <w:r>
              <w:rPr>
                <w:color w:val="000000"/>
                <w:sz w:val="22"/>
                <w:szCs w:val="22"/>
                <w:lang w:val="ga"/>
              </w:rPr>
              <w:t>Údarás Rialála na gComhlachtaí Tithíochta Ceadaithe (AHBRA)</w:t>
            </w:r>
            <w:r>
              <w:rPr>
                <w:b/>
                <w:bCs/>
                <w:sz w:val="22"/>
                <w:szCs w:val="22"/>
                <w:lang w:val="ga"/>
              </w:rPr>
              <w:t xml:space="preserve"> </w:t>
            </w:r>
          </w:p>
        </w:tc>
        <w:tc>
          <w:tcPr>
            <w:tcW w:w="1559" w:type="dxa"/>
          </w:tcPr>
          <w:p w14:paraId="533C0458" w14:textId="3604A66B" w:rsidR="006F2FFB" w:rsidRPr="006F2FFB" w:rsidRDefault="006F2FFB" w:rsidP="006F2FFB">
            <w:pPr>
              <w:jc w:val="right"/>
              <w:rPr>
                <w:sz w:val="22"/>
                <w:szCs w:val="22"/>
              </w:rPr>
            </w:pPr>
            <w:r>
              <w:rPr>
                <w:rFonts w:cs="Calibri"/>
                <w:color w:val="000000"/>
                <w:sz w:val="22"/>
                <w:szCs w:val="22"/>
                <w:lang w:val="ga"/>
              </w:rPr>
              <w:t>18</w:t>
            </w:r>
          </w:p>
        </w:tc>
        <w:tc>
          <w:tcPr>
            <w:tcW w:w="1560" w:type="dxa"/>
          </w:tcPr>
          <w:p w14:paraId="407F9376" w14:textId="6F1ED688" w:rsidR="006F2FFB" w:rsidRPr="006F2FFB" w:rsidRDefault="006F2FFB" w:rsidP="006F2FFB">
            <w:pPr>
              <w:jc w:val="right"/>
              <w:rPr>
                <w:sz w:val="22"/>
                <w:szCs w:val="22"/>
              </w:rPr>
            </w:pPr>
            <w:r>
              <w:rPr>
                <w:rFonts w:cs="Calibri"/>
                <w:color w:val="000000"/>
                <w:sz w:val="22"/>
                <w:szCs w:val="22"/>
                <w:lang w:val="ga"/>
              </w:rPr>
              <w:t>3</w:t>
            </w:r>
          </w:p>
        </w:tc>
        <w:tc>
          <w:tcPr>
            <w:tcW w:w="1544" w:type="dxa"/>
          </w:tcPr>
          <w:p w14:paraId="7948FA7E" w14:textId="1377A81E" w:rsidR="006F2FFB" w:rsidRPr="006F2FFB" w:rsidRDefault="006F2FFB" w:rsidP="006F2FFB">
            <w:pPr>
              <w:jc w:val="right"/>
              <w:rPr>
                <w:sz w:val="22"/>
                <w:szCs w:val="22"/>
              </w:rPr>
            </w:pPr>
            <w:r>
              <w:rPr>
                <w:rFonts w:cs="Calibri"/>
                <w:color w:val="000000"/>
                <w:sz w:val="22"/>
                <w:szCs w:val="22"/>
                <w:lang w:val="ga"/>
              </w:rPr>
              <w:t>16.7%</w:t>
            </w:r>
          </w:p>
        </w:tc>
        <w:tc>
          <w:tcPr>
            <w:tcW w:w="1291" w:type="dxa"/>
          </w:tcPr>
          <w:p w14:paraId="7FBEB1CD" w14:textId="2D2578DC" w:rsidR="006F2FFB" w:rsidRPr="006F2FFB" w:rsidRDefault="006F2FFB" w:rsidP="006F2FFB">
            <w:pPr>
              <w:jc w:val="right"/>
              <w:rPr>
                <w:sz w:val="22"/>
                <w:szCs w:val="22"/>
              </w:rPr>
            </w:pPr>
            <w:r>
              <w:rPr>
                <w:rFonts w:cs="Calibri"/>
                <w:color w:val="000000"/>
                <w:sz w:val="22"/>
                <w:szCs w:val="22"/>
                <w:lang w:val="ga"/>
              </w:rPr>
              <w:t>16</w:t>
            </w:r>
          </w:p>
        </w:tc>
        <w:tc>
          <w:tcPr>
            <w:tcW w:w="1559" w:type="dxa"/>
          </w:tcPr>
          <w:p w14:paraId="51B7F364" w14:textId="38D11D01" w:rsidR="006F2FFB" w:rsidRPr="006F2FFB" w:rsidRDefault="006F2FFB" w:rsidP="006F2FFB">
            <w:pPr>
              <w:jc w:val="right"/>
              <w:rPr>
                <w:sz w:val="22"/>
                <w:szCs w:val="22"/>
              </w:rPr>
            </w:pPr>
            <w:r>
              <w:rPr>
                <w:rFonts w:cs="Calibri"/>
                <w:color w:val="000000"/>
                <w:sz w:val="22"/>
                <w:szCs w:val="22"/>
                <w:lang w:val="ga"/>
              </w:rPr>
              <w:t>4</w:t>
            </w:r>
          </w:p>
        </w:tc>
        <w:tc>
          <w:tcPr>
            <w:tcW w:w="1544" w:type="dxa"/>
          </w:tcPr>
          <w:p w14:paraId="19012F27" w14:textId="00164D4F" w:rsidR="006F2FFB" w:rsidRPr="006F2FFB" w:rsidRDefault="006F2FFB" w:rsidP="006F2FFB">
            <w:pPr>
              <w:jc w:val="right"/>
              <w:rPr>
                <w:sz w:val="22"/>
                <w:szCs w:val="22"/>
              </w:rPr>
            </w:pPr>
            <w:r>
              <w:rPr>
                <w:rFonts w:cs="Calibri"/>
                <w:color w:val="000000"/>
                <w:sz w:val="22"/>
                <w:szCs w:val="22"/>
                <w:lang w:val="ga"/>
              </w:rPr>
              <w:t>25.0%</w:t>
            </w:r>
          </w:p>
        </w:tc>
      </w:tr>
      <w:tr w:rsidR="006F2FFB" w:rsidRPr="006F2FFB" w14:paraId="2DA2D1FE" w14:textId="77777777" w:rsidTr="00D804C4">
        <w:trPr>
          <w:jc w:val="center"/>
        </w:trPr>
        <w:tc>
          <w:tcPr>
            <w:tcW w:w="2278" w:type="dxa"/>
          </w:tcPr>
          <w:p w14:paraId="4A935158" w14:textId="6FCDEB63" w:rsidR="006F2FFB" w:rsidRPr="006F2FFB" w:rsidRDefault="006F2FFB" w:rsidP="006F2FFB">
            <w:pPr>
              <w:rPr>
                <w:sz w:val="22"/>
                <w:szCs w:val="22"/>
              </w:rPr>
            </w:pPr>
            <w:r>
              <w:rPr>
                <w:rFonts w:cs="Calibri"/>
                <w:color w:val="000000"/>
                <w:sz w:val="22"/>
                <w:szCs w:val="22"/>
                <w:lang w:val="ga"/>
              </w:rPr>
              <w:t>Comhairle Contae Cheatharlach</w:t>
            </w:r>
          </w:p>
        </w:tc>
        <w:tc>
          <w:tcPr>
            <w:tcW w:w="1559" w:type="dxa"/>
          </w:tcPr>
          <w:p w14:paraId="10A47683" w14:textId="775C540D" w:rsidR="006F2FFB" w:rsidRPr="006F2FFB" w:rsidRDefault="006F2FFB" w:rsidP="006F2FFB">
            <w:pPr>
              <w:jc w:val="right"/>
              <w:rPr>
                <w:sz w:val="22"/>
                <w:szCs w:val="22"/>
              </w:rPr>
            </w:pPr>
            <w:r>
              <w:rPr>
                <w:rFonts w:cs="Calibri"/>
                <w:color w:val="000000"/>
                <w:sz w:val="22"/>
                <w:szCs w:val="22"/>
                <w:lang w:val="ga"/>
              </w:rPr>
              <w:t>376</w:t>
            </w:r>
          </w:p>
        </w:tc>
        <w:tc>
          <w:tcPr>
            <w:tcW w:w="1560" w:type="dxa"/>
          </w:tcPr>
          <w:p w14:paraId="10633564" w14:textId="32EA0C6B" w:rsidR="006F2FFB" w:rsidRPr="006F2FFB" w:rsidRDefault="006F2FFB" w:rsidP="006F2FFB">
            <w:pPr>
              <w:jc w:val="right"/>
              <w:rPr>
                <w:sz w:val="22"/>
                <w:szCs w:val="22"/>
              </w:rPr>
            </w:pPr>
            <w:r>
              <w:rPr>
                <w:rFonts w:cs="Calibri"/>
                <w:color w:val="000000"/>
                <w:sz w:val="22"/>
                <w:szCs w:val="22"/>
                <w:lang w:val="ga"/>
              </w:rPr>
              <w:t>14</w:t>
            </w:r>
          </w:p>
        </w:tc>
        <w:tc>
          <w:tcPr>
            <w:tcW w:w="1544" w:type="dxa"/>
          </w:tcPr>
          <w:p w14:paraId="490400D7" w14:textId="74679997" w:rsidR="006F2FFB" w:rsidRPr="006F2FFB" w:rsidRDefault="006F2FFB" w:rsidP="006F2FFB">
            <w:pPr>
              <w:jc w:val="right"/>
              <w:rPr>
                <w:sz w:val="22"/>
                <w:szCs w:val="22"/>
              </w:rPr>
            </w:pPr>
            <w:r>
              <w:rPr>
                <w:rFonts w:cs="Calibri"/>
                <w:color w:val="000000"/>
                <w:sz w:val="22"/>
                <w:szCs w:val="22"/>
                <w:lang w:val="ga"/>
              </w:rPr>
              <w:t>3.7%</w:t>
            </w:r>
          </w:p>
        </w:tc>
        <w:tc>
          <w:tcPr>
            <w:tcW w:w="1291" w:type="dxa"/>
          </w:tcPr>
          <w:p w14:paraId="39A104D5" w14:textId="119A6737" w:rsidR="006F2FFB" w:rsidRPr="006F2FFB" w:rsidRDefault="006F2FFB" w:rsidP="006F2FFB">
            <w:pPr>
              <w:jc w:val="right"/>
              <w:rPr>
                <w:sz w:val="22"/>
                <w:szCs w:val="22"/>
              </w:rPr>
            </w:pPr>
            <w:r>
              <w:rPr>
                <w:rFonts w:cs="Calibri"/>
                <w:color w:val="000000"/>
                <w:sz w:val="22"/>
                <w:szCs w:val="22"/>
                <w:lang w:val="ga"/>
              </w:rPr>
              <w:t>386</w:t>
            </w:r>
          </w:p>
        </w:tc>
        <w:tc>
          <w:tcPr>
            <w:tcW w:w="1559" w:type="dxa"/>
          </w:tcPr>
          <w:p w14:paraId="71433937" w14:textId="49528468" w:rsidR="006F2FFB" w:rsidRPr="006F2FFB" w:rsidRDefault="006F2FFB" w:rsidP="006F2FFB">
            <w:pPr>
              <w:jc w:val="right"/>
              <w:rPr>
                <w:sz w:val="22"/>
                <w:szCs w:val="22"/>
              </w:rPr>
            </w:pPr>
            <w:r>
              <w:rPr>
                <w:rFonts w:cs="Calibri"/>
                <w:color w:val="000000"/>
                <w:sz w:val="22"/>
                <w:szCs w:val="22"/>
                <w:lang w:val="ga"/>
              </w:rPr>
              <w:t>13</w:t>
            </w:r>
          </w:p>
        </w:tc>
        <w:tc>
          <w:tcPr>
            <w:tcW w:w="1544" w:type="dxa"/>
          </w:tcPr>
          <w:p w14:paraId="3AF6EB04" w14:textId="72A08C17" w:rsidR="006F2FFB" w:rsidRPr="006F2FFB" w:rsidRDefault="006F2FFB" w:rsidP="006F2FFB">
            <w:pPr>
              <w:jc w:val="right"/>
              <w:rPr>
                <w:sz w:val="22"/>
                <w:szCs w:val="22"/>
              </w:rPr>
            </w:pPr>
            <w:r>
              <w:rPr>
                <w:rFonts w:cs="Calibri"/>
                <w:color w:val="000000"/>
                <w:sz w:val="22"/>
                <w:szCs w:val="22"/>
                <w:lang w:val="ga"/>
              </w:rPr>
              <w:t>3.4%</w:t>
            </w:r>
          </w:p>
        </w:tc>
      </w:tr>
      <w:tr w:rsidR="006F2FFB" w:rsidRPr="006F2FFB" w14:paraId="2AD3EDD5" w14:textId="77777777" w:rsidTr="00D804C4">
        <w:trPr>
          <w:jc w:val="center"/>
        </w:trPr>
        <w:tc>
          <w:tcPr>
            <w:tcW w:w="2278" w:type="dxa"/>
          </w:tcPr>
          <w:p w14:paraId="2C6B0D0C" w14:textId="49CC3026" w:rsidR="006F2FFB" w:rsidRPr="006F2FFB" w:rsidRDefault="006F2FFB" w:rsidP="006F2FFB">
            <w:pPr>
              <w:rPr>
                <w:sz w:val="22"/>
                <w:szCs w:val="22"/>
              </w:rPr>
            </w:pPr>
            <w:r>
              <w:rPr>
                <w:rFonts w:cs="Calibri"/>
                <w:color w:val="000000"/>
                <w:sz w:val="22"/>
                <w:szCs w:val="22"/>
                <w:lang w:val="ga"/>
              </w:rPr>
              <w:t xml:space="preserve">Comhairle Contae an Chabháin </w:t>
            </w:r>
          </w:p>
        </w:tc>
        <w:tc>
          <w:tcPr>
            <w:tcW w:w="1559" w:type="dxa"/>
          </w:tcPr>
          <w:p w14:paraId="21E05456" w14:textId="49AE49B6" w:rsidR="006F2FFB" w:rsidRPr="006F2FFB" w:rsidRDefault="006F2FFB" w:rsidP="006F2FFB">
            <w:pPr>
              <w:jc w:val="right"/>
              <w:rPr>
                <w:sz w:val="22"/>
                <w:szCs w:val="22"/>
              </w:rPr>
            </w:pPr>
            <w:r>
              <w:rPr>
                <w:rFonts w:cs="Calibri"/>
                <w:color w:val="000000"/>
                <w:sz w:val="22"/>
                <w:szCs w:val="22"/>
                <w:lang w:val="ga"/>
              </w:rPr>
              <w:t>414</w:t>
            </w:r>
          </w:p>
        </w:tc>
        <w:tc>
          <w:tcPr>
            <w:tcW w:w="1560" w:type="dxa"/>
          </w:tcPr>
          <w:p w14:paraId="36102BF4" w14:textId="68914E64" w:rsidR="006F2FFB" w:rsidRPr="006F2FFB" w:rsidRDefault="006F2FFB" w:rsidP="006F2FFB">
            <w:pPr>
              <w:jc w:val="right"/>
              <w:rPr>
                <w:sz w:val="22"/>
                <w:szCs w:val="22"/>
              </w:rPr>
            </w:pPr>
            <w:r>
              <w:rPr>
                <w:rFonts w:cs="Calibri"/>
                <w:color w:val="000000"/>
                <w:sz w:val="22"/>
                <w:szCs w:val="22"/>
                <w:lang w:val="ga"/>
              </w:rPr>
              <w:t>18</w:t>
            </w:r>
          </w:p>
        </w:tc>
        <w:tc>
          <w:tcPr>
            <w:tcW w:w="1544" w:type="dxa"/>
          </w:tcPr>
          <w:p w14:paraId="2572F8C6" w14:textId="2CADF09C" w:rsidR="006F2FFB" w:rsidRPr="006F2FFB" w:rsidRDefault="006F2FFB" w:rsidP="006F2FFB">
            <w:pPr>
              <w:jc w:val="right"/>
              <w:rPr>
                <w:sz w:val="22"/>
                <w:szCs w:val="22"/>
              </w:rPr>
            </w:pPr>
            <w:r>
              <w:rPr>
                <w:rFonts w:cs="Calibri"/>
                <w:color w:val="000000"/>
                <w:sz w:val="22"/>
                <w:szCs w:val="22"/>
                <w:lang w:val="ga"/>
              </w:rPr>
              <w:t>4.3%</w:t>
            </w:r>
          </w:p>
        </w:tc>
        <w:tc>
          <w:tcPr>
            <w:tcW w:w="1291" w:type="dxa"/>
          </w:tcPr>
          <w:p w14:paraId="46BE8232" w14:textId="6B7673E8" w:rsidR="006F2FFB" w:rsidRPr="006F2FFB" w:rsidRDefault="006F2FFB" w:rsidP="006F2FFB">
            <w:pPr>
              <w:jc w:val="right"/>
              <w:rPr>
                <w:sz w:val="22"/>
                <w:szCs w:val="22"/>
              </w:rPr>
            </w:pPr>
            <w:r>
              <w:rPr>
                <w:rFonts w:cs="Calibri"/>
                <w:color w:val="000000"/>
                <w:sz w:val="22"/>
                <w:szCs w:val="22"/>
                <w:lang w:val="ga"/>
              </w:rPr>
              <w:t>446</w:t>
            </w:r>
          </w:p>
        </w:tc>
        <w:tc>
          <w:tcPr>
            <w:tcW w:w="1559" w:type="dxa"/>
          </w:tcPr>
          <w:p w14:paraId="15958FD5" w14:textId="7DAE69D6" w:rsidR="006F2FFB" w:rsidRPr="006F2FFB" w:rsidRDefault="006F2FFB" w:rsidP="006F2FFB">
            <w:pPr>
              <w:jc w:val="right"/>
              <w:rPr>
                <w:sz w:val="22"/>
                <w:szCs w:val="22"/>
              </w:rPr>
            </w:pPr>
            <w:r>
              <w:rPr>
                <w:rFonts w:cs="Calibri"/>
                <w:color w:val="000000"/>
                <w:sz w:val="22"/>
                <w:szCs w:val="22"/>
                <w:lang w:val="ga"/>
              </w:rPr>
              <w:t>28</w:t>
            </w:r>
          </w:p>
        </w:tc>
        <w:tc>
          <w:tcPr>
            <w:tcW w:w="1544" w:type="dxa"/>
          </w:tcPr>
          <w:p w14:paraId="25BBA5CA" w14:textId="142B37A2" w:rsidR="006F2FFB" w:rsidRPr="006F2FFB" w:rsidRDefault="006F2FFB" w:rsidP="006F2FFB">
            <w:pPr>
              <w:jc w:val="right"/>
              <w:rPr>
                <w:sz w:val="22"/>
                <w:szCs w:val="22"/>
              </w:rPr>
            </w:pPr>
            <w:r>
              <w:rPr>
                <w:rFonts w:cs="Calibri"/>
                <w:color w:val="000000"/>
                <w:sz w:val="22"/>
                <w:szCs w:val="22"/>
                <w:lang w:val="ga"/>
              </w:rPr>
              <w:t>6.3%</w:t>
            </w:r>
          </w:p>
        </w:tc>
      </w:tr>
      <w:tr w:rsidR="006F2FFB" w:rsidRPr="006F2FFB" w14:paraId="0DCFD366" w14:textId="77777777" w:rsidTr="00D804C4">
        <w:trPr>
          <w:jc w:val="center"/>
        </w:trPr>
        <w:tc>
          <w:tcPr>
            <w:tcW w:w="2278" w:type="dxa"/>
          </w:tcPr>
          <w:p w14:paraId="425F5896" w14:textId="395FECF5" w:rsidR="006F2FFB" w:rsidRPr="006F2FFB" w:rsidRDefault="006F2FFB" w:rsidP="006F2FFB">
            <w:pPr>
              <w:rPr>
                <w:sz w:val="22"/>
                <w:szCs w:val="22"/>
              </w:rPr>
            </w:pPr>
            <w:r>
              <w:rPr>
                <w:rFonts w:cs="Calibri"/>
                <w:color w:val="000000"/>
                <w:sz w:val="22"/>
                <w:szCs w:val="22"/>
                <w:lang w:val="ga"/>
              </w:rPr>
              <w:t>Comhairle Contae an Chláir</w:t>
            </w:r>
          </w:p>
        </w:tc>
        <w:tc>
          <w:tcPr>
            <w:tcW w:w="1559" w:type="dxa"/>
          </w:tcPr>
          <w:p w14:paraId="5ED64031" w14:textId="621AC9A3" w:rsidR="006F2FFB" w:rsidRPr="006F2FFB" w:rsidRDefault="006F2FFB" w:rsidP="006F2FFB">
            <w:pPr>
              <w:jc w:val="right"/>
              <w:rPr>
                <w:sz w:val="22"/>
                <w:szCs w:val="22"/>
              </w:rPr>
            </w:pPr>
            <w:r>
              <w:rPr>
                <w:rFonts w:cs="Calibri"/>
                <w:color w:val="000000"/>
                <w:sz w:val="22"/>
                <w:szCs w:val="22"/>
                <w:lang w:val="ga"/>
              </w:rPr>
              <w:t>974</w:t>
            </w:r>
          </w:p>
        </w:tc>
        <w:tc>
          <w:tcPr>
            <w:tcW w:w="1560" w:type="dxa"/>
          </w:tcPr>
          <w:p w14:paraId="5C697F80" w14:textId="4767C60A" w:rsidR="006F2FFB" w:rsidRPr="006F2FFB" w:rsidRDefault="006F2FFB" w:rsidP="006F2FFB">
            <w:pPr>
              <w:jc w:val="right"/>
              <w:rPr>
                <w:sz w:val="22"/>
                <w:szCs w:val="22"/>
              </w:rPr>
            </w:pPr>
            <w:r>
              <w:rPr>
                <w:rFonts w:cs="Calibri"/>
                <w:color w:val="000000"/>
                <w:sz w:val="22"/>
                <w:szCs w:val="22"/>
                <w:lang w:val="ga"/>
              </w:rPr>
              <w:t>34</w:t>
            </w:r>
          </w:p>
        </w:tc>
        <w:tc>
          <w:tcPr>
            <w:tcW w:w="1544" w:type="dxa"/>
          </w:tcPr>
          <w:p w14:paraId="564D3A53" w14:textId="771CEB2C" w:rsidR="006F2FFB" w:rsidRPr="006F2FFB" w:rsidRDefault="006F2FFB" w:rsidP="006F2FFB">
            <w:pPr>
              <w:jc w:val="right"/>
              <w:rPr>
                <w:sz w:val="22"/>
                <w:szCs w:val="22"/>
              </w:rPr>
            </w:pPr>
            <w:r>
              <w:rPr>
                <w:rFonts w:cs="Calibri"/>
                <w:color w:val="000000"/>
                <w:sz w:val="22"/>
                <w:szCs w:val="22"/>
                <w:lang w:val="ga"/>
              </w:rPr>
              <w:t>3.5%</w:t>
            </w:r>
          </w:p>
        </w:tc>
        <w:tc>
          <w:tcPr>
            <w:tcW w:w="1291" w:type="dxa"/>
          </w:tcPr>
          <w:p w14:paraId="6BC36069" w14:textId="3A497DB3" w:rsidR="006F2FFB" w:rsidRPr="006F2FFB" w:rsidRDefault="006F2FFB" w:rsidP="006F2FFB">
            <w:pPr>
              <w:jc w:val="right"/>
              <w:rPr>
                <w:sz w:val="22"/>
                <w:szCs w:val="22"/>
              </w:rPr>
            </w:pPr>
            <w:r>
              <w:rPr>
                <w:rFonts w:cs="Calibri"/>
                <w:color w:val="000000"/>
                <w:sz w:val="22"/>
                <w:szCs w:val="22"/>
                <w:lang w:val="ga"/>
              </w:rPr>
              <w:t>973</w:t>
            </w:r>
          </w:p>
        </w:tc>
        <w:tc>
          <w:tcPr>
            <w:tcW w:w="1559" w:type="dxa"/>
          </w:tcPr>
          <w:p w14:paraId="41568951" w14:textId="271F31B4" w:rsidR="006F2FFB" w:rsidRPr="006F2FFB" w:rsidRDefault="006F2FFB" w:rsidP="006F2FFB">
            <w:pPr>
              <w:jc w:val="right"/>
              <w:rPr>
                <w:sz w:val="22"/>
                <w:szCs w:val="22"/>
              </w:rPr>
            </w:pPr>
            <w:r>
              <w:rPr>
                <w:rFonts w:cs="Calibri"/>
                <w:color w:val="000000"/>
                <w:sz w:val="22"/>
                <w:szCs w:val="22"/>
                <w:lang w:val="ga"/>
              </w:rPr>
              <w:t>40</w:t>
            </w:r>
          </w:p>
        </w:tc>
        <w:tc>
          <w:tcPr>
            <w:tcW w:w="1544" w:type="dxa"/>
          </w:tcPr>
          <w:p w14:paraId="2FDEB4EE" w14:textId="59020AE8" w:rsidR="006F2FFB" w:rsidRPr="006F2FFB" w:rsidRDefault="006F2FFB" w:rsidP="006F2FFB">
            <w:pPr>
              <w:jc w:val="right"/>
              <w:rPr>
                <w:sz w:val="22"/>
                <w:szCs w:val="22"/>
              </w:rPr>
            </w:pPr>
            <w:r>
              <w:rPr>
                <w:rFonts w:cs="Calibri"/>
                <w:color w:val="000000"/>
                <w:sz w:val="22"/>
                <w:szCs w:val="22"/>
                <w:lang w:val="ga"/>
              </w:rPr>
              <w:t>4.1%</w:t>
            </w:r>
          </w:p>
        </w:tc>
      </w:tr>
      <w:tr w:rsidR="006F2FFB" w:rsidRPr="006F2FFB" w14:paraId="7E2FD676" w14:textId="77777777" w:rsidTr="00D804C4">
        <w:trPr>
          <w:jc w:val="center"/>
        </w:trPr>
        <w:tc>
          <w:tcPr>
            <w:tcW w:w="2278" w:type="dxa"/>
          </w:tcPr>
          <w:p w14:paraId="36150334" w14:textId="301253F6" w:rsidR="006F2FFB" w:rsidRPr="006F2FFB" w:rsidRDefault="006F2FFB" w:rsidP="006F2FFB">
            <w:pPr>
              <w:rPr>
                <w:sz w:val="22"/>
                <w:szCs w:val="22"/>
              </w:rPr>
            </w:pPr>
            <w:r>
              <w:rPr>
                <w:rFonts w:cs="Calibri"/>
                <w:color w:val="000000"/>
                <w:sz w:val="22"/>
                <w:szCs w:val="22"/>
                <w:lang w:val="ga"/>
              </w:rPr>
              <w:t>Comhairle Cathrach Chorcaí</w:t>
            </w:r>
          </w:p>
        </w:tc>
        <w:tc>
          <w:tcPr>
            <w:tcW w:w="1559" w:type="dxa"/>
          </w:tcPr>
          <w:p w14:paraId="5F28C013" w14:textId="0A91A53F" w:rsidR="006F2FFB" w:rsidRPr="006F2FFB" w:rsidRDefault="006F2FFB" w:rsidP="006F2FFB">
            <w:pPr>
              <w:jc w:val="right"/>
              <w:rPr>
                <w:sz w:val="22"/>
                <w:szCs w:val="22"/>
              </w:rPr>
            </w:pPr>
            <w:r>
              <w:rPr>
                <w:rFonts w:cs="Calibri"/>
                <w:color w:val="000000"/>
                <w:sz w:val="22"/>
                <w:szCs w:val="22"/>
                <w:lang w:val="ga"/>
              </w:rPr>
              <w:t>1,559</w:t>
            </w:r>
          </w:p>
        </w:tc>
        <w:tc>
          <w:tcPr>
            <w:tcW w:w="1560" w:type="dxa"/>
          </w:tcPr>
          <w:p w14:paraId="395D7F1B" w14:textId="276D5C32" w:rsidR="006F2FFB" w:rsidRPr="006F2FFB" w:rsidRDefault="006F2FFB" w:rsidP="006F2FFB">
            <w:pPr>
              <w:jc w:val="right"/>
              <w:rPr>
                <w:sz w:val="22"/>
                <w:szCs w:val="22"/>
              </w:rPr>
            </w:pPr>
            <w:r>
              <w:rPr>
                <w:rFonts w:cs="Calibri"/>
                <w:color w:val="000000"/>
                <w:sz w:val="22"/>
                <w:szCs w:val="22"/>
                <w:lang w:val="ga"/>
              </w:rPr>
              <w:t>49</w:t>
            </w:r>
          </w:p>
        </w:tc>
        <w:tc>
          <w:tcPr>
            <w:tcW w:w="1544" w:type="dxa"/>
          </w:tcPr>
          <w:p w14:paraId="52E1FF5B" w14:textId="48A3F611" w:rsidR="006F2FFB" w:rsidRPr="006F2FFB" w:rsidRDefault="006F2FFB" w:rsidP="006F2FFB">
            <w:pPr>
              <w:jc w:val="right"/>
              <w:rPr>
                <w:sz w:val="22"/>
                <w:szCs w:val="22"/>
              </w:rPr>
            </w:pPr>
            <w:r>
              <w:rPr>
                <w:rFonts w:cs="Calibri"/>
                <w:color w:val="000000"/>
                <w:sz w:val="22"/>
                <w:szCs w:val="22"/>
                <w:lang w:val="ga"/>
              </w:rPr>
              <w:t>3.1%</w:t>
            </w:r>
          </w:p>
        </w:tc>
        <w:tc>
          <w:tcPr>
            <w:tcW w:w="1291" w:type="dxa"/>
          </w:tcPr>
          <w:p w14:paraId="430E2A03" w14:textId="3067FD97" w:rsidR="006F2FFB" w:rsidRPr="006F2FFB" w:rsidRDefault="006F2FFB" w:rsidP="006F2FFB">
            <w:pPr>
              <w:jc w:val="right"/>
              <w:rPr>
                <w:sz w:val="22"/>
                <w:szCs w:val="22"/>
              </w:rPr>
            </w:pPr>
            <w:r>
              <w:rPr>
                <w:rFonts w:cs="Calibri"/>
                <w:color w:val="000000"/>
                <w:sz w:val="22"/>
                <w:szCs w:val="22"/>
                <w:lang w:val="ga"/>
              </w:rPr>
              <w:t>1589</w:t>
            </w:r>
          </w:p>
        </w:tc>
        <w:tc>
          <w:tcPr>
            <w:tcW w:w="1559" w:type="dxa"/>
          </w:tcPr>
          <w:p w14:paraId="116E9AC5" w14:textId="72C27CB6" w:rsidR="006F2FFB" w:rsidRPr="006F2FFB" w:rsidRDefault="006F2FFB" w:rsidP="006F2FFB">
            <w:pPr>
              <w:jc w:val="right"/>
              <w:rPr>
                <w:sz w:val="22"/>
                <w:szCs w:val="22"/>
              </w:rPr>
            </w:pPr>
            <w:r>
              <w:rPr>
                <w:rFonts w:cs="Calibri"/>
                <w:color w:val="000000"/>
                <w:sz w:val="22"/>
                <w:szCs w:val="22"/>
                <w:lang w:val="ga"/>
              </w:rPr>
              <w:t>59</w:t>
            </w:r>
          </w:p>
        </w:tc>
        <w:tc>
          <w:tcPr>
            <w:tcW w:w="1544" w:type="dxa"/>
          </w:tcPr>
          <w:p w14:paraId="5B343DB3" w14:textId="3E6943F1" w:rsidR="006F2FFB" w:rsidRPr="006F2FFB" w:rsidRDefault="006F2FFB" w:rsidP="006F2FFB">
            <w:pPr>
              <w:jc w:val="right"/>
              <w:rPr>
                <w:sz w:val="22"/>
                <w:szCs w:val="22"/>
              </w:rPr>
            </w:pPr>
            <w:r>
              <w:rPr>
                <w:rFonts w:cs="Calibri"/>
                <w:color w:val="000000"/>
                <w:sz w:val="22"/>
                <w:szCs w:val="22"/>
                <w:lang w:val="ga"/>
              </w:rPr>
              <w:t>3.7%</w:t>
            </w:r>
          </w:p>
        </w:tc>
      </w:tr>
      <w:tr w:rsidR="006F2FFB" w:rsidRPr="006F2FFB" w14:paraId="7712F50E" w14:textId="77777777" w:rsidTr="00D804C4">
        <w:trPr>
          <w:jc w:val="center"/>
        </w:trPr>
        <w:tc>
          <w:tcPr>
            <w:tcW w:w="2278" w:type="dxa"/>
          </w:tcPr>
          <w:p w14:paraId="0BC622D0" w14:textId="4A2BDFDB" w:rsidR="006F2FFB" w:rsidRPr="006F2FFB" w:rsidRDefault="006F2FFB" w:rsidP="006F2FFB">
            <w:pPr>
              <w:rPr>
                <w:sz w:val="22"/>
                <w:szCs w:val="22"/>
              </w:rPr>
            </w:pPr>
            <w:r>
              <w:rPr>
                <w:rFonts w:cs="Calibri"/>
                <w:color w:val="000000"/>
                <w:sz w:val="22"/>
                <w:szCs w:val="22"/>
                <w:lang w:val="ga"/>
              </w:rPr>
              <w:t>Comhairle Contae Chorcaí</w:t>
            </w:r>
          </w:p>
        </w:tc>
        <w:tc>
          <w:tcPr>
            <w:tcW w:w="1559" w:type="dxa"/>
          </w:tcPr>
          <w:p w14:paraId="4B324A6C" w14:textId="579105B8" w:rsidR="006F2FFB" w:rsidRPr="006F2FFB" w:rsidRDefault="006F2FFB" w:rsidP="006F2FFB">
            <w:pPr>
              <w:jc w:val="right"/>
              <w:rPr>
                <w:sz w:val="22"/>
                <w:szCs w:val="22"/>
              </w:rPr>
            </w:pPr>
            <w:r>
              <w:rPr>
                <w:rFonts w:cs="Calibri"/>
                <w:color w:val="000000"/>
                <w:sz w:val="22"/>
                <w:szCs w:val="22"/>
                <w:lang w:val="ga"/>
              </w:rPr>
              <w:t>2,640</w:t>
            </w:r>
          </w:p>
        </w:tc>
        <w:tc>
          <w:tcPr>
            <w:tcW w:w="1560" w:type="dxa"/>
          </w:tcPr>
          <w:p w14:paraId="635DE84D" w14:textId="081B3557" w:rsidR="006F2FFB" w:rsidRPr="006F2FFB" w:rsidRDefault="006F2FFB" w:rsidP="006F2FFB">
            <w:pPr>
              <w:jc w:val="right"/>
              <w:rPr>
                <w:sz w:val="22"/>
                <w:szCs w:val="22"/>
              </w:rPr>
            </w:pPr>
            <w:r>
              <w:rPr>
                <w:rFonts w:cs="Calibri"/>
                <w:color w:val="000000"/>
                <w:sz w:val="22"/>
                <w:szCs w:val="22"/>
                <w:lang w:val="ga"/>
              </w:rPr>
              <w:t>91</w:t>
            </w:r>
          </w:p>
        </w:tc>
        <w:tc>
          <w:tcPr>
            <w:tcW w:w="1544" w:type="dxa"/>
          </w:tcPr>
          <w:p w14:paraId="24A5AE5C" w14:textId="45C6E85A" w:rsidR="006F2FFB" w:rsidRPr="006F2FFB" w:rsidRDefault="006F2FFB" w:rsidP="006F2FFB">
            <w:pPr>
              <w:jc w:val="right"/>
              <w:rPr>
                <w:sz w:val="22"/>
                <w:szCs w:val="22"/>
              </w:rPr>
            </w:pPr>
            <w:r>
              <w:rPr>
                <w:rFonts w:cs="Calibri"/>
                <w:color w:val="000000"/>
                <w:sz w:val="22"/>
                <w:szCs w:val="22"/>
                <w:lang w:val="ga"/>
              </w:rPr>
              <w:t>3.4%</w:t>
            </w:r>
          </w:p>
        </w:tc>
        <w:tc>
          <w:tcPr>
            <w:tcW w:w="1291" w:type="dxa"/>
          </w:tcPr>
          <w:p w14:paraId="031ED7D7" w14:textId="20786139" w:rsidR="006F2FFB" w:rsidRPr="006F2FFB" w:rsidRDefault="006F2FFB" w:rsidP="006F2FFB">
            <w:pPr>
              <w:jc w:val="right"/>
              <w:rPr>
                <w:sz w:val="22"/>
                <w:szCs w:val="22"/>
              </w:rPr>
            </w:pPr>
            <w:r>
              <w:rPr>
                <w:rFonts w:cs="Calibri"/>
                <w:color w:val="000000"/>
                <w:sz w:val="22"/>
                <w:szCs w:val="22"/>
                <w:lang w:val="ga"/>
              </w:rPr>
              <w:t>2707</w:t>
            </w:r>
          </w:p>
        </w:tc>
        <w:tc>
          <w:tcPr>
            <w:tcW w:w="1559" w:type="dxa"/>
          </w:tcPr>
          <w:p w14:paraId="514B1378" w14:textId="2A374668" w:rsidR="006F2FFB" w:rsidRPr="006F2FFB" w:rsidRDefault="006F2FFB" w:rsidP="006F2FFB">
            <w:pPr>
              <w:jc w:val="right"/>
              <w:rPr>
                <w:sz w:val="22"/>
                <w:szCs w:val="22"/>
              </w:rPr>
            </w:pPr>
            <w:r>
              <w:rPr>
                <w:rFonts w:cs="Calibri"/>
                <w:color w:val="000000"/>
                <w:sz w:val="22"/>
                <w:szCs w:val="22"/>
                <w:lang w:val="ga"/>
              </w:rPr>
              <w:t>102</w:t>
            </w:r>
          </w:p>
        </w:tc>
        <w:tc>
          <w:tcPr>
            <w:tcW w:w="1544" w:type="dxa"/>
          </w:tcPr>
          <w:p w14:paraId="4836BD8F" w14:textId="67605056" w:rsidR="006F2FFB" w:rsidRPr="006F2FFB" w:rsidRDefault="006F2FFB" w:rsidP="006F2FFB">
            <w:pPr>
              <w:jc w:val="right"/>
              <w:rPr>
                <w:sz w:val="22"/>
                <w:szCs w:val="22"/>
              </w:rPr>
            </w:pPr>
            <w:r>
              <w:rPr>
                <w:rFonts w:cs="Calibri"/>
                <w:color w:val="000000"/>
                <w:sz w:val="22"/>
                <w:szCs w:val="22"/>
                <w:lang w:val="ga"/>
              </w:rPr>
              <w:t>3.8%</w:t>
            </w:r>
          </w:p>
        </w:tc>
      </w:tr>
      <w:tr w:rsidR="006F2FFB" w:rsidRPr="006F2FFB" w14:paraId="6C780DDD" w14:textId="77777777" w:rsidTr="00D804C4">
        <w:trPr>
          <w:jc w:val="center"/>
        </w:trPr>
        <w:tc>
          <w:tcPr>
            <w:tcW w:w="2278" w:type="dxa"/>
          </w:tcPr>
          <w:p w14:paraId="2EFDF2EC" w14:textId="1037A615" w:rsidR="006F2FFB" w:rsidRPr="006F2FFB" w:rsidRDefault="006F2FFB" w:rsidP="006F2FFB">
            <w:pPr>
              <w:rPr>
                <w:sz w:val="22"/>
                <w:szCs w:val="22"/>
              </w:rPr>
            </w:pPr>
            <w:r>
              <w:rPr>
                <w:rFonts w:cs="Calibri"/>
                <w:color w:val="000000"/>
                <w:sz w:val="22"/>
                <w:szCs w:val="22"/>
                <w:lang w:val="ga"/>
              </w:rPr>
              <w:t>Comhairle Contae Dhún na nGall</w:t>
            </w:r>
          </w:p>
        </w:tc>
        <w:tc>
          <w:tcPr>
            <w:tcW w:w="1559" w:type="dxa"/>
          </w:tcPr>
          <w:p w14:paraId="5F5D0972" w14:textId="14895ADD" w:rsidR="006F2FFB" w:rsidRPr="006F2FFB" w:rsidRDefault="006F2FFB" w:rsidP="006F2FFB">
            <w:pPr>
              <w:jc w:val="right"/>
              <w:rPr>
                <w:sz w:val="22"/>
                <w:szCs w:val="22"/>
              </w:rPr>
            </w:pPr>
            <w:r>
              <w:rPr>
                <w:rFonts w:cs="Calibri"/>
                <w:color w:val="000000"/>
                <w:sz w:val="22"/>
                <w:szCs w:val="22"/>
                <w:lang w:val="ga"/>
              </w:rPr>
              <w:t>1,198</w:t>
            </w:r>
          </w:p>
        </w:tc>
        <w:tc>
          <w:tcPr>
            <w:tcW w:w="1560" w:type="dxa"/>
          </w:tcPr>
          <w:p w14:paraId="0F403FB8" w14:textId="73C5B107" w:rsidR="006F2FFB" w:rsidRPr="006F2FFB" w:rsidRDefault="006F2FFB" w:rsidP="006F2FFB">
            <w:pPr>
              <w:jc w:val="right"/>
              <w:rPr>
                <w:sz w:val="22"/>
                <w:szCs w:val="22"/>
              </w:rPr>
            </w:pPr>
            <w:r>
              <w:rPr>
                <w:rFonts w:cs="Calibri"/>
                <w:color w:val="000000"/>
                <w:sz w:val="22"/>
                <w:szCs w:val="22"/>
                <w:lang w:val="ga"/>
              </w:rPr>
              <w:t>51</w:t>
            </w:r>
          </w:p>
        </w:tc>
        <w:tc>
          <w:tcPr>
            <w:tcW w:w="1544" w:type="dxa"/>
          </w:tcPr>
          <w:p w14:paraId="2ED93F80" w14:textId="6D444DE4" w:rsidR="006F2FFB" w:rsidRPr="006F2FFB" w:rsidRDefault="006F2FFB" w:rsidP="006F2FFB">
            <w:pPr>
              <w:jc w:val="right"/>
              <w:rPr>
                <w:sz w:val="22"/>
                <w:szCs w:val="22"/>
              </w:rPr>
            </w:pPr>
            <w:r>
              <w:rPr>
                <w:rFonts w:cs="Calibri"/>
                <w:color w:val="000000"/>
                <w:sz w:val="22"/>
                <w:szCs w:val="22"/>
                <w:lang w:val="ga"/>
              </w:rPr>
              <w:t>4.3%</w:t>
            </w:r>
          </w:p>
        </w:tc>
        <w:tc>
          <w:tcPr>
            <w:tcW w:w="1291" w:type="dxa"/>
          </w:tcPr>
          <w:p w14:paraId="5F65DA2E" w14:textId="4536999B" w:rsidR="006F2FFB" w:rsidRPr="006F2FFB" w:rsidRDefault="006F2FFB" w:rsidP="006F2FFB">
            <w:pPr>
              <w:jc w:val="right"/>
              <w:rPr>
                <w:sz w:val="22"/>
                <w:szCs w:val="22"/>
              </w:rPr>
            </w:pPr>
            <w:r>
              <w:rPr>
                <w:rFonts w:cs="Calibri"/>
                <w:color w:val="000000"/>
                <w:sz w:val="22"/>
                <w:szCs w:val="22"/>
                <w:lang w:val="ga"/>
              </w:rPr>
              <w:t>1190</w:t>
            </w:r>
          </w:p>
        </w:tc>
        <w:tc>
          <w:tcPr>
            <w:tcW w:w="1559" w:type="dxa"/>
          </w:tcPr>
          <w:p w14:paraId="616FF7E4" w14:textId="2594DA07" w:rsidR="006F2FFB" w:rsidRPr="006F2FFB" w:rsidRDefault="006F2FFB" w:rsidP="006F2FFB">
            <w:pPr>
              <w:jc w:val="right"/>
              <w:rPr>
                <w:sz w:val="22"/>
                <w:szCs w:val="22"/>
              </w:rPr>
            </w:pPr>
            <w:r>
              <w:rPr>
                <w:rFonts w:cs="Calibri"/>
                <w:color w:val="000000"/>
                <w:sz w:val="22"/>
                <w:szCs w:val="22"/>
                <w:lang w:val="ga"/>
              </w:rPr>
              <w:t>59</w:t>
            </w:r>
          </w:p>
        </w:tc>
        <w:tc>
          <w:tcPr>
            <w:tcW w:w="1544" w:type="dxa"/>
          </w:tcPr>
          <w:p w14:paraId="1F85D639" w14:textId="74F6E0A2" w:rsidR="006F2FFB" w:rsidRPr="006F2FFB" w:rsidRDefault="006F2FFB" w:rsidP="006F2FFB">
            <w:pPr>
              <w:jc w:val="right"/>
              <w:rPr>
                <w:sz w:val="22"/>
                <w:szCs w:val="22"/>
              </w:rPr>
            </w:pPr>
            <w:r>
              <w:rPr>
                <w:rFonts w:cs="Calibri"/>
                <w:color w:val="000000"/>
                <w:sz w:val="22"/>
                <w:szCs w:val="22"/>
                <w:lang w:val="ga"/>
              </w:rPr>
              <w:t>5.0%</w:t>
            </w:r>
          </w:p>
        </w:tc>
      </w:tr>
      <w:tr w:rsidR="006F2FFB" w:rsidRPr="006F2FFB" w14:paraId="0F8D6818" w14:textId="77777777" w:rsidTr="00D804C4">
        <w:trPr>
          <w:jc w:val="center"/>
        </w:trPr>
        <w:tc>
          <w:tcPr>
            <w:tcW w:w="2278" w:type="dxa"/>
          </w:tcPr>
          <w:p w14:paraId="751F1719" w14:textId="41EB3F15" w:rsidR="006F2FFB" w:rsidRPr="006F2FFB" w:rsidRDefault="006F2FFB" w:rsidP="006F2FFB">
            <w:pPr>
              <w:rPr>
                <w:sz w:val="22"/>
                <w:szCs w:val="22"/>
              </w:rPr>
            </w:pPr>
            <w:r>
              <w:rPr>
                <w:rFonts w:cs="Calibri"/>
                <w:color w:val="000000"/>
                <w:sz w:val="22"/>
                <w:szCs w:val="22"/>
                <w:lang w:val="ga"/>
              </w:rPr>
              <w:t>Comhairle Cathrach Bhaile Átha Cliath</w:t>
            </w:r>
          </w:p>
        </w:tc>
        <w:tc>
          <w:tcPr>
            <w:tcW w:w="1559" w:type="dxa"/>
          </w:tcPr>
          <w:p w14:paraId="44C6029B" w14:textId="23D5E923" w:rsidR="006F2FFB" w:rsidRPr="006F2FFB" w:rsidRDefault="006F2FFB" w:rsidP="006F2FFB">
            <w:pPr>
              <w:jc w:val="right"/>
              <w:rPr>
                <w:sz w:val="22"/>
                <w:szCs w:val="22"/>
              </w:rPr>
            </w:pPr>
            <w:r>
              <w:rPr>
                <w:rFonts w:cs="Calibri"/>
                <w:color w:val="000000"/>
                <w:sz w:val="22"/>
                <w:szCs w:val="22"/>
                <w:lang w:val="ga"/>
              </w:rPr>
              <w:t>5,882</w:t>
            </w:r>
          </w:p>
        </w:tc>
        <w:tc>
          <w:tcPr>
            <w:tcW w:w="1560" w:type="dxa"/>
          </w:tcPr>
          <w:p w14:paraId="7B5EDD21" w14:textId="020DBE03" w:rsidR="006F2FFB" w:rsidRPr="006F2FFB" w:rsidRDefault="006F2FFB" w:rsidP="006F2FFB">
            <w:pPr>
              <w:jc w:val="right"/>
              <w:rPr>
                <w:sz w:val="22"/>
                <w:szCs w:val="22"/>
              </w:rPr>
            </w:pPr>
            <w:r>
              <w:rPr>
                <w:rFonts w:cs="Calibri"/>
                <w:color w:val="000000"/>
                <w:sz w:val="22"/>
                <w:szCs w:val="22"/>
                <w:lang w:val="ga"/>
              </w:rPr>
              <w:t>259</w:t>
            </w:r>
          </w:p>
        </w:tc>
        <w:tc>
          <w:tcPr>
            <w:tcW w:w="1544" w:type="dxa"/>
          </w:tcPr>
          <w:p w14:paraId="01563F9E" w14:textId="646A21B2" w:rsidR="006F2FFB" w:rsidRPr="006F2FFB" w:rsidRDefault="006F2FFB" w:rsidP="006F2FFB">
            <w:pPr>
              <w:jc w:val="right"/>
              <w:rPr>
                <w:sz w:val="22"/>
                <w:szCs w:val="22"/>
              </w:rPr>
            </w:pPr>
            <w:r>
              <w:rPr>
                <w:rFonts w:cs="Calibri"/>
                <w:color w:val="000000"/>
                <w:sz w:val="22"/>
                <w:szCs w:val="22"/>
                <w:lang w:val="ga"/>
              </w:rPr>
              <w:t>4.4%</w:t>
            </w:r>
          </w:p>
        </w:tc>
        <w:tc>
          <w:tcPr>
            <w:tcW w:w="1291" w:type="dxa"/>
          </w:tcPr>
          <w:p w14:paraId="64D330FE" w14:textId="5AAF973D" w:rsidR="006F2FFB" w:rsidRPr="006F2FFB" w:rsidRDefault="006F2FFB" w:rsidP="006F2FFB">
            <w:pPr>
              <w:jc w:val="right"/>
              <w:rPr>
                <w:sz w:val="22"/>
                <w:szCs w:val="22"/>
              </w:rPr>
            </w:pPr>
            <w:r>
              <w:rPr>
                <w:rFonts w:cs="Calibri"/>
                <w:color w:val="000000"/>
                <w:sz w:val="22"/>
                <w:szCs w:val="22"/>
                <w:lang w:val="ga"/>
              </w:rPr>
              <w:t>5897</w:t>
            </w:r>
          </w:p>
        </w:tc>
        <w:tc>
          <w:tcPr>
            <w:tcW w:w="1559" w:type="dxa"/>
          </w:tcPr>
          <w:p w14:paraId="150B5AA4" w14:textId="5A7CF4A4" w:rsidR="006F2FFB" w:rsidRPr="006F2FFB" w:rsidRDefault="006F2FFB" w:rsidP="006F2FFB">
            <w:pPr>
              <w:jc w:val="right"/>
              <w:rPr>
                <w:sz w:val="22"/>
                <w:szCs w:val="22"/>
              </w:rPr>
            </w:pPr>
            <w:r>
              <w:rPr>
                <w:rFonts w:cs="Calibri"/>
                <w:color w:val="000000"/>
                <w:sz w:val="22"/>
                <w:szCs w:val="22"/>
                <w:lang w:val="ga"/>
              </w:rPr>
              <w:t>248</w:t>
            </w:r>
          </w:p>
        </w:tc>
        <w:tc>
          <w:tcPr>
            <w:tcW w:w="1544" w:type="dxa"/>
          </w:tcPr>
          <w:p w14:paraId="6FA106C3" w14:textId="3E14AE8C" w:rsidR="006F2FFB" w:rsidRPr="006F2FFB" w:rsidRDefault="006F2FFB" w:rsidP="006F2FFB">
            <w:pPr>
              <w:jc w:val="right"/>
              <w:rPr>
                <w:sz w:val="22"/>
                <w:szCs w:val="22"/>
              </w:rPr>
            </w:pPr>
            <w:r>
              <w:rPr>
                <w:rFonts w:cs="Calibri"/>
                <w:color w:val="000000"/>
                <w:sz w:val="22"/>
                <w:szCs w:val="22"/>
                <w:lang w:val="ga"/>
              </w:rPr>
              <w:t>4.2%</w:t>
            </w:r>
          </w:p>
        </w:tc>
      </w:tr>
      <w:tr w:rsidR="006F2FFB" w:rsidRPr="006F2FFB" w14:paraId="6DF349E9" w14:textId="77777777" w:rsidTr="00D804C4">
        <w:trPr>
          <w:jc w:val="center"/>
        </w:trPr>
        <w:tc>
          <w:tcPr>
            <w:tcW w:w="2278" w:type="dxa"/>
          </w:tcPr>
          <w:p w14:paraId="3E1CA063" w14:textId="78DFDF18" w:rsidR="006F2FFB" w:rsidRPr="006F2FFB" w:rsidRDefault="006F2FFB" w:rsidP="006F2FFB">
            <w:pPr>
              <w:rPr>
                <w:sz w:val="22"/>
                <w:szCs w:val="22"/>
              </w:rPr>
            </w:pPr>
            <w:r>
              <w:rPr>
                <w:rFonts w:cs="Calibri"/>
                <w:color w:val="000000"/>
                <w:sz w:val="22"/>
                <w:szCs w:val="22"/>
                <w:lang w:val="ga"/>
              </w:rPr>
              <w:t>Comhairle Contae Dhún Laoghaire-Ráth an Dúin</w:t>
            </w:r>
          </w:p>
        </w:tc>
        <w:tc>
          <w:tcPr>
            <w:tcW w:w="1559" w:type="dxa"/>
          </w:tcPr>
          <w:p w14:paraId="6B41DABE" w14:textId="2AC272FD" w:rsidR="006F2FFB" w:rsidRPr="006F2FFB" w:rsidRDefault="006F2FFB" w:rsidP="006F2FFB">
            <w:pPr>
              <w:jc w:val="right"/>
              <w:rPr>
                <w:sz w:val="22"/>
                <w:szCs w:val="22"/>
              </w:rPr>
            </w:pPr>
            <w:r>
              <w:rPr>
                <w:rFonts w:cs="Calibri"/>
                <w:color w:val="000000"/>
                <w:sz w:val="22"/>
                <w:szCs w:val="22"/>
                <w:lang w:val="ga"/>
              </w:rPr>
              <w:t>1,125</w:t>
            </w:r>
          </w:p>
        </w:tc>
        <w:tc>
          <w:tcPr>
            <w:tcW w:w="1560" w:type="dxa"/>
          </w:tcPr>
          <w:p w14:paraId="587190A0" w14:textId="3259A7D5" w:rsidR="006F2FFB" w:rsidRPr="006F2FFB" w:rsidRDefault="006F2FFB" w:rsidP="006F2FFB">
            <w:pPr>
              <w:jc w:val="right"/>
              <w:rPr>
                <w:sz w:val="22"/>
                <w:szCs w:val="22"/>
              </w:rPr>
            </w:pPr>
            <w:r>
              <w:rPr>
                <w:rFonts w:cs="Calibri"/>
                <w:color w:val="000000"/>
                <w:sz w:val="22"/>
                <w:szCs w:val="22"/>
                <w:lang w:val="ga"/>
              </w:rPr>
              <w:t>45</w:t>
            </w:r>
          </w:p>
        </w:tc>
        <w:tc>
          <w:tcPr>
            <w:tcW w:w="1544" w:type="dxa"/>
          </w:tcPr>
          <w:p w14:paraId="17C62FA8" w14:textId="6E017726" w:rsidR="006F2FFB" w:rsidRPr="006F2FFB" w:rsidRDefault="006F2FFB" w:rsidP="006F2FFB">
            <w:pPr>
              <w:jc w:val="right"/>
              <w:rPr>
                <w:sz w:val="22"/>
                <w:szCs w:val="22"/>
              </w:rPr>
            </w:pPr>
            <w:r>
              <w:rPr>
                <w:rFonts w:cs="Calibri"/>
                <w:color w:val="000000"/>
                <w:sz w:val="22"/>
                <w:szCs w:val="22"/>
                <w:lang w:val="ga"/>
              </w:rPr>
              <w:t>4.0%</w:t>
            </w:r>
          </w:p>
        </w:tc>
        <w:tc>
          <w:tcPr>
            <w:tcW w:w="1291" w:type="dxa"/>
          </w:tcPr>
          <w:p w14:paraId="291EF83B" w14:textId="1D49E763" w:rsidR="006F2FFB" w:rsidRPr="006F2FFB" w:rsidRDefault="006F2FFB" w:rsidP="006F2FFB">
            <w:pPr>
              <w:jc w:val="right"/>
              <w:rPr>
                <w:sz w:val="22"/>
                <w:szCs w:val="22"/>
              </w:rPr>
            </w:pPr>
            <w:r>
              <w:rPr>
                <w:rFonts w:cs="Calibri"/>
                <w:color w:val="000000"/>
                <w:sz w:val="22"/>
                <w:szCs w:val="22"/>
                <w:lang w:val="ga"/>
              </w:rPr>
              <w:t>1121</w:t>
            </w:r>
          </w:p>
        </w:tc>
        <w:tc>
          <w:tcPr>
            <w:tcW w:w="1559" w:type="dxa"/>
          </w:tcPr>
          <w:p w14:paraId="2425ABC1" w14:textId="06C216F7" w:rsidR="006F2FFB" w:rsidRPr="006F2FFB" w:rsidRDefault="006F2FFB" w:rsidP="006F2FFB">
            <w:pPr>
              <w:jc w:val="right"/>
              <w:rPr>
                <w:sz w:val="22"/>
                <w:szCs w:val="22"/>
              </w:rPr>
            </w:pPr>
            <w:r>
              <w:rPr>
                <w:rFonts w:cs="Calibri"/>
                <w:color w:val="000000"/>
                <w:sz w:val="22"/>
                <w:szCs w:val="22"/>
                <w:lang w:val="ga"/>
              </w:rPr>
              <w:t>45</w:t>
            </w:r>
          </w:p>
        </w:tc>
        <w:tc>
          <w:tcPr>
            <w:tcW w:w="1544" w:type="dxa"/>
          </w:tcPr>
          <w:p w14:paraId="543AC70E" w14:textId="3A7908E7" w:rsidR="006F2FFB" w:rsidRPr="006F2FFB" w:rsidRDefault="006F2FFB" w:rsidP="006F2FFB">
            <w:pPr>
              <w:jc w:val="right"/>
              <w:rPr>
                <w:sz w:val="22"/>
                <w:szCs w:val="22"/>
              </w:rPr>
            </w:pPr>
            <w:r>
              <w:rPr>
                <w:rFonts w:cs="Calibri"/>
                <w:color w:val="000000"/>
                <w:sz w:val="22"/>
                <w:szCs w:val="22"/>
                <w:lang w:val="ga"/>
              </w:rPr>
              <w:t>4.0%</w:t>
            </w:r>
          </w:p>
        </w:tc>
      </w:tr>
      <w:tr w:rsidR="006F2FFB" w:rsidRPr="006F2FFB" w14:paraId="4BFFF82B" w14:textId="77777777" w:rsidTr="00D804C4">
        <w:trPr>
          <w:jc w:val="center"/>
        </w:trPr>
        <w:tc>
          <w:tcPr>
            <w:tcW w:w="2278" w:type="dxa"/>
          </w:tcPr>
          <w:p w14:paraId="24ED2C56" w14:textId="3F7E8D16" w:rsidR="006F2FFB" w:rsidRPr="006F2FFB" w:rsidRDefault="006F2FFB" w:rsidP="006F2FFB">
            <w:pPr>
              <w:rPr>
                <w:sz w:val="22"/>
                <w:szCs w:val="22"/>
              </w:rPr>
            </w:pPr>
            <w:r>
              <w:rPr>
                <w:rFonts w:cs="Calibri"/>
                <w:color w:val="000000"/>
                <w:sz w:val="22"/>
                <w:szCs w:val="22"/>
                <w:lang w:val="ga"/>
              </w:rPr>
              <w:t xml:space="preserve">Tionól Réigiúnach an Oirthir agus Lár Tíre </w:t>
            </w:r>
          </w:p>
        </w:tc>
        <w:tc>
          <w:tcPr>
            <w:tcW w:w="1559" w:type="dxa"/>
          </w:tcPr>
          <w:p w14:paraId="39CAA035" w14:textId="72247FF1" w:rsidR="006F2FFB" w:rsidRPr="006F2FFB" w:rsidRDefault="006F2FFB" w:rsidP="006F2FFB">
            <w:pPr>
              <w:jc w:val="right"/>
              <w:rPr>
                <w:sz w:val="22"/>
                <w:szCs w:val="22"/>
              </w:rPr>
            </w:pPr>
            <w:r>
              <w:rPr>
                <w:rFonts w:cs="Calibri"/>
                <w:color w:val="000000"/>
                <w:sz w:val="22"/>
                <w:szCs w:val="22"/>
                <w:lang w:val="ga"/>
              </w:rPr>
              <w:t>20</w:t>
            </w:r>
          </w:p>
        </w:tc>
        <w:tc>
          <w:tcPr>
            <w:tcW w:w="1560" w:type="dxa"/>
          </w:tcPr>
          <w:p w14:paraId="2D70D73D" w14:textId="147B4350" w:rsidR="006F2FFB" w:rsidRPr="006F2FFB" w:rsidRDefault="006F2FFB" w:rsidP="006F2FFB">
            <w:pPr>
              <w:jc w:val="right"/>
              <w:rPr>
                <w:sz w:val="22"/>
                <w:szCs w:val="22"/>
              </w:rPr>
            </w:pPr>
            <w:r>
              <w:rPr>
                <w:rFonts w:cs="Calibri"/>
                <w:color w:val="000000"/>
                <w:sz w:val="22"/>
                <w:szCs w:val="22"/>
                <w:lang w:val="ga"/>
              </w:rPr>
              <w:t>0</w:t>
            </w:r>
          </w:p>
        </w:tc>
        <w:tc>
          <w:tcPr>
            <w:tcW w:w="1544" w:type="dxa"/>
          </w:tcPr>
          <w:p w14:paraId="5CFE0BA9" w14:textId="31C2706C" w:rsidR="006F2FFB" w:rsidRPr="006F2FFB" w:rsidRDefault="006F2FFB" w:rsidP="006F2FFB">
            <w:pPr>
              <w:jc w:val="right"/>
              <w:rPr>
                <w:sz w:val="22"/>
                <w:szCs w:val="22"/>
              </w:rPr>
            </w:pPr>
            <w:r>
              <w:rPr>
                <w:rFonts w:cs="Calibri"/>
                <w:color w:val="000000"/>
                <w:sz w:val="22"/>
                <w:szCs w:val="22"/>
                <w:lang w:val="ga"/>
              </w:rPr>
              <w:t>0.0%</w:t>
            </w:r>
          </w:p>
        </w:tc>
        <w:tc>
          <w:tcPr>
            <w:tcW w:w="1291" w:type="dxa"/>
          </w:tcPr>
          <w:p w14:paraId="19123DB2" w14:textId="373E8DD8" w:rsidR="006F2FFB" w:rsidRPr="006F2FFB" w:rsidRDefault="006F2FFB" w:rsidP="006F2FFB">
            <w:pPr>
              <w:jc w:val="right"/>
              <w:rPr>
                <w:sz w:val="22"/>
                <w:szCs w:val="22"/>
              </w:rPr>
            </w:pPr>
            <w:r>
              <w:rPr>
                <w:rFonts w:cs="Calibri"/>
                <w:color w:val="000000"/>
                <w:sz w:val="22"/>
                <w:szCs w:val="22"/>
                <w:lang w:val="ga"/>
              </w:rPr>
              <w:t>17</w:t>
            </w:r>
          </w:p>
        </w:tc>
        <w:tc>
          <w:tcPr>
            <w:tcW w:w="1559" w:type="dxa"/>
          </w:tcPr>
          <w:p w14:paraId="6BD58D55" w14:textId="5EF7BDF9" w:rsidR="006F2FFB" w:rsidRPr="006F2FFB" w:rsidRDefault="006F2FFB" w:rsidP="006F2FFB">
            <w:pPr>
              <w:jc w:val="right"/>
              <w:rPr>
                <w:sz w:val="22"/>
                <w:szCs w:val="22"/>
              </w:rPr>
            </w:pPr>
            <w:r>
              <w:rPr>
                <w:rFonts w:cs="Calibri"/>
                <w:color w:val="000000"/>
                <w:sz w:val="22"/>
                <w:szCs w:val="22"/>
                <w:lang w:val="ga"/>
              </w:rPr>
              <w:t>0</w:t>
            </w:r>
          </w:p>
        </w:tc>
        <w:tc>
          <w:tcPr>
            <w:tcW w:w="1544" w:type="dxa"/>
          </w:tcPr>
          <w:p w14:paraId="7A9BF481" w14:textId="505749CD" w:rsidR="006F2FFB" w:rsidRPr="006F2FFB" w:rsidRDefault="006F2FFB" w:rsidP="006F2FFB">
            <w:pPr>
              <w:jc w:val="right"/>
              <w:rPr>
                <w:sz w:val="22"/>
                <w:szCs w:val="22"/>
              </w:rPr>
            </w:pPr>
            <w:r>
              <w:rPr>
                <w:rFonts w:cs="Calibri"/>
                <w:color w:val="000000"/>
                <w:sz w:val="22"/>
                <w:szCs w:val="22"/>
                <w:lang w:val="ga"/>
              </w:rPr>
              <w:t>0.0%</w:t>
            </w:r>
          </w:p>
        </w:tc>
      </w:tr>
      <w:tr w:rsidR="006F2FFB" w:rsidRPr="006F2FFB" w14:paraId="4F456943" w14:textId="77777777" w:rsidTr="00D804C4">
        <w:trPr>
          <w:jc w:val="center"/>
        </w:trPr>
        <w:tc>
          <w:tcPr>
            <w:tcW w:w="2278" w:type="dxa"/>
          </w:tcPr>
          <w:p w14:paraId="40593F1A" w14:textId="74F75816" w:rsidR="006F2FFB" w:rsidRPr="006F2FFB" w:rsidRDefault="006F2FFB" w:rsidP="006F2FFB">
            <w:pPr>
              <w:rPr>
                <w:sz w:val="22"/>
                <w:szCs w:val="22"/>
              </w:rPr>
            </w:pPr>
            <w:r>
              <w:rPr>
                <w:rFonts w:cs="Calibri"/>
                <w:color w:val="000000"/>
                <w:sz w:val="22"/>
                <w:szCs w:val="22"/>
                <w:lang w:val="ga"/>
              </w:rPr>
              <w:t>Ervia/Líonraí Gáis Éireann</w:t>
            </w:r>
          </w:p>
        </w:tc>
        <w:tc>
          <w:tcPr>
            <w:tcW w:w="1559" w:type="dxa"/>
          </w:tcPr>
          <w:p w14:paraId="3AD69E50" w14:textId="72B91AA8" w:rsidR="006F2FFB" w:rsidRPr="006F2FFB" w:rsidRDefault="006F2FFB" w:rsidP="006F2FFB">
            <w:pPr>
              <w:jc w:val="right"/>
              <w:rPr>
                <w:sz w:val="22"/>
                <w:szCs w:val="22"/>
              </w:rPr>
            </w:pPr>
            <w:r>
              <w:rPr>
                <w:rFonts w:cs="Calibri"/>
                <w:color w:val="000000"/>
                <w:sz w:val="22"/>
                <w:szCs w:val="22"/>
                <w:lang w:val="ga"/>
              </w:rPr>
              <w:t>708</w:t>
            </w:r>
          </w:p>
        </w:tc>
        <w:tc>
          <w:tcPr>
            <w:tcW w:w="1560" w:type="dxa"/>
          </w:tcPr>
          <w:p w14:paraId="5684430B" w14:textId="439F98C0" w:rsidR="006F2FFB" w:rsidRPr="006F2FFB" w:rsidRDefault="006F2FFB" w:rsidP="006F2FFB">
            <w:pPr>
              <w:jc w:val="right"/>
              <w:rPr>
                <w:sz w:val="22"/>
                <w:szCs w:val="22"/>
              </w:rPr>
            </w:pPr>
            <w:r>
              <w:rPr>
                <w:rFonts w:cs="Calibri"/>
                <w:color w:val="000000"/>
                <w:sz w:val="22"/>
                <w:szCs w:val="22"/>
                <w:lang w:val="ga"/>
              </w:rPr>
              <w:t>33</w:t>
            </w:r>
          </w:p>
        </w:tc>
        <w:tc>
          <w:tcPr>
            <w:tcW w:w="1544" w:type="dxa"/>
          </w:tcPr>
          <w:p w14:paraId="2B0CF0FD" w14:textId="7C4297ED" w:rsidR="006F2FFB" w:rsidRPr="006F2FFB" w:rsidRDefault="006F2FFB" w:rsidP="006F2FFB">
            <w:pPr>
              <w:jc w:val="right"/>
              <w:rPr>
                <w:sz w:val="22"/>
                <w:szCs w:val="22"/>
              </w:rPr>
            </w:pPr>
            <w:r>
              <w:rPr>
                <w:rFonts w:cs="Calibri"/>
                <w:color w:val="000000"/>
                <w:sz w:val="22"/>
                <w:szCs w:val="22"/>
                <w:lang w:val="ga"/>
              </w:rPr>
              <w:t>4.7%</w:t>
            </w:r>
          </w:p>
        </w:tc>
        <w:tc>
          <w:tcPr>
            <w:tcW w:w="1291" w:type="dxa"/>
          </w:tcPr>
          <w:p w14:paraId="2A85D448" w14:textId="75D458E1" w:rsidR="006F2FFB" w:rsidRPr="006F2FFB" w:rsidRDefault="006F2FFB" w:rsidP="006F2FFB">
            <w:pPr>
              <w:jc w:val="right"/>
              <w:rPr>
                <w:sz w:val="22"/>
                <w:szCs w:val="22"/>
              </w:rPr>
            </w:pPr>
            <w:r>
              <w:rPr>
                <w:rFonts w:cs="Calibri"/>
                <w:color w:val="000000"/>
                <w:sz w:val="22"/>
                <w:szCs w:val="22"/>
                <w:lang w:val="ga"/>
              </w:rPr>
              <w:t>726</w:t>
            </w:r>
          </w:p>
        </w:tc>
        <w:tc>
          <w:tcPr>
            <w:tcW w:w="1559" w:type="dxa"/>
          </w:tcPr>
          <w:p w14:paraId="6B2D94BD" w14:textId="613FD4CB" w:rsidR="006F2FFB" w:rsidRPr="006F2FFB" w:rsidRDefault="006F2FFB" w:rsidP="006F2FFB">
            <w:pPr>
              <w:jc w:val="right"/>
              <w:rPr>
                <w:sz w:val="22"/>
                <w:szCs w:val="22"/>
              </w:rPr>
            </w:pPr>
            <w:r>
              <w:rPr>
                <w:rFonts w:cs="Calibri"/>
                <w:color w:val="000000"/>
                <w:sz w:val="22"/>
                <w:szCs w:val="22"/>
                <w:lang w:val="ga"/>
              </w:rPr>
              <w:t>35</w:t>
            </w:r>
          </w:p>
        </w:tc>
        <w:tc>
          <w:tcPr>
            <w:tcW w:w="1544" w:type="dxa"/>
          </w:tcPr>
          <w:p w14:paraId="4EAFF48B" w14:textId="3FB72D0B" w:rsidR="006F2FFB" w:rsidRPr="006F2FFB" w:rsidRDefault="006F2FFB" w:rsidP="006F2FFB">
            <w:pPr>
              <w:jc w:val="right"/>
              <w:rPr>
                <w:sz w:val="22"/>
                <w:szCs w:val="22"/>
              </w:rPr>
            </w:pPr>
            <w:r>
              <w:rPr>
                <w:rFonts w:cs="Calibri"/>
                <w:color w:val="000000"/>
                <w:sz w:val="22"/>
                <w:szCs w:val="22"/>
                <w:lang w:val="ga"/>
              </w:rPr>
              <w:t>4.8%</w:t>
            </w:r>
          </w:p>
        </w:tc>
      </w:tr>
      <w:tr w:rsidR="006F2FFB" w:rsidRPr="006F2FFB" w14:paraId="58099D19" w14:textId="77777777" w:rsidTr="00D804C4">
        <w:trPr>
          <w:jc w:val="center"/>
        </w:trPr>
        <w:tc>
          <w:tcPr>
            <w:tcW w:w="2278" w:type="dxa"/>
          </w:tcPr>
          <w:p w14:paraId="5E4756DD" w14:textId="4FFB2EB0" w:rsidR="006F2FFB" w:rsidRPr="006F2FFB" w:rsidRDefault="006F2FFB" w:rsidP="006F2FFB">
            <w:pPr>
              <w:rPr>
                <w:sz w:val="22"/>
                <w:szCs w:val="22"/>
              </w:rPr>
            </w:pPr>
            <w:r>
              <w:rPr>
                <w:rFonts w:cs="Calibri"/>
                <w:color w:val="000000"/>
                <w:sz w:val="22"/>
                <w:szCs w:val="22"/>
                <w:lang w:val="ga"/>
              </w:rPr>
              <w:t>Comhairle Contae Fhine Gall</w:t>
            </w:r>
          </w:p>
        </w:tc>
        <w:tc>
          <w:tcPr>
            <w:tcW w:w="1559" w:type="dxa"/>
          </w:tcPr>
          <w:p w14:paraId="71DC4F86" w14:textId="125BBB6A" w:rsidR="006F2FFB" w:rsidRPr="006F2FFB" w:rsidRDefault="006F2FFB" w:rsidP="006F2FFB">
            <w:pPr>
              <w:jc w:val="right"/>
              <w:rPr>
                <w:sz w:val="22"/>
                <w:szCs w:val="22"/>
              </w:rPr>
            </w:pPr>
            <w:r>
              <w:rPr>
                <w:rFonts w:cs="Calibri"/>
                <w:color w:val="000000"/>
                <w:sz w:val="22"/>
                <w:szCs w:val="22"/>
                <w:lang w:val="ga"/>
              </w:rPr>
              <w:t>1,487</w:t>
            </w:r>
          </w:p>
        </w:tc>
        <w:tc>
          <w:tcPr>
            <w:tcW w:w="1560" w:type="dxa"/>
          </w:tcPr>
          <w:p w14:paraId="2BE3AF75" w14:textId="5C85152C" w:rsidR="006F2FFB" w:rsidRPr="006F2FFB" w:rsidRDefault="006F2FFB" w:rsidP="006F2FFB">
            <w:pPr>
              <w:jc w:val="right"/>
              <w:rPr>
                <w:sz w:val="22"/>
                <w:szCs w:val="22"/>
              </w:rPr>
            </w:pPr>
            <w:r>
              <w:rPr>
                <w:rFonts w:cs="Calibri"/>
                <w:color w:val="000000"/>
                <w:sz w:val="22"/>
                <w:szCs w:val="22"/>
                <w:lang w:val="ga"/>
              </w:rPr>
              <w:t>45</w:t>
            </w:r>
          </w:p>
        </w:tc>
        <w:tc>
          <w:tcPr>
            <w:tcW w:w="1544" w:type="dxa"/>
          </w:tcPr>
          <w:p w14:paraId="58CEE502" w14:textId="65F243F3" w:rsidR="006F2FFB" w:rsidRPr="006F2FFB" w:rsidRDefault="006F2FFB" w:rsidP="006F2FFB">
            <w:pPr>
              <w:jc w:val="right"/>
              <w:rPr>
                <w:sz w:val="22"/>
                <w:szCs w:val="22"/>
              </w:rPr>
            </w:pPr>
            <w:r>
              <w:rPr>
                <w:rFonts w:cs="Calibri"/>
                <w:color w:val="000000"/>
                <w:sz w:val="22"/>
                <w:szCs w:val="22"/>
                <w:lang w:val="ga"/>
              </w:rPr>
              <w:t>3.0%</w:t>
            </w:r>
          </w:p>
        </w:tc>
        <w:tc>
          <w:tcPr>
            <w:tcW w:w="1291" w:type="dxa"/>
          </w:tcPr>
          <w:p w14:paraId="14345ED6" w14:textId="6E629F87" w:rsidR="006F2FFB" w:rsidRPr="006F2FFB" w:rsidRDefault="006F2FFB" w:rsidP="006F2FFB">
            <w:pPr>
              <w:jc w:val="right"/>
              <w:rPr>
                <w:sz w:val="22"/>
                <w:szCs w:val="22"/>
              </w:rPr>
            </w:pPr>
            <w:r>
              <w:rPr>
                <w:rFonts w:cs="Calibri"/>
                <w:color w:val="000000"/>
                <w:sz w:val="22"/>
                <w:szCs w:val="22"/>
                <w:lang w:val="ga"/>
              </w:rPr>
              <w:t>1580</w:t>
            </w:r>
          </w:p>
        </w:tc>
        <w:tc>
          <w:tcPr>
            <w:tcW w:w="1559" w:type="dxa"/>
          </w:tcPr>
          <w:p w14:paraId="3826FACE" w14:textId="68D359B1" w:rsidR="006F2FFB" w:rsidRPr="006F2FFB" w:rsidRDefault="006F2FFB" w:rsidP="006F2FFB">
            <w:pPr>
              <w:jc w:val="right"/>
              <w:rPr>
                <w:sz w:val="22"/>
                <w:szCs w:val="22"/>
              </w:rPr>
            </w:pPr>
            <w:r>
              <w:rPr>
                <w:rFonts w:cs="Calibri"/>
                <w:color w:val="000000"/>
                <w:sz w:val="22"/>
                <w:szCs w:val="22"/>
                <w:lang w:val="ga"/>
              </w:rPr>
              <w:t>48</w:t>
            </w:r>
          </w:p>
        </w:tc>
        <w:tc>
          <w:tcPr>
            <w:tcW w:w="1544" w:type="dxa"/>
          </w:tcPr>
          <w:p w14:paraId="4A707A1E" w14:textId="7147C43A" w:rsidR="006F2FFB" w:rsidRPr="006F2FFB" w:rsidRDefault="006F2FFB" w:rsidP="006F2FFB">
            <w:pPr>
              <w:jc w:val="right"/>
              <w:rPr>
                <w:sz w:val="22"/>
                <w:szCs w:val="22"/>
              </w:rPr>
            </w:pPr>
            <w:r>
              <w:rPr>
                <w:rFonts w:cs="Calibri"/>
                <w:color w:val="000000"/>
                <w:sz w:val="22"/>
                <w:szCs w:val="22"/>
                <w:lang w:val="ga"/>
              </w:rPr>
              <w:t>3.0%</w:t>
            </w:r>
          </w:p>
        </w:tc>
      </w:tr>
      <w:tr w:rsidR="006F2FFB" w:rsidRPr="006F2FFB" w14:paraId="4CC3D455" w14:textId="77777777" w:rsidTr="00D804C4">
        <w:trPr>
          <w:jc w:val="center"/>
        </w:trPr>
        <w:tc>
          <w:tcPr>
            <w:tcW w:w="2278" w:type="dxa"/>
          </w:tcPr>
          <w:p w14:paraId="73400DA1" w14:textId="723B08F3" w:rsidR="006F2FFB" w:rsidRPr="006F2FFB" w:rsidRDefault="006F2FFB" w:rsidP="006F2FFB">
            <w:pPr>
              <w:rPr>
                <w:sz w:val="22"/>
                <w:szCs w:val="22"/>
              </w:rPr>
            </w:pPr>
            <w:r>
              <w:rPr>
                <w:rFonts w:cs="Calibri"/>
                <w:color w:val="000000"/>
                <w:sz w:val="22"/>
                <w:szCs w:val="22"/>
                <w:lang w:val="ga"/>
              </w:rPr>
              <w:t>Comhairle Cathrach na Gaillimhe</w:t>
            </w:r>
          </w:p>
        </w:tc>
        <w:tc>
          <w:tcPr>
            <w:tcW w:w="1559" w:type="dxa"/>
          </w:tcPr>
          <w:p w14:paraId="7B57DC62" w14:textId="321284AC" w:rsidR="006F2FFB" w:rsidRPr="006F2FFB" w:rsidRDefault="006F2FFB" w:rsidP="006F2FFB">
            <w:pPr>
              <w:jc w:val="right"/>
              <w:rPr>
                <w:sz w:val="22"/>
                <w:szCs w:val="22"/>
              </w:rPr>
            </w:pPr>
            <w:r>
              <w:rPr>
                <w:rFonts w:cs="Calibri"/>
                <w:color w:val="000000"/>
                <w:sz w:val="22"/>
                <w:szCs w:val="22"/>
                <w:lang w:val="ga"/>
              </w:rPr>
              <w:t>554</w:t>
            </w:r>
          </w:p>
        </w:tc>
        <w:tc>
          <w:tcPr>
            <w:tcW w:w="1560" w:type="dxa"/>
          </w:tcPr>
          <w:p w14:paraId="74AEA864" w14:textId="29D3DD5D" w:rsidR="006F2FFB" w:rsidRPr="006F2FFB" w:rsidRDefault="006F2FFB" w:rsidP="006F2FFB">
            <w:pPr>
              <w:jc w:val="right"/>
              <w:rPr>
                <w:sz w:val="22"/>
                <w:szCs w:val="22"/>
              </w:rPr>
            </w:pPr>
            <w:r>
              <w:rPr>
                <w:rFonts w:cs="Calibri"/>
                <w:color w:val="000000"/>
                <w:sz w:val="22"/>
                <w:szCs w:val="22"/>
                <w:lang w:val="ga"/>
              </w:rPr>
              <w:t>28</w:t>
            </w:r>
          </w:p>
        </w:tc>
        <w:tc>
          <w:tcPr>
            <w:tcW w:w="1544" w:type="dxa"/>
          </w:tcPr>
          <w:p w14:paraId="6B7EE9DB" w14:textId="0F90F452" w:rsidR="006F2FFB" w:rsidRPr="006F2FFB" w:rsidRDefault="006F2FFB" w:rsidP="006F2FFB">
            <w:pPr>
              <w:jc w:val="right"/>
              <w:rPr>
                <w:sz w:val="22"/>
                <w:szCs w:val="22"/>
              </w:rPr>
            </w:pPr>
            <w:r>
              <w:rPr>
                <w:rFonts w:cs="Calibri"/>
                <w:color w:val="000000"/>
                <w:sz w:val="22"/>
                <w:szCs w:val="22"/>
                <w:lang w:val="ga"/>
              </w:rPr>
              <w:t>5.1%</w:t>
            </w:r>
          </w:p>
        </w:tc>
        <w:tc>
          <w:tcPr>
            <w:tcW w:w="1291" w:type="dxa"/>
          </w:tcPr>
          <w:p w14:paraId="7EDE5531" w14:textId="588EFE8B" w:rsidR="006F2FFB" w:rsidRPr="006F2FFB" w:rsidRDefault="006F2FFB" w:rsidP="006F2FFB">
            <w:pPr>
              <w:jc w:val="right"/>
              <w:rPr>
                <w:sz w:val="22"/>
                <w:szCs w:val="22"/>
              </w:rPr>
            </w:pPr>
            <w:r>
              <w:rPr>
                <w:rFonts w:cs="Calibri"/>
                <w:color w:val="000000"/>
                <w:sz w:val="22"/>
                <w:szCs w:val="22"/>
                <w:lang w:val="ga"/>
              </w:rPr>
              <w:t>553</w:t>
            </w:r>
          </w:p>
        </w:tc>
        <w:tc>
          <w:tcPr>
            <w:tcW w:w="1559" w:type="dxa"/>
          </w:tcPr>
          <w:p w14:paraId="32772287" w14:textId="0F24D55D" w:rsidR="006F2FFB" w:rsidRPr="006F2FFB" w:rsidRDefault="006F2FFB" w:rsidP="006F2FFB">
            <w:pPr>
              <w:jc w:val="right"/>
              <w:rPr>
                <w:sz w:val="22"/>
                <w:szCs w:val="22"/>
              </w:rPr>
            </w:pPr>
            <w:r>
              <w:rPr>
                <w:rFonts w:cs="Calibri"/>
                <w:color w:val="000000"/>
                <w:sz w:val="22"/>
                <w:szCs w:val="22"/>
                <w:lang w:val="ga"/>
              </w:rPr>
              <w:t>17</w:t>
            </w:r>
          </w:p>
        </w:tc>
        <w:tc>
          <w:tcPr>
            <w:tcW w:w="1544" w:type="dxa"/>
          </w:tcPr>
          <w:p w14:paraId="1F7453E9" w14:textId="693FDEFA" w:rsidR="006F2FFB" w:rsidRPr="006F2FFB" w:rsidRDefault="006F2FFB" w:rsidP="006F2FFB">
            <w:pPr>
              <w:jc w:val="right"/>
              <w:rPr>
                <w:sz w:val="22"/>
                <w:szCs w:val="22"/>
              </w:rPr>
            </w:pPr>
            <w:r>
              <w:rPr>
                <w:rFonts w:cs="Calibri"/>
                <w:color w:val="000000"/>
                <w:sz w:val="22"/>
                <w:szCs w:val="22"/>
                <w:lang w:val="ga"/>
              </w:rPr>
              <w:t>3.1%</w:t>
            </w:r>
          </w:p>
        </w:tc>
      </w:tr>
      <w:tr w:rsidR="006F2FFB" w:rsidRPr="006F2FFB" w14:paraId="09695495" w14:textId="77777777" w:rsidTr="00D804C4">
        <w:trPr>
          <w:jc w:val="center"/>
        </w:trPr>
        <w:tc>
          <w:tcPr>
            <w:tcW w:w="2278" w:type="dxa"/>
          </w:tcPr>
          <w:p w14:paraId="167394FF" w14:textId="5DD34B83" w:rsidR="006F2FFB" w:rsidRPr="006F2FFB" w:rsidRDefault="006F2FFB" w:rsidP="006F2FFB">
            <w:pPr>
              <w:rPr>
                <w:b/>
                <w:sz w:val="22"/>
                <w:szCs w:val="22"/>
              </w:rPr>
            </w:pPr>
            <w:r>
              <w:rPr>
                <w:rFonts w:cs="Calibri"/>
                <w:color w:val="000000"/>
                <w:sz w:val="22"/>
                <w:szCs w:val="22"/>
                <w:lang w:val="ga"/>
              </w:rPr>
              <w:t>Comhairle Contae na Gaillimhe</w:t>
            </w:r>
          </w:p>
        </w:tc>
        <w:tc>
          <w:tcPr>
            <w:tcW w:w="1559" w:type="dxa"/>
          </w:tcPr>
          <w:p w14:paraId="6B27C33D" w14:textId="73A0A8DF" w:rsidR="006F2FFB" w:rsidRPr="00514589" w:rsidRDefault="006F2FFB" w:rsidP="006F2FFB">
            <w:pPr>
              <w:pStyle w:val="TableHead"/>
              <w:jc w:val="right"/>
              <w:rPr>
                <w:b w:val="0"/>
                <w:bCs/>
                <w:sz w:val="22"/>
                <w:szCs w:val="22"/>
              </w:rPr>
            </w:pPr>
            <w:r>
              <w:rPr>
                <w:rFonts w:cs="Calibri"/>
                <w:b w:val="0"/>
                <w:color w:val="000000"/>
                <w:sz w:val="22"/>
                <w:szCs w:val="22"/>
                <w:lang w:val="ga"/>
              </w:rPr>
              <w:t>845</w:t>
            </w:r>
          </w:p>
        </w:tc>
        <w:tc>
          <w:tcPr>
            <w:tcW w:w="1560" w:type="dxa"/>
          </w:tcPr>
          <w:p w14:paraId="6F79FBBC" w14:textId="17F5054A" w:rsidR="006F2FFB" w:rsidRPr="00514589" w:rsidRDefault="006F2FFB" w:rsidP="006F2FFB">
            <w:pPr>
              <w:pStyle w:val="TableHead"/>
              <w:jc w:val="right"/>
              <w:rPr>
                <w:b w:val="0"/>
                <w:bCs/>
                <w:sz w:val="22"/>
                <w:szCs w:val="22"/>
              </w:rPr>
            </w:pPr>
            <w:r>
              <w:rPr>
                <w:rFonts w:cs="Calibri"/>
                <w:b w:val="0"/>
                <w:color w:val="000000"/>
                <w:sz w:val="22"/>
                <w:szCs w:val="22"/>
                <w:lang w:val="ga"/>
              </w:rPr>
              <w:t>29</w:t>
            </w:r>
          </w:p>
        </w:tc>
        <w:tc>
          <w:tcPr>
            <w:tcW w:w="1544" w:type="dxa"/>
          </w:tcPr>
          <w:p w14:paraId="35BB4FD0" w14:textId="68E6F470" w:rsidR="006F2FFB" w:rsidRPr="00514589" w:rsidRDefault="006F2FFB" w:rsidP="006F2FFB">
            <w:pPr>
              <w:pStyle w:val="TableHead"/>
              <w:jc w:val="right"/>
              <w:rPr>
                <w:b w:val="0"/>
                <w:bCs/>
                <w:sz w:val="22"/>
                <w:szCs w:val="22"/>
              </w:rPr>
            </w:pPr>
            <w:r>
              <w:rPr>
                <w:rFonts w:cs="Calibri"/>
                <w:b w:val="0"/>
                <w:color w:val="000000"/>
                <w:sz w:val="22"/>
                <w:szCs w:val="22"/>
                <w:lang w:val="ga"/>
              </w:rPr>
              <w:t>3.4%</w:t>
            </w:r>
          </w:p>
        </w:tc>
        <w:tc>
          <w:tcPr>
            <w:tcW w:w="1291" w:type="dxa"/>
          </w:tcPr>
          <w:p w14:paraId="6DF1A36B" w14:textId="00C8081F" w:rsidR="006F2FFB" w:rsidRPr="006F2FFB" w:rsidRDefault="006F2FFB" w:rsidP="006F2FFB">
            <w:pPr>
              <w:jc w:val="right"/>
              <w:rPr>
                <w:sz w:val="22"/>
                <w:szCs w:val="22"/>
              </w:rPr>
            </w:pPr>
            <w:r>
              <w:rPr>
                <w:rFonts w:cs="Calibri"/>
                <w:color w:val="000000"/>
                <w:sz w:val="22"/>
                <w:szCs w:val="22"/>
                <w:lang w:val="ga"/>
              </w:rPr>
              <w:t>857</w:t>
            </w:r>
          </w:p>
        </w:tc>
        <w:tc>
          <w:tcPr>
            <w:tcW w:w="1559" w:type="dxa"/>
          </w:tcPr>
          <w:p w14:paraId="6A173D4C" w14:textId="131A0025" w:rsidR="006F2FFB" w:rsidRPr="006F2FFB" w:rsidRDefault="006F2FFB" w:rsidP="006F2FFB">
            <w:pPr>
              <w:jc w:val="right"/>
              <w:rPr>
                <w:sz w:val="22"/>
                <w:szCs w:val="22"/>
              </w:rPr>
            </w:pPr>
            <w:r>
              <w:rPr>
                <w:rFonts w:cs="Calibri"/>
                <w:color w:val="000000"/>
                <w:sz w:val="22"/>
                <w:szCs w:val="22"/>
                <w:lang w:val="ga"/>
              </w:rPr>
              <w:t>30</w:t>
            </w:r>
          </w:p>
        </w:tc>
        <w:tc>
          <w:tcPr>
            <w:tcW w:w="1544" w:type="dxa"/>
          </w:tcPr>
          <w:p w14:paraId="18978F83" w14:textId="525A0B0A" w:rsidR="006F2FFB" w:rsidRPr="006F2FFB" w:rsidRDefault="006F2FFB" w:rsidP="006F2FFB">
            <w:pPr>
              <w:jc w:val="right"/>
              <w:rPr>
                <w:sz w:val="22"/>
                <w:szCs w:val="22"/>
              </w:rPr>
            </w:pPr>
            <w:r>
              <w:rPr>
                <w:rFonts w:cs="Calibri"/>
                <w:color w:val="000000"/>
                <w:sz w:val="22"/>
                <w:szCs w:val="22"/>
                <w:lang w:val="ga"/>
              </w:rPr>
              <w:t>3.5%</w:t>
            </w:r>
          </w:p>
        </w:tc>
      </w:tr>
      <w:tr w:rsidR="006F2FFB" w:rsidRPr="006F2FFB" w14:paraId="42B92880" w14:textId="77777777" w:rsidTr="00D804C4">
        <w:trPr>
          <w:jc w:val="center"/>
        </w:trPr>
        <w:tc>
          <w:tcPr>
            <w:tcW w:w="2278" w:type="dxa"/>
          </w:tcPr>
          <w:p w14:paraId="7D606E79" w14:textId="0E04B689" w:rsidR="006F2FFB" w:rsidRPr="006F2FFB" w:rsidRDefault="006F2FFB" w:rsidP="006F2FFB">
            <w:pPr>
              <w:rPr>
                <w:sz w:val="22"/>
                <w:szCs w:val="22"/>
              </w:rPr>
            </w:pPr>
            <w:r>
              <w:rPr>
                <w:rFonts w:cs="Calibri"/>
                <w:color w:val="000000"/>
                <w:sz w:val="22"/>
                <w:szCs w:val="22"/>
                <w:lang w:val="ga"/>
              </w:rPr>
              <w:t>An Chomhairle Oidhreachta</w:t>
            </w:r>
          </w:p>
        </w:tc>
        <w:tc>
          <w:tcPr>
            <w:tcW w:w="1559" w:type="dxa"/>
          </w:tcPr>
          <w:p w14:paraId="777B044D" w14:textId="49C3142D" w:rsidR="006F2FFB" w:rsidRPr="006F2FFB" w:rsidRDefault="006F2FFB" w:rsidP="006F2FFB">
            <w:pPr>
              <w:jc w:val="right"/>
              <w:rPr>
                <w:sz w:val="22"/>
                <w:szCs w:val="22"/>
              </w:rPr>
            </w:pPr>
            <w:r>
              <w:rPr>
                <w:rFonts w:cs="Calibri"/>
                <w:color w:val="000000"/>
                <w:sz w:val="22"/>
                <w:szCs w:val="22"/>
                <w:lang w:val="ga"/>
              </w:rPr>
              <w:t>19</w:t>
            </w:r>
          </w:p>
        </w:tc>
        <w:tc>
          <w:tcPr>
            <w:tcW w:w="1560" w:type="dxa"/>
          </w:tcPr>
          <w:p w14:paraId="4560F0FD" w14:textId="358E70AA" w:rsidR="006F2FFB" w:rsidRPr="006F2FFB" w:rsidRDefault="006F2FFB" w:rsidP="006F2FFB">
            <w:pPr>
              <w:jc w:val="right"/>
              <w:rPr>
                <w:sz w:val="22"/>
                <w:szCs w:val="22"/>
              </w:rPr>
            </w:pPr>
            <w:r>
              <w:rPr>
                <w:rFonts w:cs="Calibri"/>
                <w:color w:val="000000"/>
                <w:sz w:val="22"/>
                <w:szCs w:val="22"/>
                <w:lang w:val="ga"/>
              </w:rPr>
              <w:t>0</w:t>
            </w:r>
          </w:p>
        </w:tc>
        <w:tc>
          <w:tcPr>
            <w:tcW w:w="1544" w:type="dxa"/>
          </w:tcPr>
          <w:p w14:paraId="3309ECDB" w14:textId="69C0461A" w:rsidR="006F2FFB" w:rsidRPr="006F2FFB" w:rsidRDefault="006F2FFB" w:rsidP="006F2FFB">
            <w:pPr>
              <w:jc w:val="right"/>
              <w:rPr>
                <w:sz w:val="22"/>
                <w:szCs w:val="22"/>
              </w:rPr>
            </w:pPr>
            <w:r>
              <w:rPr>
                <w:rFonts w:cs="Calibri"/>
                <w:color w:val="000000"/>
                <w:sz w:val="22"/>
                <w:szCs w:val="22"/>
                <w:lang w:val="ga"/>
              </w:rPr>
              <w:t>0.0%</w:t>
            </w:r>
          </w:p>
        </w:tc>
        <w:tc>
          <w:tcPr>
            <w:tcW w:w="1291" w:type="dxa"/>
          </w:tcPr>
          <w:p w14:paraId="1ED06A52" w14:textId="14EC36C6" w:rsidR="006F2FFB" w:rsidRPr="006F2FFB" w:rsidRDefault="006F2FFB" w:rsidP="006F2FFB">
            <w:pPr>
              <w:jc w:val="right"/>
              <w:rPr>
                <w:sz w:val="22"/>
                <w:szCs w:val="22"/>
              </w:rPr>
            </w:pPr>
            <w:r>
              <w:rPr>
                <w:rFonts w:cs="Calibri"/>
                <w:color w:val="000000"/>
                <w:sz w:val="22"/>
                <w:szCs w:val="22"/>
                <w:lang w:val="ga"/>
              </w:rPr>
              <w:t>25</w:t>
            </w:r>
          </w:p>
        </w:tc>
        <w:tc>
          <w:tcPr>
            <w:tcW w:w="1559" w:type="dxa"/>
          </w:tcPr>
          <w:p w14:paraId="3C8BA0AF" w14:textId="6784371F" w:rsidR="006F2FFB" w:rsidRPr="006F2FFB" w:rsidRDefault="006F2FFB" w:rsidP="006F2FFB">
            <w:pPr>
              <w:jc w:val="right"/>
              <w:rPr>
                <w:sz w:val="22"/>
                <w:szCs w:val="22"/>
              </w:rPr>
            </w:pPr>
            <w:r>
              <w:rPr>
                <w:rFonts w:cs="Calibri"/>
                <w:color w:val="000000"/>
                <w:sz w:val="22"/>
                <w:szCs w:val="22"/>
                <w:lang w:val="ga"/>
              </w:rPr>
              <w:t>1</w:t>
            </w:r>
          </w:p>
        </w:tc>
        <w:tc>
          <w:tcPr>
            <w:tcW w:w="1544" w:type="dxa"/>
          </w:tcPr>
          <w:p w14:paraId="53A02BB2" w14:textId="63665FE3" w:rsidR="006F2FFB" w:rsidRPr="006F2FFB" w:rsidRDefault="006F2FFB" w:rsidP="006F2FFB">
            <w:pPr>
              <w:jc w:val="right"/>
              <w:rPr>
                <w:sz w:val="22"/>
                <w:szCs w:val="22"/>
              </w:rPr>
            </w:pPr>
            <w:r>
              <w:rPr>
                <w:rFonts w:cs="Calibri"/>
                <w:color w:val="000000"/>
                <w:sz w:val="22"/>
                <w:szCs w:val="22"/>
                <w:lang w:val="ga"/>
              </w:rPr>
              <w:t>4.0%</w:t>
            </w:r>
          </w:p>
        </w:tc>
      </w:tr>
      <w:tr w:rsidR="006F2FFB" w:rsidRPr="006F2FFB" w14:paraId="40D7DB44" w14:textId="77777777" w:rsidTr="00D804C4">
        <w:trPr>
          <w:jc w:val="center"/>
        </w:trPr>
        <w:tc>
          <w:tcPr>
            <w:tcW w:w="2278" w:type="dxa"/>
          </w:tcPr>
          <w:p w14:paraId="0B6828DE" w14:textId="65DB665B" w:rsidR="006F2FFB" w:rsidRPr="006F2FFB" w:rsidRDefault="006F2FFB" w:rsidP="006F2FFB">
            <w:pPr>
              <w:rPr>
                <w:sz w:val="22"/>
                <w:szCs w:val="22"/>
              </w:rPr>
            </w:pPr>
            <w:r>
              <w:rPr>
                <w:rFonts w:cs="Calibri"/>
                <w:color w:val="000000"/>
                <w:sz w:val="22"/>
                <w:szCs w:val="22"/>
                <w:lang w:val="ga"/>
              </w:rPr>
              <w:t>An Ghníomhaireacht um Thithíocht agus Pobail Inbhuanaithe</w:t>
            </w:r>
          </w:p>
        </w:tc>
        <w:tc>
          <w:tcPr>
            <w:tcW w:w="1559" w:type="dxa"/>
          </w:tcPr>
          <w:p w14:paraId="35F48286" w14:textId="2664EA91" w:rsidR="006F2FFB" w:rsidRPr="006F2FFB" w:rsidRDefault="006F2FFB" w:rsidP="006F2FFB">
            <w:pPr>
              <w:jc w:val="right"/>
              <w:rPr>
                <w:sz w:val="22"/>
                <w:szCs w:val="22"/>
              </w:rPr>
            </w:pPr>
            <w:r>
              <w:rPr>
                <w:rFonts w:cs="Calibri"/>
                <w:color w:val="000000"/>
                <w:sz w:val="22"/>
                <w:szCs w:val="22"/>
                <w:lang w:val="ga"/>
              </w:rPr>
              <w:t>113</w:t>
            </w:r>
          </w:p>
        </w:tc>
        <w:tc>
          <w:tcPr>
            <w:tcW w:w="1560" w:type="dxa"/>
          </w:tcPr>
          <w:p w14:paraId="0040192A" w14:textId="5255F244" w:rsidR="006F2FFB" w:rsidRPr="006F2FFB" w:rsidRDefault="006F2FFB" w:rsidP="006F2FFB">
            <w:pPr>
              <w:jc w:val="right"/>
              <w:rPr>
                <w:sz w:val="22"/>
                <w:szCs w:val="22"/>
              </w:rPr>
            </w:pPr>
            <w:r>
              <w:rPr>
                <w:rFonts w:cs="Calibri"/>
                <w:color w:val="000000"/>
                <w:sz w:val="22"/>
                <w:szCs w:val="22"/>
                <w:lang w:val="ga"/>
              </w:rPr>
              <w:t>7</w:t>
            </w:r>
          </w:p>
        </w:tc>
        <w:tc>
          <w:tcPr>
            <w:tcW w:w="1544" w:type="dxa"/>
          </w:tcPr>
          <w:p w14:paraId="36120280" w14:textId="05CDC26A" w:rsidR="006F2FFB" w:rsidRPr="006F2FFB" w:rsidRDefault="006F2FFB" w:rsidP="006F2FFB">
            <w:pPr>
              <w:jc w:val="right"/>
              <w:rPr>
                <w:sz w:val="22"/>
                <w:szCs w:val="22"/>
              </w:rPr>
            </w:pPr>
            <w:r>
              <w:rPr>
                <w:rFonts w:cs="Calibri"/>
                <w:color w:val="000000"/>
                <w:sz w:val="22"/>
                <w:szCs w:val="22"/>
                <w:lang w:val="ga"/>
              </w:rPr>
              <w:t>6.2%</w:t>
            </w:r>
          </w:p>
        </w:tc>
        <w:tc>
          <w:tcPr>
            <w:tcW w:w="1291" w:type="dxa"/>
          </w:tcPr>
          <w:p w14:paraId="6BF6C2B6" w14:textId="44FE1589" w:rsidR="006F2FFB" w:rsidRPr="006F2FFB" w:rsidRDefault="006F2FFB" w:rsidP="006F2FFB">
            <w:pPr>
              <w:jc w:val="right"/>
              <w:rPr>
                <w:sz w:val="22"/>
                <w:szCs w:val="22"/>
              </w:rPr>
            </w:pPr>
            <w:r>
              <w:rPr>
                <w:rFonts w:cs="Calibri"/>
                <w:color w:val="000000"/>
                <w:sz w:val="22"/>
                <w:szCs w:val="22"/>
                <w:lang w:val="ga"/>
              </w:rPr>
              <w:t>132</w:t>
            </w:r>
          </w:p>
        </w:tc>
        <w:tc>
          <w:tcPr>
            <w:tcW w:w="1559" w:type="dxa"/>
          </w:tcPr>
          <w:p w14:paraId="7498C304" w14:textId="56439C7E" w:rsidR="006F2FFB" w:rsidRPr="006F2FFB" w:rsidRDefault="006F2FFB" w:rsidP="006F2FFB">
            <w:pPr>
              <w:jc w:val="right"/>
              <w:rPr>
                <w:sz w:val="22"/>
                <w:szCs w:val="22"/>
              </w:rPr>
            </w:pPr>
            <w:r>
              <w:rPr>
                <w:rFonts w:cs="Calibri"/>
                <w:color w:val="000000"/>
                <w:sz w:val="22"/>
                <w:szCs w:val="22"/>
                <w:lang w:val="ga"/>
              </w:rPr>
              <w:t>9</w:t>
            </w:r>
          </w:p>
        </w:tc>
        <w:tc>
          <w:tcPr>
            <w:tcW w:w="1544" w:type="dxa"/>
          </w:tcPr>
          <w:p w14:paraId="237E56E2" w14:textId="69797ED3" w:rsidR="006F2FFB" w:rsidRPr="006F2FFB" w:rsidRDefault="006F2FFB" w:rsidP="006F2FFB">
            <w:pPr>
              <w:jc w:val="right"/>
              <w:rPr>
                <w:sz w:val="22"/>
                <w:szCs w:val="22"/>
              </w:rPr>
            </w:pPr>
            <w:r>
              <w:rPr>
                <w:rFonts w:cs="Calibri"/>
                <w:color w:val="000000"/>
                <w:sz w:val="22"/>
                <w:szCs w:val="22"/>
                <w:lang w:val="ga"/>
              </w:rPr>
              <w:t>6.8%</w:t>
            </w:r>
          </w:p>
        </w:tc>
      </w:tr>
      <w:tr w:rsidR="006F2FFB" w:rsidRPr="006F2FFB" w14:paraId="6E97307E" w14:textId="77777777" w:rsidTr="00D804C4">
        <w:trPr>
          <w:jc w:val="center"/>
        </w:trPr>
        <w:tc>
          <w:tcPr>
            <w:tcW w:w="2278" w:type="dxa"/>
          </w:tcPr>
          <w:p w14:paraId="547DAFC3" w14:textId="2CF2A0EE" w:rsidR="006F2FFB" w:rsidRPr="006F2FFB" w:rsidRDefault="006F2FFB" w:rsidP="006F2FFB">
            <w:pPr>
              <w:rPr>
                <w:sz w:val="22"/>
                <w:szCs w:val="22"/>
              </w:rPr>
            </w:pPr>
            <w:r>
              <w:rPr>
                <w:rFonts w:cs="Calibri"/>
                <w:color w:val="000000"/>
                <w:sz w:val="22"/>
                <w:szCs w:val="22"/>
                <w:lang w:val="ga"/>
              </w:rPr>
              <w:t>An Ghníomhaireacht Airgeadais do Thithe</w:t>
            </w:r>
          </w:p>
        </w:tc>
        <w:tc>
          <w:tcPr>
            <w:tcW w:w="1559" w:type="dxa"/>
          </w:tcPr>
          <w:p w14:paraId="74CCBDA7" w14:textId="64D9667B" w:rsidR="006F2FFB" w:rsidRPr="006F2FFB" w:rsidRDefault="006F2FFB" w:rsidP="006F2FFB">
            <w:pPr>
              <w:jc w:val="right"/>
              <w:rPr>
                <w:sz w:val="22"/>
                <w:szCs w:val="22"/>
              </w:rPr>
            </w:pPr>
            <w:r>
              <w:rPr>
                <w:rFonts w:cs="Calibri"/>
                <w:color w:val="000000"/>
                <w:sz w:val="22"/>
                <w:szCs w:val="22"/>
                <w:lang w:val="ga"/>
              </w:rPr>
              <w:t>15</w:t>
            </w:r>
          </w:p>
        </w:tc>
        <w:tc>
          <w:tcPr>
            <w:tcW w:w="1560" w:type="dxa"/>
          </w:tcPr>
          <w:p w14:paraId="6D94AC7F" w14:textId="63E51C13" w:rsidR="006F2FFB" w:rsidRPr="006F2FFB" w:rsidRDefault="006F2FFB" w:rsidP="006F2FFB">
            <w:pPr>
              <w:jc w:val="right"/>
              <w:rPr>
                <w:sz w:val="22"/>
                <w:szCs w:val="22"/>
              </w:rPr>
            </w:pPr>
            <w:r>
              <w:rPr>
                <w:rFonts w:cs="Calibri"/>
                <w:color w:val="000000"/>
                <w:sz w:val="22"/>
                <w:szCs w:val="22"/>
                <w:lang w:val="ga"/>
              </w:rPr>
              <w:t>0</w:t>
            </w:r>
          </w:p>
        </w:tc>
        <w:tc>
          <w:tcPr>
            <w:tcW w:w="1544" w:type="dxa"/>
          </w:tcPr>
          <w:p w14:paraId="7BAA75A6" w14:textId="3D7EC033" w:rsidR="006F2FFB" w:rsidRPr="006F2FFB" w:rsidRDefault="006F2FFB" w:rsidP="006F2FFB">
            <w:pPr>
              <w:jc w:val="right"/>
              <w:rPr>
                <w:sz w:val="22"/>
                <w:szCs w:val="22"/>
              </w:rPr>
            </w:pPr>
            <w:r>
              <w:rPr>
                <w:rFonts w:cs="Calibri"/>
                <w:color w:val="000000"/>
                <w:sz w:val="22"/>
                <w:szCs w:val="22"/>
                <w:lang w:val="ga"/>
              </w:rPr>
              <w:t>0.0%</w:t>
            </w:r>
          </w:p>
        </w:tc>
        <w:tc>
          <w:tcPr>
            <w:tcW w:w="1291" w:type="dxa"/>
          </w:tcPr>
          <w:p w14:paraId="557068B3" w14:textId="628CF24F" w:rsidR="006F2FFB" w:rsidRPr="006F2FFB" w:rsidRDefault="006F2FFB" w:rsidP="006F2FFB">
            <w:pPr>
              <w:jc w:val="right"/>
              <w:rPr>
                <w:sz w:val="22"/>
                <w:szCs w:val="22"/>
              </w:rPr>
            </w:pPr>
            <w:r>
              <w:rPr>
                <w:rFonts w:cs="Calibri"/>
                <w:color w:val="000000"/>
                <w:sz w:val="22"/>
                <w:szCs w:val="22"/>
                <w:lang w:val="ga"/>
              </w:rPr>
              <w:t>18</w:t>
            </w:r>
          </w:p>
        </w:tc>
        <w:tc>
          <w:tcPr>
            <w:tcW w:w="1559" w:type="dxa"/>
          </w:tcPr>
          <w:p w14:paraId="546D7D8F" w14:textId="7AD76DC1" w:rsidR="006F2FFB" w:rsidRPr="006F2FFB" w:rsidRDefault="006F2FFB" w:rsidP="006F2FFB">
            <w:pPr>
              <w:jc w:val="right"/>
              <w:rPr>
                <w:sz w:val="22"/>
                <w:szCs w:val="22"/>
              </w:rPr>
            </w:pPr>
            <w:r>
              <w:rPr>
                <w:rFonts w:cs="Calibri"/>
                <w:color w:val="000000"/>
                <w:sz w:val="22"/>
                <w:szCs w:val="22"/>
                <w:lang w:val="ga"/>
              </w:rPr>
              <w:t>3</w:t>
            </w:r>
          </w:p>
        </w:tc>
        <w:tc>
          <w:tcPr>
            <w:tcW w:w="1544" w:type="dxa"/>
          </w:tcPr>
          <w:p w14:paraId="0776AB52" w14:textId="75034C0D" w:rsidR="006F2FFB" w:rsidRPr="006F2FFB" w:rsidRDefault="006F2FFB" w:rsidP="006F2FFB">
            <w:pPr>
              <w:jc w:val="right"/>
              <w:rPr>
                <w:sz w:val="22"/>
                <w:szCs w:val="22"/>
              </w:rPr>
            </w:pPr>
            <w:r>
              <w:rPr>
                <w:rFonts w:cs="Calibri"/>
                <w:color w:val="000000"/>
                <w:sz w:val="22"/>
                <w:szCs w:val="22"/>
                <w:lang w:val="ga"/>
              </w:rPr>
              <w:t>16.7%</w:t>
            </w:r>
          </w:p>
        </w:tc>
      </w:tr>
      <w:tr w:rsidR="006F2FFB" w:rsidRPr="006F2FFB" w14:paraId="31EC9FE3" w14:textId="77777777" w:rsidTr="00D804C4">
        <w:trPr>
          <w:jc w:val="center"/>
        </w:trPr>
        <w:tc>
          <w:tcPr>
            <w:tcW w:w="2278" w:type="dxa"/>
          </w:tcPr>
          <w:p w14:paraId="6BD142F6" w14:textId="75470550" w:rsidR="006F2FFB" w:rsidRPr="006F2FFB" w:rsidRDefault="006F2FFB" w:rsidP="006F2FFB">
            <w:pPr>
              <w:rPr>
                <w:sz w:val="22"/>
                <w:szCs w:val="22"/>
              </w:rPr>
            </w:pPr>
            <w:r>
              <w:rPr>
                <w:rFonts w:cs="Calibri"/>
                <w:color w:val="000000"/>
                <w:sz w:val="22"/>
                <w:szCs w:val="22"/>
                <w:lang w:val="ga"/>
              </w:rPr>
              <w:t>Comhairle Contae Chiarraí</w:t>
            </w:r>
          </w:p>
        </w:tc>
        <w:tc>
          <w:tcPr>
            <w:tcW w:w="1559" w:type="dxa"/>
          </w:tcPr>
          <w:p w14:paraId="5602B759" w14:textId="07E3829D" w:rsidR="006F2FFB" w:rsidRPr="006F2FFB" w:rsidRDefault="006F2FFB" w:rsidP="006F2FFB">
            <w:pPr>
              <w:jc w:val="right"/>
              <w:rPr>
                <w:sz w:val="22"/>
                <w:szCs w:val="22"/>
              </w:rPr>
            </w:pPr>
            <w:r>
              <w:rPr>
                <w:rFonts w:cs="Calibri"/>
                <w:color w:val="000000"/>
                <w:sz w:val="22"/>
                <w:szCs w:val="22"/>
                <w:lang w:val="ga"/>
              </w:rPr>
              <w:t>1,497</w:t>
            </w:r>
          </w:p>
        </w:tc>
        <w:tc>
          <w:tcPr>
            <w:tcW w:w="1560" w:type="dxa"/>
          </w:tcPr>
          <w:p w14:paraId="4140C565" w14:textId="7D21E709" w:rsidR="006F2FFB" w:rsidRPr="006F2FFB" w:rsidRDefault="006F2FFB" w:rsidP="006F2FFB">
            <w:pPr>
              <w:jc w:val="right"/>
              <w:rPr>
                <w:sz w:val="22"/>
                <w:szCs w:val="22"/>
              </w:rPr>
            </w:pPr>
            <w:r>
              <w:rPr>
                <w:rFonts w:cs="Calibri"/>
                <w:color w:val="000000"/>
                <w:sz w:val="22"/>
                <w:szCs w:val="22"/>
                <w:lang w:val="ga"/>
              </w:rPr>
              <w:t>77</w:t>
            </w:r>
          </w:p>
        </w:tc>
        <w:tc>
          <w:tcPr>
            <w:tcW w:w="1544" w:type="dxa"/>
          </w:tcPr>
          <w:p w14:paraId="6CE19B64" w14:textId="313EA17F" w:rsidR="006F2FFB" w:rsidRPr="006F2FFB" w:rsidRDefault="006F2FFB" w:rsidP="006F2FFB">
            <w:pPr>
              <w:jc w:val="right"/>
              <w:rPr>
                <w:sz w:val="22"/>
                <w:szCs w:val="22"/>
              </w:rPr>
            </w:pPr>
            <w:r>
              <w:rPr>
                <w:rFonts w:cs="Calibri"/>
                <w:color w:val="000000"/>
                <w:sz w:val="22"/>
                <w:szCs w:val="22"/>
                <w:lang w:val="ga"/>
              </w:rPr>
              <w:t>5.1%</w:t>
            </w:r>
          </w:p>
        </w:tc>
        <w:tc>
          <w:tcPr>
            <w:tcW w:w="1291" w:type="dxa"/>
          </w:tcPr>
          <w:p w14:paraId="26133428" w14:textId="0DE3A42D" w:rsidR="006F2FFB" w:rsidRPr="006F2FFB" w:rsidRDefault="00514589" w:rsidP="006F2FFB">
            <w:pPr>
              <w:jc w:val="right"/>
              <w:rPr>
                <w:sz w:val="22"/>
                <w:szCs w:val="22"/>
              </w:rPr>
            </w:pPr>
            <w:r>
              <w:rPr>
                <w:rFonts w:cs="Calibri"/>
                <w:color w:val="000000"/>
                <w:sz w:val="22"/>
                <w:szCs w:val="22"/>
                <w:lang w:val="ga"/>
              </w:rPr>
              <w:t>1509</w:t>
            </w:r>
          </w:p>
        </w:tc>
        <w:tc>
          <w:tcPr>
            <w:tcW w:w="1559" w:type="dxa"/>
          </w:tcPr>
          <w:p w14:paraId="49C49A81" w14:textId="09081641" w:rsidR="006F2FFB" w:rsidRPr="006F2FFB" w:rsidRDefault="00514589" w:rsidP="006F2FFB">
            <w:pPr>
              <w:jc w:val="right"/>
              <w:rPr>
                <w:sz w:val="22"/>
                <w:szCs w:val="22"/>
              </w:rPr>
            </w:pPr>
            <w:r>
              <w:rPr>
                <w:rFonts w:cs="Calibri"/>
                <w:color w:val="000000"/>
                <w:sz w:val="22"/>
                <w:szCs w:val="22"/>
                <w:lang w:val="ga"/>
              </w:rPr>
              <w:t>82</w:t>
            </w:r>
          </w:p>
        </w:tc>
        <w:tc>
          <w:tcPr>
            <w:tcW w:w="1544" w:type="dxa"/>
          </w:tcPr>
          <w:p w14:paraId="166814A4" w14:textId="63976708" w:rsidR="006F2FFB" w:rsidRPr="006F2FFB" w:rsidRDefault="00514589" w:rsidP="006F2FFB">
            <w:pPr>
              <w:jc w:val="right"/>
              <w:rPr>
                <w:sz w:val="22"/>
                <w:szCs w:val="22"/>
              </w:rPr>
            </w:pPr>
            <w:r>
              <w:rPr>
                <w:rFonts w:cs="Calibri"/>
                <w:color w:val="000000"/>
                <w:sz w:val="22"/>
                <w:szCs w:val="22"/>
                <w:lang w:val="ga"/>
              </w:rPr>
              <w:t>5.4%</w:t>
            </w:r>
          </w:p>
        </w:tc>
      </w:tr>
      <w:tr w:rsidR="006F2FFB" w:rsidRPr="006F2FFB" w14:paraId="5F13BAEF" w14:textId="77777777" w:rsidTr="00D804C4">
        <w:trPr>
          <w:jc w:val="center"/>
        </w:trPr>
        <w:tc>
          <w:tcPr>
            <w:tcW w:w="2278" w:type="dxa"/>
          </w:tcPr>
          <w:p w14:paraId="2A6A8BDD" w14:textId="40A3BDC8" w:rsidR="006F2FFB" w:rsidRPr="006F2FFB" w:rsidRDefault="006F2FFB" w:rsidP="006F2FFB">
            <w:pPr>
              <w:rPr>
                <w:sz w:val="22"/>
                <w:szCs w:val="22"/>
              </w:rPr>
            </w:pPr>
            <w:r>
              <w:rPr>
                <w:rFonts w:cs="Calibri"/>
                <w:color w:val="000000"/>
                <w:sz w:val="22"/>
                <w:szCs w:val="22"/>
                <w:lang w:val="ga"/>
              </w:rPr>
              <w:t>Comhairle Contae Chill Dara</w:t>
            </w:r>
          </w:p>
        </w:tc>
        <w:tc>
          <w:tcPr>
            <w:tcW w:w="1559" w:type="dxa"/>
          </w:tcPr>
          <w:p w14:paraId="54845841" w14:textId="374A8D96" w:rsidR="006F2FFB" w:rsidRPr="006F2FFB" w:rsidRDefault="006F2FFB" w:rsidP="006F2FFB">
            <w:pPr>
              <w:jc w:val="right"/>
              <w:rPr>
                <w:sz w:val="22"/>
                <w:szCs w:val="22"/>
              </w:rPr>
            </w:pPr>
            <w:r>
              <w:rPr>
                <w:rFonts w:cs="Calibri"/>
                <w:color w:val="000000"/>
                <w:sz w:val="22"/>
                <w:szCs w:val="22"/>
                <w:lang w:val="ga"/>
              </w:rPr>
              <w:t>998</w:t>
            </w:r>
          </w:p>
        </w:tc>
        <w:tc>
          <w:tcPr>
            <w:tcW w:w="1560" w:type="dxa"/>
          </w:tcPr>
          <w:p w14:paraId="743A8D94" w14:textId="5D6497E7" w:rsidR="006F2FFB" w:rsidRPr="006F2FFB" w:rsidRDefault="006F2FFB" w:rsidP="006F2FFB">
            <w:pPr>
              <w:jc w:val="right"/>
              <w:rPr>
                <w:sz w:val="22"/>
                <w:szCs w:val="22"/>
              </w:rPr>
            </w:pPr>
            <w:r>
              <w:rPr>
                <w:rFonts w:cs="Calibri"/>
                <w:color w:val="000000"/>
                <w:sz w:val="22"/>
                <w:szCs w:val="22"/>
                <w:lang w:val="ga"/>
              </w:rPr>
              <w:t>30</w:t>
            </w:r>
          </w:p>
        </w:tc>
        <w:tc>
          <w:tcPr>
            <w:tcW w:w="1544" w:type="dxa"/>
          </w:tcPr>
          <w:p w14:paraId="05564A0D" w14:textId="47794ECB" w:rsidR="006F2FFB" w:rsidRPr="006F2FFB" w:rsidRDefault="006F2FFB" w:rsidP="006F2FFB">
            <w:pPr>
              <w:jc w:val="right"/>
              <w:rPr>
                <w:sz w:val="22"/>
                <w:szCs w:val="22"/>
              </w:rPr>
            </w:pPr>
            <w:r>
              <w:rPr>
                <w:rFonts w:cs="Calibri"/>
                <w:color w:val="000000"/>
                <w:sz w:val="22"/>
                <w:szCs w:val="22"/>
                <w:lang w:val="ga"/>
              </w:rPr>
              <w:t>3.0%</w:t>
            </w:r>
          </w:p>
        </w:tc>
        <w:tc>
          <w:tcPr>
            <w:tcW w:w="1291" w:type="dxa"/>
          </w:tcPr>
          <w:p w14:paraId="5A637BC2" w14:textId="6E5B1275" w:rsidR="006F2FFB" w:rsidRPr="006F2FFB" w:rsidRDefault="00514589" w:rsidP="006F2FFB">
            <w:pPr>
              <w:jc w:val="right"/>
              <w:rPr>
                <w:sz w:val="22"/>
                <w:szCs w:val="22"/>
              </w:rPr>
            </w:pPr>
            <w:r>
              <w:rPr>
                <w:rFonts w:cs="Calibri"/>
                <w:color w:val="000000"/>
                <w:sz w:val="22"/>
                <w:szCs w:val="22"/>
                <w:lang w:val="ga"/>
              </w:rPr>
              <w:t>980</w:t>
            </w:r>
          </w:p>
        </w:tc>
        <w:tc>
          <w:tcPr>
            <w:tcW w:w="1559" w:type="dxa"/>
          </w:tcPr>
          <w:p w14:paraId="358FB3AB" w14:textId="4F7C26B4" w:rsidR="006F2FFB" w:rsidRPr="006F2FFB" w:rsidRDefault="00514589" w:rsidP="006F2FFB">
            <w:pPr>
              <w:jc w:val="right"/>
              <w:rPr>
                <w:sz w:val="22"/>
                <w:szCs w:val="22"/>
              </w:rPr>
            </w:pPr>
            <w:r>
              <w:rPr>
                <w:rFonts w:cs="Calibri"/>
                <w:color w:val="000000"/>
                <w:sz w:val="22"/>
                <w:szCs w:val="22"/>
                <w:lang w:val="ga"/>
              </w:rPr>
              <w:t>35</w:t>
            </w:r>
          </w:p>
        </w:tc>
        <w:tc>
          <w:tcPr>
            <w:tcW w:w="1544" w:type="dxa"/>
          </w:tcPr>
          <w:p w14:paraId="64EC7A11" w14:textId="72AD1486" w:rsidR="006F2FFB" w:rsidRPr="006F2FFB" w:rsidRDefault="00514589" w:rsidP="006F2FFB">
            <w:pPr>
              <w:jc w:val="right"/>
              <w:rPr>
                <w:sz w:val="22"/>
                <w:szCs w:val="22"/>
              </w:rPr>
            </w:pPr>
            <w:r>
              <w:rPr>
                <w:rFonts w:cs="Calibri"/>
                <w:color w:val="000000"/>
                <w:sz w:val="22"/>
                <w:szCs w:val="22"/>
                <w:lang w:val="ga"/>
              </w:rPr>
              <w:t>3.6%</w:t>
            </w:r>
          </w:p>
        </w:tc>
      </w:tr>
      <w:tr w:rsidR="006F2FFB" w:rsidRPr="006F2FFB" w14:paraId="62B6B57B" w14:textId="77777777" w:rsidTr="00D804C4">
        <w:trPr>
          <w:jc w:val="center"/>
        </w:trPr>
        <w:tc>
          <w:tcPr>
            <w:tcW w:w="2278" w:type="dxa"/>
          </w:tcPr>
          <w:p w14:paraId="74567D6A" w14:textId="64B474E6" w:rsidR="006F2FFB" w:rsidRPr="006F2FFB" w:rsidRDefault="006F2FFB" w:rsidP="006F2FFB">
            <w:pPr>
              <w:rPr>
                <w:sz w:val="22"/>
                <w:szCs w:val="22"/>
              </w:rPr>
            </w:pPr>
            <w:r>
              <w:rPr>
                <w:rFonts w:cs="Calibri"/>
                <w:color w:val="000000"/>
                <w:sz w:val="22"/>
                <w:szCs w:val="22"/>
                <w:lang w:val="ga"/>
              </w:rPr>
              <w:t>Comhairle Contae Chill Chainnigh</w:t>
            </w:r>
          </w:p>
        </w:tc>
        <w:tc>
          <w:tcPr>
            <w:tcW w:w="1559" w:type="dxa"/>
          </w:tcPr>
          <w:p w14:paraId="35163EF9" w14:textId="47F5B83F" w:rsidR="006F2FFB" w:rsidRPr="006F2FFB" w:rsidRDefault="006F2FFB" w:rsidP="006F2FFB">
            <w:pPr>
              <w:jc w:val="right"/>
              <w:rPr>
                <w:sz w:val="22"/>
                <w:szCs w:val="22"/>
              </w:rPr>
            </w:pPr>
            <w:r>
              <w:rPr>
                <w:rFonts w:cs="Calibri"/>
                <w:color w:val="000000"/>
                <w:sz w:val="22"/>
                <w:szCs w:val="22"/>
                <w:lang w:val="ga"/>
              </w:rPr>
              <w:t>604</w:t>
            </w:r>
          </w:p>
        </w:tc>
        <w:tc>
          <w:tcPr>
            <w:tcW w:w="1560" w:type="dxa"/>
          </w:tcPr>
          <w:p w14:paraId="317AACDA" w14:textId="71EC0C46" w:rsidR="006F2FFB" w:rsidRPr="006F2FFB" w:rsidRDefault="006F2FFB" w:rsidP="006F2FFB">
            <w:pPr>
              <w:jc w:val="right"/>
              <w:rPr>
                <w:sz w:val="22"/>
                <w:szCs w:val="22"/>
              </w:rPr>
            </w:pPr>
            <w:r>
              <w:rPr>
                <w:rFonts w:cs="Calibri"/>
                <w:color w:val="000000"/>
                <w:sz w:val="22"/>
                <w:szCs w:val="22"/>
                <w:lang w:val="ga"/>
              </w:rPr>
              <w:t>22</w:t>
            </w:r>
          </w:p>
        </w:tc>
        <w:tc>
          <w:tcPr>
            <w:tcW w:w="1544" w:type="dxa"/>
          </w:tcPr>
          <w:p w14:paraId="4A45EB3B" w14:textId="198CB7B0" w:rsidR="006F2FFB" w:rsidRPr="006F2FFB" w:rsidRDefault="006F2FFB" w:rsidP="006F2FFB">
            <w:pPr>
              <w:jc w:val="right"/>
              <w:rPr>
                <w:sz w:val="22"/>
                <w:szCs w:val="22"/>
              </w:rPr>
            </w:pPr>
            <w:r>
              <w:rPr>
                <w:rFonts w:cs="Calibri"/>
                <w:color w:val="000000"/>
                <w:sz w:val="22"/>
                <w:szCs w:val="22"/>
                <w:lang w:val="ga"/>
              </w:rPr>
              <w:t>3.6%</w:t>
            </w:r>
          </w:p>
        </w:tc>
        <w:tc>
          <w:tcPr>
            <w:tcW w:w="1291" w:type="dxa"/>
          </w:tcPr>
          <w:p w14:paraId="775E0D92" w14:textId="63863832" w:rsidR="006F2FFB" w:rsidRPr="006F2FFB" w:rsidRDefault="00B03492" w:rsidP="006F2FFB">
            <w:pPr>
              <w:jc w:val="right"/>
              <w:rPr>
                <w:sz w:val="22"/>
                <w:szCs w:val="22"/>
              </w:rPr>
            </w:pPr>
            <w:r>
              <w:rPr>
                <w:rFonts w:cs="Calibri"/>
                <w:color w:val="000000"/>
                <w:sz w:val="22"/>
                <w:szCs w:val="22"/>
                <w:lang w:val="ga"/>
              </w:rPr>
              <w:t>603</w:t>
            </w:r>
          </w:p>
        </w:tc>
        <w:tc>
          <w:tcPr>
            <w:tcW w:w="1559" w:type="dxa"/>
          </w:tcPr>
          <w:p w14:paraId="6E3BA3C1" w14:textId="1317D744" w:rsidR="006F2FFB" w:rsidRPr="006F2FFB" w:rsidRDefault="00B03492" w:rsidP="00B03492">
            <w:pPr>
              <w:jc w:val="right"/>
              <w:rPr>
                <w:sz w:val="22"/>
                <w:szCs w:val="22"/>
              </w:rPr>
            </w:pPr>
            <w:r>
              <w:rPr>
                <w:rFonts w:cs="Calibri"/>
                <w:color w:val="000000"/>
                <w:sz w:val="22"/>
                <w:szCs w:val="22"/>
                <w:lang w:val="ga"/>
              </w:rPr>
              <w:t>36</w:t>
            </w:r>
          </w:p>
        </w:tc>
        <w:tc>
          <w:tcPr>
            <w:tcW w:w="1544" w:type="dxa"/>
          </w:tcPr>
          <w:p w14:paraId="01061DED" w14:textId="586DC6CE" w:rsidR="006F2FFB" w:rsidRPr="006F2FFB" w:rsidRDefault="00B03492" w:rsidP="006F2FFB">
            <w:pPr>
              <w:jc w:val="right"/>
              <w:rPr>
                <w:sz w:val="22"/>
                <w:szCs w:val="22"/>
              </w:rPr>
            </w:pPr>
            <w:r>
              <w:rPr>
                <w:rFonts w:cs="Calibri"/>
                <w:color w:val="000000"/>
                <w:sz w:val="22"/>
                <w:szCs w:val="22"/>
                <w:lang w:val="ga"/>
              </w:rPr>
              <w:t>6.0%</w:t>
            </w:r>
          </w:p>
        </w:tc>
      </w:tr>
      <w:tr w:rsidR="006F2FFB" w:rsidRPr="006F2FFB" w14:paraId="66DD5AD2" w14:textId="77777777" w:rsidTr="00D804C4">
        <w:trPr>
          <w:jc w:val="center"/>
        </w:trPr>
        <w:tc>
          <w:tcPr>
            <w:tcW w:w="2278" w:type="dxa"/>
          </w:tcPr>
          <w:p w14:paraId="07F84FA0" w14:textId="79F59430" w:rsidR="006F2FFB" w:rsidRPr="00C433F3" w:rsidRDefault="006F2FFB" w:rsidP="006F2FFB">
            <w:pPr>
              <w:rPr>
                <w:color w:val="FFFFFF" w:themeColor="background1"/>
                <w:sz w:val="22"/>
                <w:szCs w:val="22"/>
              </w:rPr>
            </w:pPr>
            <w:r>
              <w:rPr>
                <w:rFonts w:cs="Calibri"/>
                <w:color w:val="000000" w:themeColor="text1"/>
                <w:sz w:val="22"/>
                <w:szCs w:val="22"/>
                <w:lang w:val="ga"/>
              </w:rPr>
              <w:t>An Ghníomhaireacht um Fhorbairt Talún</w:t>
            </w:r>
          </w:p>
        </w:tc>
        <w:tc>
          <w:tcPr>
            <w:tcW w:w="1559" w:type="dxa"/>
          </w:tcPr>
          <w:p w14:paraId="5C135A75" w14:textId="43DF05D7" w:rsidR="006F2FFB" w:rsidRPr="00C433F3" w:rsidRDefault="006F2FFB" w:rsidP="006F2FFB">
            <w:pPr>
              <w:jc w:val="right"/>
              <w:rPr>
                <w:color w:val="000000" w:themeColor="text1"/>
                <w:sz w:val="22"/>
                <w:szCs w:val="22"/>
              </w:rPr>
            </w:pPr>
            <w:r>
              <w:rPr>
                <w:rFonts w:cs="Calibri"/>
                <w:color w:val="000000" w:themeColor="text1"/>
                <w:sz w:val="22"/>
                <w:szCs w:val="22"/>
                <w:lang w:val="ga"/>
              </w:rPr>
              <w:t>50</w:t>
            </w:r>
          </w:p>
        </w:tc>
        <w:tc>
          <w:tcPr>
            <w:tcW w:w="1560" w:type="dxa"/>
          </w:tcPr>
          <w:p w14:paraId="6D821038" w14:textId="55BFDCA6" w:rsidR="006F2FFB" w:rsidRPr="00C433F3" w:rsidRDefault="006F2FFB" w:rsidP="006F2FFB">
            <w:pPr>
              <w:jc w:val="right"/>
              <w:rPr>
                <w:color w:val="000000" w:themeColor="text1"/>
                <w:sz w:val="22"/>
                <w:szCs w:val="22"/>
              </w:rPr>
            </w:pPr>
            <w:r>
              <w:rPr>
                <w:rFonts w:cs="Calibri"/>
                <w:color w:val="000000" w:themeColor="text1"/>
                <w:sz w:val="22"/>
                <w:szCs w:val="22"/>
                <w:lang w:val="ga"/>
              </w:rPr>
              <w:t>1</w:t>
            </w:r>
          </w:p>
        </w:tc>
        <w:tc>
          <w:tcPr>
            <w:tcW w:w="1544" w:type="dxa"/>
          </w:tcPr>
          <w:p w14:paraId="31B52CC1" w14:textId="2D8415D9" w:rsidR="006F2FFB" w:rsidRPr="00C433F3" w:rsidRDefault="006F2FFB" w:rsidP="006F2FFB">
            <w:pPr>
              <w:jc w:val="right"/>
              <w:rPr>
                <w:color w:val="000000" w:themeColor="text1"/>
                <w:sz w:val="22"/>
                <w:szCs w:val="22"/>
              </w:rPr>
            </w:pPr>
            <w:r>
              <w:rPr>
                <w:rFonts w:cs="Calibri"/>
                <w:color w:val="000000" w:themeColor="text1"/>
                <w:sz w:val="22"/>
                <w:szCs w:val="22"/>
                <w:lang w:val="ga"/>
              </w:rPr>
              <w:t>2.0%</w:t>
            </w:r>
          </w:p>
        </w:tc>
        <w:tc>
          <w:tcPr>
            <w:tcW w:w="1291" w:type="dxa"/>
          </w:tcPr>
          <w:p w14:paraId="0E82BE0F" w14:textId="581E3444" w:rsidR="006F2FFB" w:rsidRPr="00C433F3" w:rsidRDefault="00C433F3" w:rsidP="006F2FFB">
            <w:pPr>
              <w:jc w:val="right"/>
              <w:rPr>
                <w:color w:val="000000" w:themeColor="text1"/>
                <w:sz w:val="22"/>
                <w:szCs w:val="22"/>
              </w:rPr>
            </w:pPr>
            <w:r>
              <w:rPr>
                <w:rFonts w:cs="Calibri"/>
                <w:color w:val="000000" w:themeColor="text1"/>
                <w:sz w:val="22"/>
                <w:szCs w:val="22"/>
                <w:lang w:val="ga"/>
              </w:rPr>
              <w:t>70</w:t>
            </w:r>
          </w:p>
        </w:tc>
        <w:tc>
          <w:tcPr>
            <w:tcW w:w="1559" w:type="dxa"/>
          </w:tcPr>
          <w:p w14:paraId="48C2060A" w14:textId="2E417CD0" w:rsidR="006F2FFB" w:rsidRPr="00C433F3" w:rsidRDefault="00C433F3" w:rsidP="006F2FFB">
            <w:pPr>
              <w:jc w:val="right"/>
              <w:rPr>
                <w:color w:val="000000" w:themeColor="text1"/>
                <w:sz w:val="22"/>
                <w:szCs w:val="22"/>
              </w:rPr>
            </w:pPr>
            <w:r>
              <w:rPr>
                <w:rFonts w:cs="Calibri"/>
                <w:color w:val="000000" w:themeColor="text1"/>
                <w:sz w:val="22"/>
                <w:szCs w:val="22"/>
                <w:lang w:val="ga"/>
              </w:rPr>
              <w:t>1</w:t>
            </w:r>
          </w:p>
        </w:tc>
        <w:tc>
          <w:tcPr>
            <w:tcW w:w="1544" w:type="dxa"/>
          </w:tcPr>
          <w:p w14:paraId="566E7723" w14:textId="069275F6" w:rsidR="006F2FFB" w:rsidRPr="00C433F3" w:rsidRDefault="00C433F3" w:rsidP="006F2FFB">
            <w:pPr>
              <w:jc w:val="right"/>
              <w:rPr>
                <w:color w:val="000000" w:themeColor="text1"/>
                <w:sz w:val="22"/>
                <w:szCs w:val="22"/>
              </w:rPr>
            </w:pPr>
            <w:r>
              <w:rPr>
                <w:rFonts w:cs="Calibri"/>
                <w:color w:val="000000" w:themeColor="text1"/>
                <w:sz w:val="22"/>
                <w:szCs w:val="22"/>
                <w:lang w:val="ga"/>
              </w:rPr>
              <w:t>1.4%</w:t>
            </w:r>
          </w:p>
        </w:tc>
      </w:tr>
      <w:tr w:rsidR="006F2FFB" w:rsidRPr="006F2FFB" w14:paraId="314843DA" w14:textId="77777777" w:rsidTr="00D804C4">
        <w:trPr>
          <w:jc w:val="center"/>
        </w:trPr>
        <w:tc>
          <w:tcPr>
            <w:tcW w:w="2278" w:type="dxa"/>
          </w:tcPr>
          <w:p w14:paraId="1947D1D1" w14:textId="5D42E035" w:rsidR="006F2FFB" w:rsidRPr="00C433F3" w:rsidRDefault="006F2FFB" w:rsidP="006F2FFB">
            <w:pPr>
              <w:rPr>
                <w:sz w:val="22"/>
                <w:szCs w:val="22"/>
              </w:rPr>
            </w:pPr>
            <w:r>
              <w:rPr>
                <w:rFonts w:cs="Calibri"/>
                <w:sz w:val="22"/>
                <w:szCs w:val="22"/>
                <w:lang w:val="ga"/>
              </w:rPr>
              <w:t>Comhairle Contae Laoise</w:t>
            </w:r>
          </w:p>
        </w:tc>
        <w:tc>
          <w:tcPr>
            <w:tcW w:w="1559" w:type="dxa"/>
          </w:tcPr>
          <w:p w14:paraId="73490A13" w14:textId="213E617F" w:rsidR="006F2FFB" w:rsidRPr="00C433F3" w:rsidRDefault="006F2FFB" w:rsidP="006F2FFB">
            <w:pPr>
              <w:jc w:val="right"/>
              <w:rPr>
                <w:sz w:val="22"/>
                <w:szCs w:val="22"/>
              </w:rPr>
            </w:pPr>
            <w:r>
              <w:rPr>
                <w:rFonts w:cs="Calibri"/>
                <w:sz w:val="22"/>
                <w:szCs w:val="22"/>
                <w:lang w:val="ga"/>
              </w:rPr>
              <w:t>471</w:t>
            </w:r>
          </w:p>
        </w:tc>
        <w:tc>
          <w:tcPr>
            <w:tcW w:w="1560" w:type="dxa"/>
          </w:tcPr>
          <w:p w14:paraId="54148239" w14:textId="33774006" w:rsidR="006F2FFB" w:rsidRPr="00C433F3" w:rsidRDefault="006F2FFB" w:rsidP="006F2FFB">
            <w:pPr>
              <w:jc w:val="right"/>
              <w:rPr>
                <w:sz w:val="22"/>
                <w:szCs w:val="22"/>
              </w:rPr>
            </w:pPr>
            <w:r>
              <w:rPr>
                <w:rFonts w:cs="Calibri"/>
                <w:sz w:val="22"/>
                <w:szCs w:val="22"/>
                <w:lang w:val="ga"/>
              </w:rPr>
              <w:t>21</w:t>
            </w:r>
          </w:p>
        </w:tc>
        <w:tc>
          <w:tcPr>
            <w:tcW w:w="1544" w:type="dxa"/>
          </w:tcPr>
          <w:p w14:paraId="31D4A058" w14:textId="2D3108B2" w:rsidR="006F2FFB" w:rsidRPr="00C433F3" w:rsidRDefault="006F2FFB" w:rsidP="006F2FFB">
            <w:pPr>
              <w:jc w:val="right"/>
              <w:rPr>
                <w:sz w:val="22"/>
                <w:szCs w:val="22"/>
              </w:rPr>
            </w:pPr>
            <w:r>
              <w:rPr>
                <w:rFonts w:cs="Calibri"/>
                <w:sz w:val="22"/>
                <w:szCs w:val="22"/>
                <w:lang w:val="ga"/>
              </w:rPr>
              <w:t>4.5%</w:t>
            </w:r>
          </w:p>
        </w:tc>
        <w:tc>
          <w:tcPr>
            <w:tcW w:w="1291" w:type="dxa"/>
          </w:tcPr>
          <w:p w14:paraId="45182F6D" w14:textId="19FC760B" w:rsidR="006F2FFB" w:rsidRPr="00C433F3" w:rsidRDefault="00CF682B" w:rsidP="006F2FFB">
            <w:pPr>
              <w:jc w:val="right"/>
              <w:rPr>
                <w:sz w:val="22"/>
                <w:szCs w:val="22"/>
              </w:rPr>
            </w:pPr>
            <w:r>
              <w:rPr>
                <w:sz w:val="22"/>
                <w:szCs w:val="22"/>
                <w:lang w:val="ga"/>
              </w:rPr>
              <w:t>498</w:t>
            </w:r>
          </w:p>
        </w:tc>
        <w:tc>
          <w:tcPr>
            <w:tcW w:w="1559" w:type="dxa"/>
          </w:tcPr>
          <w:p w14:paraId="4BE0522C" w14:textId="64D66F25" w:rsidR="006F2FFB" w:rsidRPr="00C433F3" w:rsidRDefault="00CF682B" w:rsidP="006F2FFB">
            <w:pPr>
              <w:jc w:val="right"/>
              <w:rPr>
                <w:sz w:val="22"/>
                <w:szCs w:val="22"/>
              </w:rPr>
            </w:pPr>
            <w:r>
              <w:rPr>
                <w:sz w:val="22"/>
                <w:szCs w:val="22"/>
                <w:lang w:val="ga"/>
              </w:rPr>
              <w:t>27</w:t>
            </w:r>
          </w:p>
        </w:tc>
        <w:tc>
          <w:tcPr>
            <w:tcW w:w="1544" w:type="dxa"/>
          </w:tcPr>
          <w:p w14:paraId="77BD3933" w14:textId="52862079" w:rsidR="006F2FFB" w:rsidRPr="00C433F3" w:rsidRDefault="00CF682B" w:rsidP="006F2FFB">
            <w:pPr>
              <w:jc w:val="right"/>
              <w:rPr>
                <w:sz w:val="22"/>
                <w:szCs w:val="22"/>
              </w:rPr>
            </w:pPr>
            <w:r>
              <w:rPr>
                <w:sz w:val="22"/>
                <w:szCs w:val="22"/>
                <w:lang w:val="ga"/>
              </w:rPr>
              <w:t>5.4%</w:t>
            </w:r>
          </w:p>
        </w:tc>
      </w:tr>
      <w:tr w:rsidR="006F2FFB" w:rsidRPr="006F2FFB" w14:paraId="04BD3ECD" w14:textId="77777777" w:rsidTr="00D804C4">
        <w:trPr>
          <w:jc w:val="center"/>
        </w:trPr>
        <w:tc>
          <w:tcPr>
            <w:tcW w:w="2278" w:type="dxa"/>
          </w:tcPr>
          <w:p w14:paraId="63F15A13" w14:textId="69A04B4F" w:rsidR="006F2FFB" w:rsidRPr="00C433F3" w:rsidRDefault="006F2FFB" w:rsidP="006F2FFB">
            <w:pPr>
              <w:rPr>
                <w:sz w:val="22"/>
                <w:szCs w:val="22"/>
              </w:rPr>
            </w:pPr>
            <w:r>
              <w:rPr>
                <w:rFonts w:cs="Calibri"/>
                <w:sz w:val="22"/>
                <w:szCs w:val="22"/>
                <w:lang w:val="ga"/>
              </w:rPr>
              <w:t>Comhairle Contae Liatroma</w:t>
            </w:r>
          </w:p>
        </w:tc>
        <w:tc>
          <w:tcPr>
            <w:tcW w:w="1559" w:type="dxa"/>
          </w:tcPr>
          <w:p w14:paraId="3D197454" w14:textId="7AF57CFC" w:rsidR="006F2FFB" w:rsidRPr="00C433F3" w:rsidRDefault="006F2FFB" w:rsidP="006F2FFB">
            <w:pPr>
              <w:jc w:val="right"/>
              <w:rPr>
                <w:sz w:val="22"/>
                <w:szCs w:val="22"/>
              </w:rPr>
            </w:pPr>
            <w:r>
              <w:rPr>
                <w:rFonts w:cs="Calibri"/>
                <w:sz w:val="22"/>
                <w:szCs w:val="22"/>
                <w:lang w:val="ga"/>
              </w:rPr>
              <w:t>379</w:t>
            </w:r>
          </w:p>
        </w:tc>
        <w:tc>
          <w:tcPr>
            <w:tcW w:w="1560" w:type="dxa"/>
          </w:tcPr>
          <w:p w14:paraId="149083CC" w14:textId="4F8679B4" w:rsidR="006F2FFB" w:rsidRPr="00C433F3" w:rsidRDefault="006F2FFB" w:rsidP="006F2FFB">
            <w:pPr>
              <w:jc w:val="right"/>
              <w:rPr>
                <w:sz w:val="22"/>
                <w:szCs w:val="22"/>
              </w:rPr>
            </w:pPr>
            <w:r>
              <w:rPr>
                <w:rFonts w:cs="Calibri"/>
                <w:sz w:val="22"/>
                <w:szCs w:val="22"/>
                <w:lang w:val="ga"/>
              </w:rPr>
              <w:t>14</w:t>
            </w:r>
          </w:p>
        </w:tc>
        <w:tc>
          <w:tcPr>
            <w:tcW w:w="1544" w:type="dxa"/>
          </w:tcPr>
          <w:p w14:paraId="071CF551" w14:textId="60537668" w:rsidR="006F2FFB" w:rsidRPr="00C433F3" w:rsidRDefault="006F2FFB" w:rsidP="006F2FFB">
            <w:pPr>
              <w:jc w:val="right"/>
              <w:rPr>
                <w:sz w:val="22"/>
                <w:szCs w:val="22"/>
              </w:rPr>
            </w:pPr>
            <w:r>
              <w:rPr>
                <w:rFonts w:cs="Calibri"/>
                <w:sz w:val="22"/>
                <w:szCs w:val="22"/>
                <w:lang w:val="ga"/>
              </w:rPr>
              <w:t>3.7%</w:t>
            </w:r>
          </w:p>
        </w:tc>
        <w:tc>
          <w:tcPr>
            <w:tcW w:w="1291" w:type="dxa"/>
          </w:tcPr>
          <w:p w14:paraId="7CFBCD7C" w14:textId="2831A1BE" w:rsidR="006F2FFB" w:rsidRPr="00C433F3" w:rsidRDefault="00CF682B" w:rsidP="006F2FFB">
            <w:pPr>
              <w:jc w:val="right"/>
              <w:rPr>
                <w:sz w:val="22"/>
                <w:szCs w:val="22"/>
              </w:rPr>
            </w:pPr>
            <w:r>
              <w:rPr>
                <w:sz w:val="22"/>
                <w:szCs w:val="22"/>
                <w:lang w:val="ga"/>
              </w:rPr>
              <w:t>383</w:t>
            </w:r>
          </w:p>
        </w:tc>
        <w:tc>
          <w:tcPr>
            <w:tcW w:w="1559" w:type="dxa"/>
          </w:tcPr>
          <w:p w14:paraId="6306FC90" w14:textId="4F0C94FB" w:rsidR="006F2FFB" w:rsidRPr="00C433F3" w:rsidRDefault="00CF682B" w:rsidP="006F2FFB">
            <w:pPr>
              <w:jc w:val="right"/>
              <w:rPr>
                <w:sz w:val="22"/>
                <w:szCs w:val="22"/>
              </w:rPr>
            </w:pPr>
            <w:r>
              <w:rPr>
                <w:sz w:val="22"/>
                <w:szCs w:val="22"/>
                <w:lang w:val="ga"/>
              </w:rPr>
              <w:t>15</w:t>
            </w:r>
          </w:p>
        </w:tc>
        <w:tc>
          <w:tcPr>
            <w:tcW w:w="1544" w:type="dxa"/>
          </w:tcPr>
          <w:p w14:paraId="1E141D85" w14:textId="6A054C48" w:rsidR="006F2FFB" w:rsidRPr="00C433F3" w:rsidRDefault="00CF682B" w:rsidP="006F2FFB">
            <w:pPr>
              <w:jc w:val="right"/>
              <w:rPr>
                <w:sz w:val="22"/>
                <w:szCs w:val="22"/>
              </w:rPr>
            </w:pPr>
            <w:r>
              <w:rPr>
                <w:sz w:val="22"/>
                <w:szCs w:val="22"/>
                <w:lang w:val="ga"/>
              </w:rPr>
              <w:t>3.9%</w:t>
            </w:r>
          </w:p>
        </w:tc>
      </w:tr>
      <w:tr w:rsidR="00CF682B" w:rsidRPr="006F2FFB" w14:paraId="37D098E1" w14:textId="77777777" w:rsidTr="00D804C4">
        <w:trPr>
          <w:jc w:val="center"/>
        </w:trPr>
        <w:tc>
          <w:tcPr>
            <w:tcW w:w="2278" w:type="dxa"/>
          </w:tcPr>
          <w:p w14:paraId="720941B6" w14:textId="457611C8" w:rsidR="00CF682B" w:rsidRPr="00C433F3" w:rsidRDefault="00CF682B" w:rsidP="00CF682B">
            <w:pPr>
              <w:rPr>
                <w:sz w:val="22"/>
                <w:szCs w:val="22"/>
              </w:rPr>
            </w:pPr>
            <w:r>
              <w:rPr>
                <w:rFonts w:cs="Calibri"/>
                <w:sz w:val="22"/>
                <w:szCs w:val="22"/>
                <w:lang w:val="ga"/>
              </w:rPr>
              <w:t>Comhairle Cathrach agus Contae Luimnigh</w:t>
            </w:r>
          </w:p>
        </w:tc>
        <w:tc>
          <w:tcPr>
            <w:tcW w:w="1559" w:type="dxa"/>
          </w:tcPr>
          <w:p w14:paraId="682ADF59" w14:textId="78DD444E" w:rsidR="00CF682B" w:rsidRPr="00C433F3" w:rsidRDefault="00CF682B" w:rsidP="00CF682B">
            <w:pPr>
              <w:jc w:val="right"/>
              <w:rPr>
                <w:sz w:val="22"/>
                <w:szCs w:val="22"/>
              </w:rPr>
            </w:pPr>
            <w:r>
              <w:rPr>
                <w:rFonts w:cs="Calibri"/>
                <w:sz w:val="22"/>
                <w:szCs w:val="22"/>
                <w:lang w:val="ga"/>
              </w:rPr>
              <w:t>1,457</w:t>
            </w:r>
          </w:p>
        </w:tc>
        <w:tc>
          <w:tcPr>
            <w:tcW w:w="1560" w:type="dxa"/>
          </w:tcPr>
          <w:p w14:paraId="4FC73977" w14:textId="1BD140BE" w:rsidR="00CF682B" w:rsidRPr="00C433F3" w:rsidRDefault="00CF682B" w:rsidP="00CF682B">
            <w:pPr>
              <w:jc w:val="right"/>
              <w:rPr>
                <w:sz w:val="22"/>
                <w:szCs w:val="22"/>
              </w:rPr>
            </w:pPr>
            <w:r>
              <w:rPr>
                <w:rFonts w:cs="Calibri"/>
                <w:sz w:val="22"/>
                <w:szCs w:val="22"/>
                <w:lang w:val="ga"/>
              </w:rPr>
              <w:t>95</w:t>
            </w:r>
          </w:p>
        </w:tc>
        <w:tc>
          <w:tcPr>
            <w:tcW w:w="1544" w:type="dxa"/>
          </w:tcPr>
          <w:p w14:paraId="28F465CB" w14:textId="2AB7CA32" w:rsidR="00CF682B" w:rsidRPr="00C433F3" w:rsidRDefault="00CF682B" w:rsidP="00CF682B">
            <w:pPr>
              <w:jc w:val="right"/>
              <w:rPr>
                <w:sz w:val="22"/>
                <w:szCs w:val="22"/>
              </w:rPr>
            </w:pPr>
            <w:r>
              <w:rPr>
                <w:rFonts w:cs="Calibri"/>
                <w:sz w:val="22"/>
                <w:szCs w:val="22"/>
                <w:lang w:val="ga"/>
              </w:rPr>
              <w:t>6.5%</w:t>
            </w:r>
          </w:p>
        </w:tc>
        <w:tc>
          <w:tcPr>
            <w:tcW w:w="1291" w:type="dxa"/>
          </w:tcPr>
          <w:p w14:paraId="42F1F53D" w14:textId="5F5A36C2" w:rsidR="00CF682B" w:rsidRPr="00C433F3" w:rsidRDefault="00CF682B" w:rsidP="00CF682B">
            <w:pPr>
              <w:jc w:val="right"/>
              <w:rPr>
                <w:sz w:val="22"/>
                <w:szCs w:val="22"/>
              </w:rPr>
            </w:pPr>
            <w:r>
              <w:rPr>
                <w:rFonts w:cs="Calibri"/>
                <w:sz w:val="22"/>
                <w:szCs w:val="22"/>
                <w:lang w:val="ga"/>
              </w:rPr>
              <w:t>1450</w:t>
            </w:r>
          </w:p>
        </w:tc>
        <w:tc>
          <w:tcPr>
            <w:tcW w:w="1559" w:type="dxa"/>
          </w:tcPr>
          <w:p w14:paraId="5759EC7E" w14:textId="22F39003" w:rsidR="00CF682B" w:rsidRPr="00C433F3" w:rsidRDefault="00CF682B" w:rsidP="00CF682B">
            <w:pPr>
              <w:jc w:val="right"/>
              <w:rPr>
                <w:sz w:val="22"/>
                <w:szCs w:val="22"/>
              </w:rPr>
            </w:pPr>
            <w:r>
              <w:rPr>
                <w:rFonts w:cs="Calibri"/>
                <w:sz w:val="22"/>
                <w:szCs w:val="22"/>
                <w:lang w:val="ga"/>
              </w:rPr>
              <w:t>105</w:t>
            </w:r>
          </w:p>
        </w:tc>
        <w:tc>
          <w:tcPr>
            <w:tcW w:w="1544" w:type="dxa"/>
          </w:tcPr>
          <w:p w14:paraId="2FD2749E" w14:textId="74E88D44" w:rsidR="00CF682B" w:rsidRPr="00C433F3" w:rsidRDefault="00CF682B" w:rsidP="00CF682B">
            <w:pPr>
              <w:jc w:val="right"/>
              <w:rPr>
                <w:sz w:val="22"/>
                <w:szCs w:val="22"/>
              </w:rPr>
            </w:pPr>
            <w:r>
              <w:rPr>
                <w:rFonts w:cs="Calibri"/>
                <w:sz w:val="22"/>
                <w:szCs w:val="22"/>
                <w:lang w:val="ga"/>
              </w:rPr>
              <w:t>7.2%</w:t>
            </w:r>
          </w:p>
        </w:tc>
      </w:tr>
      <w:tr w:rsidR="006F2FFB" w:rsidRPr="006F2FFB" w14:paraId="7960BAD0" w14:textId="77777777" w:rsidTr="00D804C4">
        <w:trPr>
          <w:jc w:val="center"/>
        </w:trPr>
        <w:tc>
          <w:tcPr>
            <w:tcW w:w="2278" w:type="dxa"/>
          </w:tcPr>
          <w:p w14:paraId="441211B3" w14:textId="5D94F7B4" w:rsidR="006F2FFB" w:rsidRPr="00C433F3" w:rsidRDefault="006F2FFB" w:rsidP="006F2FFB">
            <w:pPr>
              <w:rPr>
                <w:sz w:val="22"/>
                <w:szCs w:val="22"/>
              </w:rPr>
            </w:pPr>
            <w:r>
              <w:rPr>
                <w:rFonts w:cs="Calibri"/>
                <w:sz w:val="22"/>
                <w:szCs w:val="22"/>
                <w:lang w:val="ga"/>
              </w:rPr>
              <w:t>An Ghníomhaireacht Bainistíochta Rialtais Áitiúil</w:t>
            </w:r>
          </w:p>
        </w:tc>
        <w:tc>
          <w:tcPr>
            <w:tcW w:w="1559" w:type="dxa"/>
          </w:tcPr>
          <w:p w14:paraId="043DDF91" w14:textId="6743E648" w:rsidR="006F2FFB" w:rsidRPr="00C433F3" w:rsidRDefault="006F2FFB" w:rsidP="006F2FFB">
            <w:pPr>
              <w:jc w:val="right"/>
              <w:rPr>
                <w:sz w:val="22"/>
                <w:szCs w:val="22"/>
              </w:rPr>
            </w:pPr>
            <w:r>
              <w:rPr>
                <w:rFonts w:cs="Calibri"/>
                <w:sz w:val="22"/>
                <w:szCs w:val="22"/>
                <w:lang w:val="ga"/>
              </w:rPr>
              <w:t>107</w:t>
            </w:r>
          </w:p>
        </w:tc>
        <w:tc>
          <w:tcPr>
            <w:tcW w:w="1560" w:type="dxa"/>
          </w:tcPr>
          <w:p w14:paraId="54B6617E" w14:textId="491DBB80" w:rsidR="006F2FFB" w:rsidRPr="00C433F3" w:rsidRDefault="006F2FFB" w:rsidP="006F2FFB">
            <w:pPr>
              <w:jc w:val="right"/>
              <w:rPr>
                <w:sz w:val="22"/>
                <w:szCs w:val="22"/>
              </w:rPr>
            </w:pPr>
            <w:r>
              <w:rPr>
                <w:rFonts w:cs="Calibri"/>
                <w:sz w:val="22"/>
                <w:szCs w:val="22"/>
                <w:lang w:val="ga"/>
              </w:rPr>
              <w:t>9</w:t>
            </w:r>
          </w:p>
        </w:tc>
        <w:tc>
          <w:tcPr>
            <w:tcW w:w="1544" w:type="dxa"/>
          </w:tcPr>
          <w:p w14:paraId="73C6F1DE" w14:textId="17287838" w:rsidR="006F2FFB" w:rsidRPr="00C433F3" w:rsidRDefault="006F2FFB" w:rsidP="006F2FFB">
            <w:pPr>
              <w:jc w:val="right"/>
              <w:rPr>
                <w:sz w:val="22"/>
                <w:szCs w:val="22"/>
              </w:rPr>
            </w:pPr>
            <w:r>
              <w:rPr>
                <w:rFonts w:cs="Calibri"/>
                <w:sz w:val="22"/>
                <w:szCs w:val="22"/>
                <w:lang w:val="ga"/>
              </w:rPr>
              <w:t>8.4%</w:t>
            </w:r>
          </w:p>
        </w:tc>
        <w:tc>
          <w:tcPr>
            <w:tcW w:w="1291" w:type="dxa"/>
          </w:tcPr>
          <w:p w14:paraId="3239BC59" w14:textId="5FE58B7E" w:rsidR="006F2FFB" w:rsidRPr="00C433F3" w:rsidRDefault="00CF682B" w:rsidP="006F2FFB">
            <w:pPr>
              <w:jc w:val="right"/>
              <w:rPr>
                <w:sz w:val="22"/>
                <w:szCs w:val="22"/>
              </w:rPr>
            </w:pPr>
            <w:r>
              <w:rPr>
                <w:sz w:val="22"/>
                <w:szCs w:val="22"/>
                <w:lang w:val="ga"/>
              </w:rPr>
              <w:t>105</w:t>
            </w:r>
          </w:p>
        </w:tc>
        <w:tc>
          <w:tcPr>
            <w:tcW w:w="1559" w:type="dxa"/>
          </w:tcPr>
          <w:p w14:paraId="6BFB6EFB" w14:textId="04255823" w:rsidR="006F2FFB" w:rsidRPr="00C433F3" w:rsidRDefault="00CF682B" w:rsidP="006F2FFB">
            <w:pPr>
              <w:jc w:val="right"/>
              <w:rPr>
                <w:sz w:val="22"/>
                <w:szCs w:val="22"/>
              </w:rPr>
            </w:pPr>
            <w:r>
              <w:rPr>
                <w:sz w:val="22"/>
                <w:szCs w:val="22"/>
                <w:lang w:val="ga"/>
              </w:rPr>
              <w:t>8</w:t>
            </w:r>
          </w:p>
        </w:tc>
        <w:tc>
          <w:tcPr>
            <w:tcW w:w="1544" w:type="dxa"/>
          </w:tcPr>
          <w:p w14:paraId="27DD8C6B" w14:textId="0AF9CB43" w:rsidR="006F2FFB" w:rsidRPr="00C433F3" w:rsidRDefault="00CF682B" w:rsidP="006F2FFB">
            <w:pPr>
              <w:jc w:val="right"/>
              <w:rPr>
                <w:sz w:val="22"/>
                <w:szCs w:val="22"/>
              </w:rPr>
            </w:pPr>
            <w:r>
              <w:rPr>
                <w:sz w:val="22"/>
                <w:szCs w:val="22"/>
                <w:lang w:val="ga"/>
              </w:rPr>
              <w:t>7.6%</w:t>
            </w:r>
          </w:p>
        </w:tc>
      </w:tr>
      <w:tr w:rsidR="006F2FFB" w:rsidRPr="006F2FFB" w14:paraId="21972252" w14:textId="77777777" w:rsidTr="00D804C4">
        <w:trPr>
          <w:jc w:val="center"/>
        </w:trPr>
        <w:tc>
          <w:tcPr>
            <w:tcW w:w="2278" w:type="dxa"/>
          </w:tcPr>
          <w:p w14:paraId="0BB2AE8B" w14:textId="36EF8A42" w:rsidR="006F2FFB" w:rsidRPr="00C433F3" w:rsidRDefault="006F2FFB" w:rsidP="006F2FFB">
            <w:pPr>
              <w:rPr>
                <w:sz w:val="22"/>
                <w:szCs w:val="22"/>
              </w:rPr>
            </w:pPr>
            <w:r>
              <w:rPr>
                <w:rFonts w:cs="Calibri"/>
                <w:sz w:val="22"/>
                <w:szCs w:val="22"/>
                <w:lang w:val="ga"/>
              </w:rPr>
              <w:t>Comhairle Contae an Longfoirt</w:t>
            </w:r>
          </w:p>
        </w:tc>
        <w:tc>
          <w:tcPr>
            <w:tcW w:w="1559" w:type="dxa"/>
          </w:tcPr>
          <w:p w14:paraId="60DEBC66" w14:textId="2E105542" w:rsidR="006F2FFB" w:rsidRPr="00C433F3" w:rsidRDefault="006F2FFB" w:rsidP="006F2FFB">
            <w:pPr>
              <w:jc w:val="right"/>
              <w:rPr>
                <w:sz w:val="22"/>
                <w:szCs w:val="22"/>
              </w:rPr>
            </w:pPr>
            <w:r>
              <w:rPr>
                <w:rFonts w:cs="Calibri"/>
                <w:sz w:val="22"/>
                <w:szCs w:val="22"/>
                <w:lang w:val="ga"/>
              </w:rPr>
              <w:t>403</w:t>
            </w:r>
          </w:p>
        </w:tc>
        <w:tc>
          <w:tcPr>
            <w:tcW w:w="1560" w:type="dxa"/>
          </w:tcPr>
          <w:p w14:paraId="5BEE6DD8" w14:textId="771EE8F3" w:rsidR="006F2FFB" w:rsidRPr="00C433F3" w:rsidRDefault="006F2FFB" w:rsidP="006F2FFB">
            <w:pPr>
              <w:jc w:val="right"/>
              <w:rPr>
                <w:sz w:val="22"/>
                <w:szCs w:val="22"/>
              </w:rPr>
            </w:pPr>
            <w:r>
              <w:rPr>
                <w:rFonts w:cs="Calibri"/>
                <w:sz w:val="22"/>
                <w:szCs w:val="22"/>
                <w:lang w:val="ga"/>
              </w:rPr>
              <w:t>34</w:t>
            </w:r>
          </w:p>
        </w:tc>
        <w:tc>
          <w:tcPr>
            <w:tcW w:w="1544" w:type="dxa"/>
          </w:tcPr>
          <w:p w14:paraId="64F8DAAC" w14:textId="3F332ED9" w:rsidR="006F2FFB" w:rsidRPr="00C433F3" w:rsidRDefault="006F2FFB" w:rsidP="006F2FFB">
            <w:pPr>
              <w:jc w:val="right"/>
              <w:rPr>
                <w:sz w:val="22"/>
                <w:szCs w:val="22"/>
              </w:rPr>
            </w:pPr>
            <w:r>
              <w:rPr>
                <w:rFonts w:cs="Calibri"/>
                <w:sz w:val="22"/>
                <w:szCs w:val="22"/>
                <w:lang w:val="ga"/>
              </w:rPr>
              <w:t>8.4%</w:t>
            </w:r>
          </w:p>
        </w:tc>
        <w:tc>
          <w:tcPr>
            <w:tcW w:w="1291" w:type="dxa"/>
          </w:tcPr>
          <w:p w14:paraId="39E9E535" w14:textId="633419EF" w:rsidR="006F2FFB" w:rsidRPr="00C433F3" w:rsidRDefault="00E043C9" w:rsidP="006F2FFB">
            <w:pPr>
              <w:jc w:val="right"/>
              <w:rPr>
                <w:sz w:val="22"/>
                <w:szCs w:val="22"/>
              </w:rPr>
            </w:pPr>
            <w:r>
              <w:rPr>
                <w:sz w:val="22"/>
                <w:szCs w:val="22"/>
                <w:lang w:val="ga"/>
              </w:rPr>
              <w:t>411</w:t>
            </w:r>
          </w:p>
        </w:tc>
        <w:tc>
          <w:tcPr>
            <w:tcW w:w="1559" w:type="dxa"/>
          </w:tcPr>
          <w:p w14:paraId="5D0AEB3C" w14:textId="3B26D7FC" w:rsidR="006F2FFB" w:rsidRPr="00C433F3" w:rsidRDefault="00E043C9" w:rsidP="006F2FFB">
            <w:pPr>
              <w:jc w:val="right"/>
              <w:rPr>
                <w:sz w:val="22"/>
                <w:szCs w:val="22"/>
              </w:rPr>
            </w:pPr>
            <w:r>
              <w:rPr>
                <w:sz w:val="22"/>
                <w:szCs w:val="22"/>
                <w:lang w:val="ga"/>
              </w:rPr>
              <w:t>42</w:t>
            </w:r>
          </w:p>
        </w:tc>
        <w:tc>
          <w:tcPr>
            <w:tcW w:w="1544" w:type="dxa"/>
          </w:tcPr>
          <w:p w14:paraId="06EF337E" w14:textId="20ACE0E1" w:rsidR="006F2FFB" w:rsidRPr="00C433F3" w:rsidRDefault="00E043C9" w:rsidP="006F2FFB">
            <w:pPr>
              <w:jc w:val="right"/>
              <w:rPr>
                <w:sz w:val="22"/>
                <w:szCs w:val="22"/>
              </w:rPr>
            </w:pPr>
            <w:r>
              <w:rPr>
                <w:sz w:val="22"/>
                <w:szCs w:val="22"/>
                <w:lang w:val="ga"/>
              </w:rPr>
              <w:t>10.2%</w:t>
            </w:r>
          </w:p>
        </w:tc>
      </w:tr>
      <w:tr w:rsidR="006F2FFB" w:rsidRPr="006F2FFB" w14:paraId="5E76FE64" w14:textId="77777777" w:rsidTr="00D804C4">
        <w:trPr>
          <w:jc w:val="center"/>
        </w:trPr>
        <w:tc>
          <w:tcPr>
            <w:tcW w:w="2278" w:type="dxa"/>
          </w:tcPr>
          <w:p w14:paraId="14301CE0" w14:textId="1E97E5F6" w:rsidR="006F2FFB" w:rsidRPr="00C433F3" w:rsidRDefault="006F2FFB" w:rsidP="006F2FFB">
            <w:pPr>
              <w:rPr>
                <w:sz w:val="22"/>
                <w:szCs w:val="22"/>
              </w:rPr>
            </w:pPr>
            <w:r>
              <w:rPr>
                <w:rFonts w:cs="Calibri"/>
                <w:sz w:val="22"/>
                <w:szCs w:val="22"/>
                <w:lang w:val="ga"/>
              </w:rPr>
              <w:t>Comhairle Contae Lú</w:t>
            </w:r>
          </w:p>
        </w:tc>
        <w:tc>
          <w:tcPr>
            <w:tcW w:w="1559" w:type="dxa"/>
          </w:tcPr>
          <w:p w14:paraId="14D07CC4" w14:textId="6E147AAD" w:rsidR="006F2FFB" w:rsidRPr="00C433F3" w:rsidRDefault="006F2FFB" w:rsidP="006F2FFB">
            <w:pPr>
              <w:jc w:val="right"/>
              <w:rPr>
                <w:sz w:val="22"/>
                <w:szCs w:val="22"/>
              </w:rPr>
            </w:pPr>
            <w:r>
              <w:rPr>
                <w:rFonts w:cs="Calibri"/>
                <w:sz w:val="22"/>
                <w:szCs w:val="22"/>
                <w:lang w:val="ga"/>
              </w:rPr>
              <w:t>740</w:t>
            </w:r>
          </w:p>
        </w:tc>
        <w:tc>
          <w:tcPr>
            <w:tcW w:w="1560" w:type="dxa"/>
          </w:tcPr>
          <w:p w14:paraId="1D4F384F" w14:textId="4DBB132E" w:rsidR="006F2FFB" w:rsidRPr="00C433F3" w:rsidRDefault="006F2FFB" w:rsidP="006F2FFB">
            <w:pPr>
              <w:jc w:val="right"/>
              <w:rPr>
                <w:sz w:val="22"/>
                <w:szCs w:val="22"/>
              </w:rPr>
            </w:pPr>
            <w:r>
              <w:rPr>
                <w:rFonts w:cs="Calibri"/>
                <w:sz w:val="22"/>
                <w:szCs w:val="22"/>
                <w:lang w:val="ga"/>
              </w:rPr>
              <w:t>25</w:t>
            </w:r>
          </w:p>
        </w:tc>
        <w:tc>
          <w:tcPr>
            <w:tcW w:w="1544" w:type="dxa"/>
          </w:tcPr>
          <w:p w14:paraId="032FDEA8" w14:textId="342B2436" w:rsidR="006F2FFB" w:rsidRPr="00C433F3" w:rsidRDefault="006F2FFB" w:rsidP="006F2FFB">
            <w:pPr>
              <w:jc w:val="right"/>
              <w:rPr>
                <w:sz w:val="22"/>
                <w:szCs w:val="22"/>
              </w:rPr>
            </w:pPr>
            <w:r>
              <w:rPr>
                <w:rFonts w:cs="Calibri"/>
                <w:sz w:val="22"/>
                <w:szCs w:val="22"/>
                <w:lang w:val="ga"/>
              </w:rPr>
              <w:t>3.4%</w:t>
            </w:r>
          </w:p>
        </w:tc>
        <w:tc>
          <w:tcPr>
            <w:tcW w:w="1291" w:type="dxa"/>
          </w:tcPr>
          <w:p w14:paraId="5E7D9019" w14:textId="7F35496F" w:rsidR="006F2FFB" w:rsidRPr="00C433F3" w:rsidRDefault="00E043C9" w:rsidP="006F2FFB">
            <w:pPr>
              <w:jc w:val="right"/>
              <w:rPr>
                <w:sz w:val="22"/>
                <w:szCs w:val="22"/>
              </w:rPr>
            </w:pPr>
            <w:r>
              <w:rPr>
                <w:sz w:val="22"/>
                <w:szCs w:val="22"/>
                <w:lang w:val="ga"/>
              </w:rPr>
              <w:t>775</w:t>
            </w:r>
          </w:p>
        </w:tc>
        <w:tc>
          <w:tcPr>
            <w:tcW w:w="1559" w:type="dxa"/>
          </w:tcPr>
          <w:p w14:paraId="120DEA5A" w14:textId="0916BE85" w:rsidR="006F2FFB" w:rsidRPr="00C433F3" w:rsidRDefault="00E043C9" w:rsidP="006F2FFB">
            <w:pPr>
              <w:jc w:val="right"/>
              <w:rPr>
                <w:sz w:val="22"/>
                <w:szCs w:val="22"/>
              </w:rPr>
            </w:pPr>
            <w:r>
              <w:rPr>
                <w:sz w:val="22"/>
                <w:szCs w:val="22"/>
                <w:lang w:val="ga"/>
              </w:rPr>
              <w:t>25</w:t>
            </w:r>
          </w:p>
        </w:tc>
        <w:tc>
          <w:tcPr>
            <w:tcW w:w="1544" w:type="dxa"/>
          </w:tcPr>
          <w:p w14:paraId="3AE42BF4" w14:textId="7047F137" w:rsidR="006F2FFB" w:rsidRPr="00C433F3" w:rsidRDefault="00E043C9" w:rsidP="006F2FFB">
            <w:pPr>
              <w:jc w:val="right"/>
              <w:rPr>
                <w:sz w:val="22"/>
                <w:szCs w:val="22"/>
              </w:rPr>
            </w:pPr>
            <w:r>
              <w:rPr>
                <w:sz w:val="22"/>
                <w:szCs w:val="22"/>
                <w:lang w:val="ga"/>
              </w:rPr>
              <w:t>3.2%</w:t>
            </w:r>
          </w:p>
        </w:tc>
      </w:tr>
      <w:tr w:rsidR="006F2FFB" w:rsidRPr="006F2FFB" w14:paraId="1328177E" w14:textId="77777777" w:rsidTr="00D804C4">
        <w:trPr>
          <w:jc w:val="center"/>
        </w:trPr>
        <w:tc>
          <w:tcPr>
            <w:tcW w:w="2278" w:type="dxa"/>
          </w:tcPr>
          <w:p w14:paraId="67B20342" w14:textId="445DDBFE" w:rsidR="006F2FFB" w:rsidRPr="00C433F3" w:rsidRDefault="006F2FFB" w:rsidP="006F2FFB">
            <w:pPr>
              <w:rPr>
                <w:sz w:val="22"/>
                <w:szCs w:val="22"/>
              </w:rPr>
            </w:pPr>
            <w:r>
              <w:rPr>
                <w:rFonts w:cs="Calibri"/>
                <w:sz w:val="22"/>
                <w:szCs w:val="22"/>
                <w:lang w:val="ga"/>
              </w:rPr>
              <w:t>Comhairle Contae Mhaigh Eo</w:t>
            </w:r>
          </w:p>
        </w:tc>
        <w:tc>
          <w:tcPr>
            <w:tcW w:w="1559" w:type="dxa"/>
          </w:tcPr>
          <w:p w14:paraId="3333EF6B" w14:textId="370D6108" w:rsidR="006F2FFB" w:rsidRPr="00C433F3" w:rsidRDefault="006F2FFB" w:rsidP="006F2FFB">
            <w:pPr>
              <w:jc w:val="right"/>
              <w:rPr>
                <w:sz w:val="22"/>
                <w:szCs w:val="22"/>
              </w:rPr>
            </w:pPr>
            <w:r>
              <w:rPr>
                <w:rFonts w:cs="Calibri"/>
                <w:sz w:val="22"/>
                <w:szCs w:val="22"/>
                <w:lang w:val="ga"/>
              </w:rPr>
              <w:t>1,317</w:t>
            </w:r>
          </w:p>
        </w:tc>
        <w:tc>
          <w:tcPr>
            <w:tcW w:w="1560" w:type="dxa"/>
          </w:tcPr>
          <w:p w14:paraId="6A7499AF" w14:textId="7EFEAC7C" w:rsidR="006F2FFB" w:rsidRPr="00C433F3" w:rsidRDefault="006F2FFB" w:rsidP="006F2FFB">
            <w:pPr>
              <w:jc w:val="right"/>
              <w:rPr>
                <w:sz w:val="22"/>
                <w:szCs w:val="22"/>
              </w:rPr>
            </w:pPr>
            <w:r>
              <w:rPr>
                <w:rFonts w:cs="Calibri"/>
                <w:sz w:val="22"/>
                <w:szCs w:val="22"/>
                <w:lang w:val="ga"/>
              </w:rPr>
              <w:t>59</w:t>
            </w:r>
          </w:p>
        </w:tc>
        <w:tc>
          <w:tcPr>
            <w:tcW w:w="1544" w:type="dxa"/>
          </w:tcPr>
          <w:p w14:paraId="1638C929" w14:textId="34D81369" w:rsidR="006F2FFB" w:rsidRPr="00C433F3" w:rsidRDefault="006F2FFB" w:rsidP="006F2FFB">
            <w:pPr>
              <w:jc w:val="right"/>
              <w:rPr>
                <w:sz w:val="22"/>
                <w:szCs w:val="22"/>
              </w:rPr>
            </w:pPr>
            <w:r>
              <w:rPr>
                <w:rFonts w:cs="Calibri"/>
                <w:sz w:val="22"/>
                <w:szCs w:val="22"/>
                <w:lang w:val="ga"/>
              </w:rPr>
              <w:t>4.5%</w:t>
            </w:r>
          </w:p>
        </w:tc>
        <w:tc>
          <w:tcPr>
            <w:tcW w:w="1291" w:type="dxa"/>
          </w:tcPr>
          <w:p w14:paraId="1B89E3AB" w14:textId="398DFA74" w:rsidR="006F2FFB" w:rsidRPr="00C433F3" w:rsidRDefault="00E043C9" w:rsidP="006F2FFB">
            <w:pPr>
              <w:jc w:val="right"/>
              <w:rPr>
                <w:sz w:val="22"/>
                <w:szCs w:val="22"/>
              </w:rPr>
            </w:pPr>
            <w:r>
              <w:rPr>
                <w:sz w:val="22"/>
                <w:szCs w:val="22"/>
                <w:lang w:val="ga"/>
              </w:rPr>
              <w:t>1305</w:t>
            </w:r>
          </w:p>
        </w:tc>
        <w:tc>
          <w:tcPr>
            <w:tcW w:w="1559" w:type="dxa"/>
          </w:tcPr>
          <w:p w14:paraId="13EFCC53" w14:textId="77B3A21B" w:rsidR="006F2FFB" w:rsidRPr="00C433F3" w:rsidRDefault="00E043C9" w:rsidP="006F2FFB">
            <w:pPr>
              <w:jc w:val="right"/>
              <w:rPr>
                <w:sz w:val="22"/>
                <w:szCs w:val="22"/>
              </w:rPr>
            </w:pPr>
            <w:r>
              <w:rPr>
                <w:sz w:val="22"/>
                <w:szCs w:val="22"/>
                <w:lang w:val="ga"/>
              </w:rPr>
              <w:t>46</w:t>
            </w:r>
          </w:p>
        </w:tc>
        <w:tc>
          <w:tcPr>
            <w:tcW w:w="1544" w:type="dxa"/>
          </w:tcPr>
          <w:p w14:paraId="717E3E47" w14:textId="7B73004C" w:rsidR="006F2FFB" w:rsidRPr="00C433F3" w:rsidRDefault="00E043C9" w:rsidP="006F2FFB">
            <w:pPr>
              <w:jc w:val="right"/>
              <w:rPr>
                <w:sz w:val="22"/>
                <w:szCs w:val="22"/>
              </w:rPr>
            </w:pPr>
            <w:r>
              <w:rPr>
                <w:sz w:val="22"/>
                <w:szCs w:val="22"/>
                <w:lang w:val="ga"/>
              </w:rPr>
              <w:t>3.5%</w:t>
            </w:r>
          </w:p>
        </w:tc>
      </w:tr>
      <w:tr w:rsidR="006F2FFB" w:rsidRPr="006F2FFB" w14:paraId="2F945A25" w14:textId="77777777" w:rsidTr="00D804C4">
        <w:trPr>
          <w:jc w:val="center"/>
        </w:trPr>
        <w:tc>
          <w:tcPr>
            <w:tcW w:w="2278" w:type="dxa"/>
          </w:tcPr>
          <w:p w14:paraId="38995EF9" w14:textId="5FCD8001" w:rsidR="006F2FFB" w:rsidRPr="00C433F3" w:rsidRDefault="006F2FFB" w:rsidP="006F2FFB">
            <w:pPr>
              <w:rPr>
                <w:sz w:val="22"/>
                <w:szCs w:val="22"/>
              </w:rPr>
            </w:pPr>
            <w:r>
              <w:rPr>
                <w:rFonts w:cs="Calibri"/>
                <w:sz w:val="22"/>
                <w:szCs w:val="22"/>
                <w:lang w:val="ga"/>
              </w:rPr>
              <w:t>Comhairle Contae na Mí</w:t>
            </w:r>
          </w:p>
        </w:tc>
        <w:tc>
          <w:tcPr>
            <w:tcW w:w="1559" w:type="dxa"/>
          </w:tcPr>
          <w:p w14:paraId="6EDD55FD" w14:textId="63803FCB" w:rsidR="006F2FFB" w:rsidRPr="00C433F3" w:rsidRDefault="006F2FFB" w:rsidP="006F2FFB">
            <w:pPr>
              <w:jc w:val="right"/>
              <w:rPr>
                <w:sz w:val="22"/>
                <w:szCs w:val="22"/>
              </w:rPr>
            </w:pPr>
            <w:r>
              <w:rPr>
                <w:rFonts w:cs="Calibri"/>
                <w:sz w:val="22"/>
                <w:szCs w:val="22"/>
                <w:lang w:val="ga"/>
              </w:rPr>
              <w:t>802</w:t>
            </w:r>
          </w:p>
        </w:tc>
        <w:tc>
          <w:tcPr>
            <w:tcW w:w="1560" w:type="dxa"/>
          </w:tcPr>
          <w:p w14:paraId="3C38BB74" w14:textId="39F0FEC1" w:rsidR="006F2FFB" w:rsidRPr="00C433F3" w:rsidRDefault="006F2FFB" w:rsidP="006F2FFB">
            <w:pPr>
              <w:jc w:val="right"/>
              <w:rPr>
                <w:sz w:val="22"/>
                <w:szCs w:val="22"/>
              </w:rPr>
            </w:pPr>
            <w:r>
              <w:rPr>
                <w:rFonts w:cs="Calibri"/>
                <w:sz w:val="22"/>
                <w:szCs w:val="22"/>
                <w:lang w:val="ga"/>
              </w:rPr>
              <w:t>37</w:t>
            </w:r>
          </w:p>
        </w:tc>
        <w:tc>
          <w:tcPr>
            <w:tcW w:w="1544" w:type="dxa"/>
          </w:tcPr>
          <w:p w14:paraId="677C2462" w14:textId="162E9A46" w:rsidR="006F2FFB" w:rsidRPr="00C433F3" w:rsidRDefault="006F2FFB" w:rsidP="006F2FFB">
            <w:pPr>
              <w:jc w:val="right"/>
              <w:rPr>
                <w:sz w:val="22"/>
                <w:szCs w:val="22"/>
              </w:rPr>
            </w:pPr>
            <w:r>
              <w:rPr>
                <w:rFonts w:cs="Calibri"/>
                <w:sz w:val="22"/>
                <w:szCs w:val="22"/>
                <w:lang w:val="ga"/>
              </w:rPr>
              <w:t>4.6%</w:t>
            </w:r>
          </w:p>
        </w:tc>
        <w:tc>
          <w:tcPr>
            <w:tcW w:w="1291" w:type="dxa"/>
          </w:tcPr>
          <w:p w14:paraId="208CBC3D" w14:textId="28710448" w:rsidR="006F2FFB" w:rsidRPr="00C433F3" w:rsidRDefault="00E043C9" w:rsidP="006F2FFB">
            <w:pPr>
              <w:jc w:val="right"/>
              <w:rPr>
                <w:sz w:val="22"/>
                <w:szCs w:val="22"/>
              </w:rPr>
            </w:pPr>
            <w:r>
              <w:rPr>
                <w:sz w:val="22"/>
                <w:szCs w:val="22"/>
                <w:lang w:val="ga"/>
              </w:rPr>
              <w:t>841</w:t>
            </w:r>
          </w:p>
        </w:tc>
        <w:tc>
          <w:tcPr>
            <w:tcW w:w="1559" w:type="dxa"/>
          </w:tcPr>
          <w:p w14:paraId="521E3492" w14:textId="2041339B" w:rsidR="006F2FFB" w:rsidRPr="00C433F3" w:rsidRDefault="00E043C9" w:rsidP="006F2FFB">
            <w:pPr>
              <w:jc w:val="right"/>
              <w:rPr>
                <w:sz w:val="22"/>
                <w:szCs w:val="22"/>
              </w:rPr>
            </w:pPr>
            <w:r>
              <w:rPr>
                <w:sz w:val="22"/>
                <w:szCs w:val="22"/>
                <w:lang w:val="ga"/>
              </w:rPr>
              <w:t>42</w:t>
            </w:r>
          </w:p>
        </w:tc>
        <w:tc>
          <w:tcPr>
            <w:tcW w:w="1544" w:type="dxa"/>
          </w:tcPr>
          <w:p w14:paraId="6BD398A8" w14:textId="53D75722" w:rsidR="006F2FFB" w:rsidRPr="00C433F3" w:rsidRDefault="00E043C9" w:rsidP="006F2FFB">
            <w:pPr>
              <w:jc w:val="right"/>
              <w:rPr>
                <w:sz w:val="22"/>
                <w:szCs w:val="22"/>
              </w:rPr>
            </w:pPr>
            <w:r>
              <w:rPr>
                <w:sz w:val="22"/>
                <w:szCs w:val="22"/>
                <w:lang w:val="ga"/>
              </w:rPr>
              <w:t>5.0%</w:t>
            </w:r>
          </w:p>
        </w:tc>
      </w:tr>
      <w:tr w:rsidR="006F2FFB" w:rsidRPr="006F2FFB" w14:paraId="34AA1325" w14:textId="77777777" w:rsidTr="00D804C4">
        <w:trPr>
          <w:jc w:val="center"/>
        </w:trPr>
        <w:tc>
          <w:tcPr>
            <w:tcW w:w="2278" w:type="dxa"/>
          </w:tcPr>
          <w:p w14:paraId="77B3DA82" w14:textId="69B4934F" w:rsidR="006F2FFB" w:rsidRPr="00C433F3" w:rsidRDefault="006F2FFB" w:rsidP="006F2FFB">
            <w:pPr>
              <w:rPr>
                <w:sz w:val="22"/>
                <w:szCs w:val="22"/>
              </w:rPr>
            </w:pPr>
            <w:r>
              <w:rPr>
                <w:rFonts w:cs="Calibri"/>
                <w:sz w:val="22"/>
                <w:szCs w:val="22"/>
                <w:lang w:val="ga"/>
              </w:rPr>
              <w:t>Comhairle Contae Mhuineacháin</w:t>
            </w:r>
          </w:p>
        </w:tc>
        <w:tc>
          <w:tcPr>
            <w:tcW w:w="1559" w:type="dxa"/>
          </w:tcPr>
          <w:p w14:paraId="49D2A842" w14:textId="202C801B" w:rsidR="006F2FFB" w:rsidRPr="00C433F3" w:rsidRDefault="006F2FFB" w:rsidP="006F2FFB">
            <w:pPr>
              <w:jc w:val="right"/>
              <w:rPr>
                <w:sz w:val="22"/>
                <w:szCs w:val="22"/>
              </w:rPr>
            </w:pPr>
            <w:r>
              <w:rPr>
                <w:rFonts w:cs="Calibri"/>
                <w:sz w:val="22"/>
                <w:szCs w:val="22"/>
                <w:lang w:val="ga"/>
              </w:rPr>
              <w:t>462</w:t>
            </w:r>
          </w:p>
        </w:tc>
        <w:tc>
          <w:tcPr>
            <w:tcW w:w="1560" w:type="dxa"/>
          </w:tcPr>
          <w:p w14:paraId="318DCFB5" w14:textId="0B5C1529" w:rsidR="006F2FFB" w:rsidRPr="00C433F3" w:rsidRDefault="006F2FFB" w:rsidP="006F2FFB">
            <w:pPr>
              <w:jc w:val="right"/>
              <w:rPr>
                <w:sz w:val="22"/>
                <w:szCs w:val="22"/>
              </w:rPr>
            </w:pPr>
            <w:r>
              <w:rPr>
                <w:rFonts w:cs="Calibri"/>
                <w:sz w:val="22"/>
                <w:szCs w:val="22"/>
                <w:lang w:val="ga"/>
              </w:rPr>
              <w:t>35</w:t>
            </w:r>
          </w:p>
        </w:tc>
        <w:tc>
          <w:tcPr>
            <w:tcW w:w="1544" w:type="dxa"/>
          </w:tcPr>
          <w:p w14:paraId="28662387" w14:textId="4CE8592B" w:rsidR="006F2FFB" w:rsidRPr="00C433F3" w:rsidRDefault="006F2FFB" w:rsidP="006F2FFB">
            <w:pPr>
              <w:jc w:val="right"/>
              <w:rPr>
                <w:sz w:val="22"/>
                <w:szCs w:val="22"/>
              </w:rPr>
            </w:pPr>
            <w:r>
              <w:rPr>
                <w:rFonts w:cs="Calibri"/>
                <w:sz w:val="22"/>
                <w:szCs w:val="22"/>
                <w:lang w:val="ga"/>
              </w:rPr>
              <w:t>7.6%</w:t>
            </w:r>
          </w:p>
        </w:tc>
        <w:tc>
          <w:tcPr>
            <w:tcW w:w="1291" w:type="dxa"/>
          </w:tcPr>
          <w:p w14:paraId="716DC489" w14:textId="2FF5DB29" w:rsidR="006F2FFB" w:rsidRPr="00C433F3" w:rsidRDefault="00E043C9" w:rsidP="006F2FFB">
            <w:pPr>
              <w:jc w:val="right"/>
              <w:rPr>
                <w:sz w:val="22"/>
                <w:szCs w:val="22"/>
              </w:rPr>
            </w:pPr>
            <w:r>
              <w:rPr>
                <w:sz w:val="22"/>
                <w:szCs w:val="22"/>
                <w:lang w:val="ga"/>
              </w:rPr>
              <w:t>427</w:t>
            </w:r>
          </w:p>
        </w:tc>
        <w:tc>
          <w:tcPr>
            <w:tcW w:w="1559" w:type="dxa"/>
          </w:tcPr>
          <w:p w14:paraId="1B19BB73" w14:textId="51DD1E15" w:rsidR="006F2FFB" w:rsidRPr="00C433F3" w:rsidRDefault="00E043C9" w:rsidP="006F2FFB">
            <w:pPr>
              <w:jc w:val="right"/>
              <w:rPr>
                <w:sz w:val="22"/>
                <w:szCs w:val="22"/>
              </w:rPr>
            </w:pPr>
            <w:r>
              <w:rPr>
                <w:sz w:val="22"/>
                <w:szCs w:val="22"/>
                <w:lang w:val="ga"/>
              </w:rPr>
              <w:t>31</w:t>
            </w:r>
          </w:p>
        </w:tc>
        <w:tc>
          <w:tcPr>
            <w:tcW w:w="1544" w:type="dxa"/>
          </w:tcPr>
          <w:p w14:paraId="4538F209" w14:textId="6AC5DC32" w:rsidR="006F2FFB" w:rsidRPr="00C433F3" w:rsidRDefault="00E043C9" w:rsidP="006F2FFB">
            <w:pPr>
              <w:jc w:val="right"/>
              <w:rPr>
                <w:sz w:val="22"/>
                <w:szCs w:val="22"/>
              </w:rPr>
            </w:pPr>
            <w:r>
              <w:rPr>
                <w:sz w:val="22"/>
                <w:szCs w:val="22"/>
                <w:lang w:val="ga"/>
              </w:rPr>
              <w:t>7.3%</w:t>
            </w:r>
          </w:p>
        </w:tc>
      </w:tr>
      <w:tr w:rsidR="006F2FFB" w:rsidRPr="006F2FFB" w14:paraId="72920AA2" w14:textId="77777777" w:rsidTr="00D804C4">
        <w:trPr>
          <w:jc w:val="center"/>
        </w:trPr>
        <w:tc>
          <w:tcPr>
            <w:tcW w:w="2278" w:type="dxa"/>
          </w:tcPr>
          <w:p w14:paraId="0972C496" w14:textId="4F841B95" w:rsidR="006F2FFB" w:rsidRPr="00C433F3" w:rsidRDefault="006F2FFB" w:rsidP="006F2FFB">
            <w:pPr>
              <w:rPr>
                <w:sz w:val="22"/>
                <w:szCs w:val="22"/>
              </w:rPr>
            </w:pPr>
            <w:r>
              <w:rPr>
                <w:rFonts w:cs="Calibri"/>
                <w:sz w:val="22"/>
                <w:szCs w:val="22"/>
                <w:lang w:val="ga"/>
              </w:rPr>
              <w:t>Tionól Réigiúnach an Tuaiscirt agus an Iarthair</w:t>
            </w:r>
          </w:p>
        </w:tc>
        <w:tc>
          <w:tcPr>
            <w:tcW w:w="1559" w:type="dxa"/>
          </w:tcPr>
          <w:p w14:paraId="12EC5AC7" w14:textId="22D58FFD" w:rsidR="006F2FFB" w:rsidRPr="00C433F3" w:rsidRDefault="006F2FFB" w:rsidP="006F2FFB">
            <w:pPr>
              <w:jc w:val="right"/>
              <w:rPr>
                <w:sz w:val="22"/>
                <w:szCs w:val="22"/>
              </w:rPr>
            </w:pPr>
            <w:r>
              <w:rPr>
                <w:rFonts w:cs="Calibri"/>
                <w:sz w:val="22"/>
                <w:szCs w:val="22"/>
                <w:lang w:val="ga"/>
              </w:rPr>
              <w:t>19</w:t>
            </w:r>
          </w:p>
        </w:tc>
        <w:tc>
          <w:tcPr>
            <w:tcW w:w="1560" w:type="dxa"/>
          </w:tcPr>
          <w:p w14:paraId="1063452F" w14:textId="366BA7DC" w:rsidR="006F2FFB" w:rsidRPr="00C433F3" w:rsidRDefault="006F2FFB" w:rsidP="006F2FFB">
            <w:pPr>
              <w:jc w:val="right"/>
              <w:rPr>
                <w:sz w:val="22"/>
                <w:szCs w:val="22"/>
              </w:rPr>
            </w:pPr>
            <w:r>
              <w:rPr>
                <w:rFonts w:cs="Calibri"/>
                <w:sz w:val="22"/>
                <w:szCs w:val="22"/>
                <w:lang w:val="ga"/>
              </w:rPr>
              <w:t>0</w:t>
            </w:r>
          </w:p>
        </w:tc>
        <w:tc>
          <w:tcPr>
            <w:tcW w:w="1544" w:type="dxa"/>
          </w:tcPr>
          <w:p w14:paraId="4B61DB17" w14:textId="14F99E46" w:rsidR="006F2FFB" w:rsidRPr="00C433F3" w:rsidRDefault="006F2FFB" w:rsidP="006F2FFB">
            <w:pPr>
              <w:jc w:val="right"/>
              <w:rPr>
                <w:sz w:val="22"/>
                <w:szCs w:val="22"/>
              </w:rPr>
            </w:pPr>
            <w:r>
              <w:rPr>
                <w:rFonts w:cs="Calibri"/>
                <w:sz w:val="22"/>
                <w:szCs w:val="22"/>
                <w:lang w:val="ga"/>
              </w:rPr>
              <w:t>0.0%</w:t>
            </w:r>
          </w:p>
        </w:tc>
        <w:tc>
          <w:tcPr>
            <w:tcW w:w="1291" w:type="dxa"/>
          </w:tcPr>
          <w:p w14:paraId="041ED1FB" w14:textId="0623AB36" w:rsidR="006F2FFB" w:rsidRPr="00C433F3" w:rsidRDefault="00E043C9" w:rsidP="006F2FFB">
            <w:pPr>
              <w:jc w:val="right"/>
              <w:rPr>
                <w:sz w:val="22"/>
                <w:szCs w:val="22"/>
              </w:rPr>
            </w:pPr>
            <w:r>
              <w:rPr>
                <w:sz w:val="22"/>
                <w:szCs w:val="22"/>
                <w:lang w:val="ga"/>
              </w:rPr>
              <w:t>20</w:t>
            </w:r>
          </w:p>
        </w:tc>
        <w:tc>
          <w:tcPr>
            <w:tcW w:w="1559" w:type="dxa"/>
          </w:tcPr>
          <w:p w14:paraId="2D6A4EBF" w14:textId="216BE886" w:rsidR="006F2FFB" w:rsidRPr="00C433F3" w:rsidRDefault="00E043C9" w:rsidP="006F2FFB">
            <w:pPr>
              <w:jc w:val="right"/>
              <w:rPr>
                <w:sz w:val="22"/>
                <w:szCs w:val="22"/>
              </w:rPr>
            </w:pPr>
            <w:r>
              <w:rPr>
                <w:sz w:val="22"/>
                <w:szCs w:val="22"/>
                <w:lang w:val="ga"/>
              </w:rPr>
              <w:t>0</w:t>
            </w:r>
          </w:p>
        </w:tc>
        <w:tc>
          <w:tcPr>
            <w:tcW w:w="1544" w:type="dxa"/>
          </w:tcPr>
          <w:p w14:paraId="625BB094" w14:textId="53846203" w:rsidR="006F2FFB" w:rsidRPr="00C433F3" w:rsidRDefault="00E043C9" w:rsidP="006F2FFB">
            <w:pPr>
              <w:jc w:val="right"/>
              <w:rPr>
                <w:sz w:val="22"/>
                <w:szCs w:val="22"/>
              </w:rPr>
            </w:pPr>
            <w:r>
              <w:rPr>
                <w:sz w:val="22"/>
                <w:szCs w:val="22"/>
                <w:lang w:val="ga"/>
              </w:rPr>
              <w:t>0%</w:t>
            </w:r>
          </w:p>
        </w:tc>
      </w:tr>
      <w:tr w:rsidR="006F2FFB" w:rsidRPr="006F2FFB" w14:paraId="5F485423" w14:textId="77777777" w:rsidTr="00D804C4">
        <w:trPr>
          <w:jc w:val="center"/>
        </w:trPr>
        <w:tc>
          <w:tcPr>
            <w:tcW w:w="2278" w:type="dxa"/>
          </w:tcPr>
          <w:p w14:paraId="3218F958" w14:textId="1A2313D3" w:rsidR="006F2FFB" w:rsidRPr="006F2FFB" w:rsidRDefault="006F2FFB" w:rsidP="006F2FFB">
            <w:pPr>
              <w:rPr>
                <w:sz w:val="22"/>
                <w:szCs w:val="22"/>
              </w:rPr>
            </w:pPr>
            <w:r>
              <w:rPr>
                <w:rFonts w:cs="Calibri"/>
                <w:color w:val="000000"/>
                <w:sz w:val="22"/>
                <w:szCs w:val="22"/>
                <w:lang w:val="ga"/>
              </w:rPr>
              <w:t>Comhairle Contae Uíbh Fhailí</w:t>
            </w:r>
          </w:p>
        </w:tc>
        <w:tc>
          <w:tcPr>
            <w:tcW w:w="1559" w:type="dxa"/>
          </w:tcPr>
          <w:p w14:paraId="0322845B" w14:textId="09DD373F" w:rsidR="006F2FFB" w:rsidRPr="006F2FFB" w:rsidRDefault="006F2FFB" w:rsidP="006F2FFB">
            <w:pPr>
              <w:jc w:val="right"/>
              <w:rPr>
                <w:sz w:val="22"/>
                <w:szCs w:val="22"/>
              </w:rPr>
            </w:pPr>
            <w:r>
              <w:rPr>
                <w:rFonts w:cs="Calibri"/>
                <w:color w:val="000000"/>
                <w:sz w:val="22"/>
                <w:szCs w:val="22"/>
                <w:lang w:val="ga"/>
              </w:rPr>
              <w:t>430</w:t>
            </w:r>
          </w:p>
        </w:tc>
        <w:tc>
          <w:tcPr>
            <w:tcW w:w="1560" w:type="dxa"/>
          </w:tcPr>
          <w:p w14:paraId="5E3C534D" w14:textId="5597FB25" w:rsidR="006F2FFB" w:rsidRPr="006F2FFB" w:rsidRDefault="006F2FFB" w:rsidP="006F2FFB">
            <w:pPr>
              <w:jc w:val="right"/>
              <w:rPr>
                <w:sz w:val="22"/>
                <w:szCs w:val="22"/>
              </w:rPr>
            </w:pPr>
            <w:r>
              <w:rPr>
                <w:rFonts w:cs="Calibri"/>
                <w:color w:val="000000"/>
                <w:sz w:val="22"/>
                <w:szCs w:val="22"/>
                <w:lang w:val="ga"/>
              </w:rPr>
              <w:t>24</w:t>
            </w:r>
          </w:p>
        </w:tc>
        <w:tc>
          <w:tcPr>
            <w:tcW w:w="1544" w:type="dxa"/>
          </w:tcPr>
          <w:p w14:paraId="4B548C50" w14:textId="5ADD0F04" w:rsidR="006F2FFB" w:rsidRPr="006F2FFB" w:rsidRDefault="006F2FFB" w:rsidP="006F2FFB">
            <w:pPr>
              <w:jc w:val="right"/>
              <w:rPr>
                <w:sz w:val="22"/>
                <w:szCs w:val="22"/>
              </w:rPr>
            </w:pPr>
            <w:r>
              <w:rPr>
                <w:rFonts w:cs="Calibri"/>
                <w:color w:val="000000"/>
                <w:sz w:val="22"/>
                <w:szCs w:val="22"/>
                <w:lang w:val="ga"/>
              </w:rPr>
              <w:t>5.6%</w:t>
            </w:r>
          </w:p>
        </w:tc>
        <w:tc>
          <w:tcPr>
            <w:tcW w:w="1291" w:type="dxa"/>
          </w:tcPr>
          <w:p w14:paraId="0597B3A8" w14:textId="5219D030" w:rsidR="006F2FFB" w:rsidRPr="006F2FFB" w:rsidRDefault="00E043C9" w:rsidP="006F2FFB">
            <w:pPr>
              <w:jc w:val="right"/>
              <w:rPr>
                <w:sz w:val="22"/>
                <w:szCs w:val="22"/>
              </w:rPr>
            </w:pPr>
            <w:r>
              <w:rPr>
                <w:sz w:val="22"/>
                <w:szCs w:val="22"/>
                <w:lang w:val="ga"/>
              </w:rPr>
              <w:t>434</w:t>
            </w:r>
          </w:p>
        </w:tc>
        <w:tc>
          <w:tcPr>
            <w:tcW w:w="1559" w:type="dxa"/>
          </w:tcPr>
          <w:p w14:paraId="27D3D84C" w14:textId="20BE99FE" w:rsidR="006F2FFB" w:rsidRPr="006F2FFB" w:rsidRDefault="00E043C9" w:rsidP="006F2FFB">
            <w:pPr>
              <w:jc w:val="right"/>
              <w:rPr>
                <w:sz w:val="22"/>
                <w:szCs w:val="22"/>
              </w:rPr>
            </w:pPr>
            <w:r>
              <w:rPr>
                <w:sz w:val="22"/>
                <w:szCs w:val="22"/>
                <w:lang w:val="ga"/>
              </w:rPr>
              <w:t>27</w:t>
            </w:r>
          </w:p>
        </w:tc>
        <w:tc>
          <w:tcPr>
            <w:tcW w:w="1544" w:type="dxa"/>
          </w:tcPr>
          <w:p w14:paraId="051DB228" w14:textId="4E550528" w:rsidR="006F2FFB" w:rsidRPr="006F2FFB" w:rsidRDefault="00E043C9" w:rsidP="006F2FFB">
            <w:pPr>
              <w:jc w:val="right"/>
              <w:rPr>
                <w:sz w:val="22"/>
                <w:szCs w:val="22"/>
              </w:rPr>
            </w:pPr>
            <w:r>
              <w:rPr>
                <w:sz w:val="22"/>
                <w:szCs w:val="22"/>
                <w:lang w:val="ga"/>
              </w:rPr>
              <w:t>6.2%</w:t>
            </w:r>
          </w:p>
        </w:tc>
      </w:tr>
      <w:tr w:rsidR="006F2FFB" w:rsidRPr="006F2FFB" w14:paraId="7A718AF0" w14:textId="77777777" w:rsidTr="00D804C4">
        <w:trPr>
          <w:jc w:val="center"/>
        </w:trPr>
        <w:tc>
          <w:tcPr>
            <w:tcW w:w="2278" w:type="dxa"/>
          </w:tcPr>
          <w:p w14:paraId="7A6C87F4" w14:textId="4EBC4052" w:rsidR="006F2FFB" w:rsidRPr="006F2FFB" w:rsidRDefault="006F2FFB" w:rsidP="006F2FFB">
            <w:pPr>
              <w:rPr>
                <w:sz w:val="22"/>
                <w:szCs w:val="22"/>
              </w:rPr>
            </w:pPr>
            <w:r>
              <w:rPr>
                <w:rFonts w:cs="Calibri"/>
                <w:color w:val="000000"/>
                <w:sz w:val="22"/>
                <w:szCs w:val="22"/>
                <w:lang w:val="ga"/>
              </w:rPr>
              <w:t>Suirbhéireacht Ordanáis Éireann (OSI)</w:t>
            </w:r>
          </w:p>
        </w:tc>
        <w:tc>
          <w:tcPr>
            <w:tcW w:w="1559" w:type="dxa"/>
          </w:tcPr>
          <w:p w14:paraId="30A89E2B" w14:textId="2AD31B5E" w:rsidR="006F2FFB" w:rsidRPr="006F2FFB" w:rsidRDefault="006F2FFB" w:rsidP="006F2FFB">
            <w:pPr>
              <w:jc w:val="right"/>
              <w:rPr>
                <w:sz w:val="22"/>
                <w:szCs w:val="22"/>
              </w:rPr>
            </w:pPr>
            <w:r>
              <w:rPr>
                <w:rFonts w:cs="Calibri"/>
                <w:color w:val="000000"/>
                <w:sz w:val="22"/>
                <w:szCs w:val="22"/>
                <w:lang w:val="ga"/>
              </w:rPr>
              <w:t>218</w:t>
            </w:r>
          </w:p>
        </w:tc>
        <w:tc>
          <w:tcPr>
            <w:tcW w:w="1560" w:type="dxa"/>
          </w:tcPr>
          <w:p w14:paraId="4FC89B48" w14:textId="116FD53E" w:rsidR="006F2FFB" w:rsidRPr="006F2FFB" w:rsidRDefault="006F2FFB" w:rsidP="006F2FFB">
            <w:pPr>
              <w:jc w:val="right"/>
              <w:rPr>
                <w:sz w:val="22"/>
                <w:szCs w:val="22"/>
              </w:rPr>
            </w:pPr>
            <w:r>
              <w:rPr>
                <w:rFonts w:cs="Calibri"/>
                <w:color w:val="000000"/>
                <w:sz w:val="22"/>
                <w:szCs w:val="22"/>
                <w:lang w:val="ga"/>
              </w:rPr>
              <w:t>16</w:t>
            </w:r>
          </w:p>
        </w:tc>
        <w:tc>
          <w:tcPr>
            <w:tcW w:w="1544" w:type="dxa"/>
          </w:tcPr>
          <w:p w14:paraId="5DF9F3D1" w14:textId="63A4BF76" w:rsidR="006F2FFB" w:rsidRPr="006F2FFB" w:rsidRDefault="006F2FFB" w:rsidP="006F2FFB">
            <w:pPr>
              <w:jc w:val="right"/>
              <w:rPr>
                <w:sz w:val="22"/>
                <w:szCs w:val="22"/>
              </w:rPr>
            </w:pPr>
            <w:r>
              <w:rPr>
                <w:rFonts w:cs="Calibri"/>
                <w:color w:val="000000"/>
                <w:sz w:val="22"/>
                <w:szCs w:val="22"/>
                <w:lang w:val="ga"/>
              </w:rPr>
              <w:t>7.3%</w:t>
            </w:r>
          </w:p>
        </w:tc>
        <w:tc>
          <w:tcPr>
            <w:tcW w:w="1291" w:type="dxa"/>
          </w:tcPr>
          <w:p w14:paraId="590B90E3" w14:textId="619E7397" w:rsidR="006F2FFB" w:rsidRPr="006F2FFB" w:rsidRDefault="00E043C9" w:rsidP="006F2FFB">
            <w:pPr>
              <w:jc w:val="right"/>
              <w:rPr>
                <w:sz w:val="22"/>
                <w:szCs w:val="22"/>
              </w:rPr>
            </w:pPr>
            <w:r>
              <w:rPr>
                <w:sz w:val="22"/>
                <w:szCs w:val="22"/>
                <w:lang w:val="ga"/>
              </w:rPr>
              <w:t>216</w:t>
            </w:r>
          </w:p>
        </w:tc>
        <w:tc>
          <w:tcPr>
            <w:tcW w:w="1559" w:type="dxa"/>
          </w:tcPr>
          <w:p w14:paraId="2BC226E3" w14:textId="2AC360D3" w:rsidR="006F2FFB" w:rsidRPr="006F2FFB" w:rsidRDefault="00E043C9" w:rsidP="006F2FFB">
            <w:pPr>
              <w:jc w:val="right"/>
              <w:rPr>
                <w:sz w:val="22"/>
                <w:szCs w:val="22"/>
              </w:rPr>
            </w:pPr>
            <w:r>
              <w:rPr>
                <w:sz w:val="22"/>
                <w:szCs w:val="22"/>
                <w:lang w:val="ga"/>
              </w:rPr>
              <w:t>23</w:t>
            </w:r>
          </w:p>
        </w:tc>
        <w:tc>
          <w:tcPr>
            <w:tcW w:w="1544" w:type="dxa"/>
          </w:tcPr>
          <w:p w14:paraId="525AA4CF" w14:textId="5F6E3721" w:rsidR="006F2FFB" w:rsidRPr="006F2FFB" w:rsidRDefault="00E043C9" w:rsidP="006F2FFB">
            <w:pPr>
              <w:jc w:val="right"/>
              <w:rPr>
                <w:sz w:val="22"/>
                <w:szCs w:val="22"/>
              </w:rPr>
            </w:pPr>
            <w:r>
              <w:rPr>
                <w:sz w:val="22"/>
                <w:szCs w:val="22"/>
                <w:lang w:val="ga"/>
              </w:rPr>
              <w:t>10.6%</w:t>
            </w:r>
          </w:p>
        </w:tc>
      </w:tr>
      <w:tr w:rsidR="006F2FFB" w:rsidRPr="006F2FFB" w14:paraId="7C93B559" w14:textId="77777777" w:rsidTr="00D804C4">
        <w:trPr>
          <w:jc w:val="center"/>
        </w:trPr>
        <w:tc>
          <w:tcPr>
            <w:tcW w:w="2278" w:type="dxa"/>
          </w:tcPr>
          <w:p w14:paraId="25FEA318" w14:textId="26FC6C3F" w:rsidR="006F2FFB" w:rsidRPr="006F2FFB" w:rsidRDefault="006F2FFB" w:rsidP="006F2FFB">
            <w:pPr>
              <w:rPr>
                <w:sz w:val="22"/>
                <w:szCs w:val="22"/>
              </w:rPr>
            </w:pPr>
            <w:r>
              <w:rPr>
                <w:rFonts w:cs="Calibri"/>
                <w:color w:val="000000"/>
                <w:sz w:val="22"/>
                <w:szCs w:val="22"/>
                <w:lang w:val="ga"/>
              </w:rPr>
              <w:t>An Bord um Thionóntachtaí Cónaithe</w:t>
            </w:r>
          </w:p>
        </w:tc>
        <w:tc>
          <w:tcPr>
            <w:tcW w:w="1559" w:type="dxa"/>
          </w:tcPr>
          <w:p w14:paraId="34C3A909" w14:textId="5DEE77DA" w:rsidR="006F2FFB" w:rsidRPr="006F2FFB" w:rsidRDefault="006F2FFB" w:rsidP="006F2FFB">
            <w:pPr>
              <w:jc w:val="right"/>
              <w:rPr>
                <w:sz w:val="22"/>
                <w:szCs w:val="22"/>
              </w:rPr>
            </w:pPr>
            <w:r>
              <w:rPr>
                <w:rFonts w:cs="Calibri"/>
                <w:color w:val="000000"/>
                <w:sz w:val="22"/>
                <w:szCs w:val="22"/>
                <w:lang w:val="ga"/>
              </w:rPr>
              <w:t>96</w:t>
            </w:r>
          </w:p>
        </w:tc>
        <w:tc>
          <w:tcPr>
            <w:tcW w:w="1560" w:type="dxa"/>
          </w:tcPr>
          <w:p w14:paraId="51388587" w14:textId="56BEC4A9" w:rsidR="006F2FFB" w:rsidRPr="006F2FFB" w:rsidRDefault="006F2FFB" w:rsidP="006F2FFB">
            <w:pPr>
              <w:jc w:val="right"/>
              <w:rPr>
                <w:sz w:val="22"/>
                <w:szCs w:val="22"/>
              </w:rPr>
            </w:pPr>
            <w:r>
              <w:rPr>
                <w:rFonts w:cs="Calibri"/>
                <w:color w:val="000000"/>
                <w:sz w:val="22"/>
                <w:szCs w:val="22"/>
                <w:lang w:val="ga"/>
              </w:rPr>
              <w:t>12</w:t>
            </w:r>
          </w:p>
        </w:tc>
        <w:tc>
          <w:tcPr>
            <w:tcW w:w="1544" w:type="dxa"/>
          </w:tcPr>
          <w:p w14:paraId="00675BEC" w14:textId="5237BFCB" w:rsidR="006F2FFB" w:rsidRPr="006F2FFB" w:rsidRDefault="006F2FFB" w:rsidP="006F2FFB">
            <w:pPr>
              <w:jc w:val="right"/>
              <w:rPr>
                <w:sz w:val="22"/>
                <w:szCs w:val="22"/>
              </w:rPr>
            </w:pPr>
            <w:r>
              <w:rPr>
                <w:rFonts w:cs="Calibri"/>
                <w:color w:val="000000"/>
                <w:sz w:val="22"/>
                <w:szCs w:val="22"/>
                <w:lang w:val="ga"/>
              </w:rPr>
              <w:t>12.5%</w:t>
            </w:r>
          </w:p>
        </w:tc>
        <w:tc>
          <w:tcPr>
            <w:tcW w:w="1291" w:type="dxa"/>
          </w:tcPr>
          <w:p w14:paraId="183E11FA" w14:textId="16CD49ED" w:rsidR="006F2FFB" w:rsidRPr="006F2FFB" w:rsidRDefault="00E043C9" w:rsidP="006F2FFB">
            <w:pPr>
              <w:jc w:val="right"/>
              <w:rPr>
                <w:sz w:val="22"/>
                <w:szCs w:val="22"/>
              </w:rPr>
            </w:pPr>
            <w:r>
              <w:rPr>
                <w:sz w:val="22"/>
                <w:szCs w:val="22"/>
                <w:lang w:val="ga"/>
              </w:rPr>
              <w:t>89</w:t>
            </w:r>
          </w:p>
        </w:tc>
        <w:tc>
          <w:tcPr>
            <w:tcW w:w="1559" w:type="dxa"/>
          </w:tcPr>
          <w:p w14:paraId="204461DD" w14:textId="5C99D60C" w:rsidR="006F2FFB" w:rsidRPr="006F2FFB" w:rsidRDefault="00E043C9" w:rsidP="006F2FFB">
            <w:pPr>
              <w:jc w:val="right"/>
              <w:rPr>
                <w:sz w:val="22"/>
                <w:szCs w:val="22"/>
              </w:rPr>
            </w:pPr>
            <w:r>
              <w:rPr>
                <w:sz w:val="22"/>
                <w:szCs w:val="22"/>
                <w:lang w:val="ga"/>
              </w:rPr>
              <w:t>8</w:t>
            </w:r>
          </w:p>
        </w:tc>
        <w:tc>
          <w:tcPr>
            <w:tcW w:w="1544" w:type="dxa"/>
          </w:tcPr>
          <w:p w14:paraId="7A6B2C69" w14:textId="0634712C" w:rsidR="006F2FFB" w:rsidRPr="006F2FFB" w:rsidRDefault="00E043C9" w:rsidP="006F2FFB">
            <w:pPr>
              <w:jc w:val="right"/>
              <w:rPr>
                <w:sz w:val="22"/>
                <w:szCs w:val="22"/>
              </w:rPr>
            </w:pPr>
            <w:r>
              <w:rPr>
                <w:sz w:val="22"/>
                <w:szCs w:val="22"/>
                <w:lang w:val="ga"/>
              </w:rPr>
              <w:t>9.0%</w:t>
            </w:r>
          </w:p>
        </w:tc>
      </w:tr>
      <w:tr w:rsidR="006F2FFB" w:rsidRPr="006F2FFB" w14:paraId="18565C8C" w14:textId="77777777" w:rsidTr="00D804C4">
        <w:trPr>
          <w:jc w:val="center"/>
        </w:trPr>
        <w:tc>
          <w:tcPr>
            <w:tcW w:w="2278" w:type="dxa"/>
          </w:tcPr>
          <w:p w14:paraId="6E3A5A95" w14:textId="3CD17A4A" w:rsidR="006F2FFB" w:rsidRPr="006F2FFB" w:rsidRDefault="006F2FFB" w:rsidP="006F2FFB">
            <w:pPr>
              <w:rPr>
                <w:sz w:val="22"/>
                <w:szCs w:val="22"/>
              </w:rPr>
            </w:pPr>
            <w:r>
              <w:rPr>
                <w:rFonts w:cs="Calibri"/>
                <w:color w:val="000000"/>
                <w:sz w:val="22"/>
                <w:szCs w:val="22"/>
                <w:lang w:val="ga"/>
              </w:rPr>
              <w:t>Comhairle Contae Ros Comáin</w:t>
            </w:r>
          </w:p>
        </w:tc>
        <w:tc>
          <w:tcPr>
            <w:tcW w:w="1559" w:type="dxa"/>
          </w:tcPr>
          <w:p w14:paraId="4FB1F4B9" w14:textId="1F87B5A5" w:rsidR="006F2FFB" w:rsidRPr="006F2FFB" w:rsidRDefault="006F2FFB" w:rsidP="006F2FFB">
            <w:pPr>
              <w:jc w:val="right"/>
              <w:rPr>
                <w:sz w:val="22"/>
                <w:szCs w:val="22"/>
              </w:rPr>
            </w:pPr>
            <w:r>
              <w:rPr>
                <w:rFonts w:cs="Calibri"/>
                <w:color w:val="000000"/>
                <w:sz w:val="22"/>
                <w:szCs w:val="22"/>
                <w:lang w:val="ga"/>
              </w:rPr>
              <w:t>412</w:t>
            </w:r>
          </w:p>
        </w:tc>
        <w:tc>
          <w:tcPr>
            <w:tcW w:w="1560" w:type="dxa"/>
          </w:tcPr>
          <w:p w14:paraId="79063AF0" w14:textId="06BAA663" w:rsidR="006F2FFB" w:rsidRPr="006F2FFB" w:rsidRDefault="006F2FFB" w:rsidP="006F2FFB">
            <w:pPr>
              <w:jc w:val="right"/>
              <w:rPr>
                <w:sz w:val="22"/>
                <w:szCs w:val="22"/>
              </w:rPr>
            </w:pPr>
            <w:r>
              <w:rPr>
                <w:rFonts w:cs="Calibri"/>
                <w:color w:val="000000"/>
                <w:sz w:val="22"/>
                <w:szCs w:val="22"/>
                <w:lang w:val="ga"/>
              </w:rPr>
              <w:t>20</w:t>
            </w:r>
          </w:p>
        </w:tc>
        <w:tc>
          <w:tcPr>
            <w:tcW w:w="1544" w:type="dxa"/>
          </w:tcPr>
          <w:p w14:paraId="7F10124E" w14:textId="7960DDCA" w:rsidR="006F2FFB" w:rsidRPr="006F2FFB" w:rsidRDefault="006F2FFB" w:rsidP="006F2FFB">
            <w:pPr>
              <w:jc w:val="right"/>
              <w:rPr>
                <w:sz w:val="22"/>
                <w:szCs w:val="22"/>
              </w:rPr>
            </w:pPr>
            <w:r>
              <w:rPr>
                <w:rFonts w:cs="Calibri"/>
                <w:color w:val="000000"/>
                <w:sz w:val="22"/>
                <w:szCs w:val="22"/>
                <w:lang w:val="ga"/>
              </w:rPr>
              <w:t>4.9%</w:t>
            </w:r>
          </w:p>
        </w:tc>
        <w:tc>
          <w:tcPr>
            <w:tcW w:w="1291" w:type="dxa"/>
          </w:tcPr>
          <w:p w14:paraId="269B23C3" w14:textId="30788DA0" w:rsidR="006F2FFB" w:rsidRPr="006F2FFB" w:rsidRDefault="00E043C9" w:rsidP="006F2FFB">
            <w:pPr>
              <w:jc w:val="right"/>
              <w:rPr>
                <w:sz w:val="22"/>
                <w:szCs w:val="22"/>
              </w:rPr>
            </w:pPr>
            <w:r>
              <w:rPr>
                <w:sz w:val="22"/>
                <w:szCs w:val="22"/>
                <w:lang w:val="ga"/>
              </w:rPr>
              <w:t>434</w:t>
            </w:r>
          </w:p>
        </w:tc>
        <w:tc>
          <w:tcPr>
            <w:tcW w:w="1559" w:type="dxa"/>
          </w:tcPr>
          <w:p w14:paraId="28B7B932" w14:textId="2CECBC36" w:rsidR="006F2FFB" w:rsidRPr="006F2FFB" w:rsidRDefault="00E043C9" w:rsidP="006F2FFB">
            <w:pPr>
              <w:jc w:val="right"/>
              <w:rPr>
                <w:sz w:val="22"/>
                <w:szCs w:val="22"/>
              </w:rPr>
            </w:pPr>
            <w:r>
              <w:rPr>
                <w:sz w:val="22"/>
                <w:szCs w:val="22"/>
                <w:lang w:val="ga"/>
              </w:rPr>
              <w:t>19</w:t>
            </w:r>
          </w:p>
        </w:tc>
        <w:tc>
          <w:tcPr>
            <w:tcW w:w="1544" w:type="dxa"/>
          </w:tcPr>
          <w:p w14:paraId="2B488656" w14:textId="261CD7A5" w:rsidR="006F2FFB" w:rsidRPr="006F2FFB" w:rsidRDefault="00E043C9" w:rsidP="006F2FFB">
            <w:pPr>
              <w:jc w:val="right"/>
              <w:rPr>
                <w:sz w:val="22"/>
                <w:szCs w:val="22"/>
              </w:rPr>
            </w:pPr>
            <w:r>
              <w:rPr>
                <w:sz w:val="22"/>
                <w:szCs w:val="22"/>
                <w:lang w:val="ga"/>
              </w:rPr>
              <w:t>4.4%</w:t>
            </w:r>
          </w:p>
        </w:tc>
      </w:tr>
      <w:tr w:rsidR="006F2FFB" w:rsidRPr="006F2FFB" w14:paraId="67F087E9" w14:textId="77777777" w:rsidTr="00D804C4">
        <w:trPr>
          <w:jc w:val="center"/>
        </w:trPr>
        <w:tc>
          <w:tcPr>
            <w:tcW w:w="2278" w:type="dxa"/>
          </w:tcPr>
          <w:p w14:paraId="3175F434" w14:textId="4B4D34B6" w:rsidR="006F2FFB" w:rsidRPr="006F2FFB" w:rsidRDefault="006F2FFB" w:rsidP="006F2FFB">
            <w:pPr>
              <w:rPr>
                <w:sz w:val="22"/>
                <w:szCs w:val="22"/>
              </w:rPr>
            </w:pPr>
            <w:r>
              <w:rPr>
                <w:rFonts w:cs="Calibri"/>
                <w:color w:val="000000"/>
                <w:sz w:val="22"/>
                <w:szCs w:val="22"/>
                <w:lang w:val="ga"/>
              </w:rPr>
              <w:t>Comhairle Contae Shligigh</w:t>
            </w:r>
          </w:p>
        </w:tc>
        <w:tc>
          <w:tcPr>
            <w:tcW w:w="1559" w:type="dxa"/>
          </w:tcPr>
          <w:p w14:paraId="15264091" w14:textId="17A0B5A4" w:rsidR="006F2FFB" w:rsidRPr="006F2FFB" w:rsidRDefault="006F2FFB" w:rsidP="006F2FFB">
            <w:pPr>
              <w:jc w:val="right"/>
              <w:rPr>
                <w:sz w:val="22"/>
                <w:szCs w:val="22"/>
              </w:rPr>
            </w:pPr>
            <w:r>
              <w:rPr>
                <w:rFonts w:cs="Calibri"/>
                <w:color w:val="000000"/>
                <w:sz w:val="22"/>
                <w:szCs w:val="22"/>
                <w:lang w:val="ga"/>
              </w:rPr>
              <w:t>468</w:t>
            </w:r>
          </w:p>
        </w:tc>
        <w:tc>
          <w:tcPr>
            <w:tcW w:w="1560" w:type="dxa"/>
          </w:tcPr>
          <w:p w14:paraId="7787B933" w14:textId="3F93A002" w:rsidR="006F2FFB" w:rsidRPr="006F2FFB" w:rsidRDefault="006F2FFB" w:rsidP="006F2FFB">
            <w:pPr>
              <w:jc w:val="right"/>
              <w:rPr>
                <w:sz w:val="22"/>
                <w:szCs w:val="22"/>
              </w:rPr>
            </w:pPr>
            <w:r>
              <w:rPr>
                <w:rFonts w:cs="Calibri"/>
                <w:color w:val="000000"/>
                <w:sz w:val="22"/>
                <w:szCs w:val="22"/>
                <w:lang w:val="ga"/>
              </w:rPr>
              <w:t>22</w:t>
            </w:r>
          </w:p>
        </w:tc>
        <w:tc>
          <w:tcPr>
            <w:tcW w:w="1544" w:type="dxa"/>
          </w:tcPr>
          <w:p w14:paraId="2CD8DCC4" w14:textId="2734C147" w:rsidR="006F2FFB" w:rsidRPr="006F2FFB" w:rsidRDefault="006F2FFB" w:rsidP="006F2FFB">
            <w:pPr>
              <w:jc w:val="right"/>
              <w:rPr>
                <w:sz w:val="22"/>
                <w:szCs w:val="22"/>
              </w:rPr>
            </w:pPr>
            <w:r>
              <w:rPr>
                <w:rFonts w:cs="Calibri"/>
                <w:color w:val="000000"/>
                <w:sz w:val="22"/>
                <w:szCs w:val="22"/>
                <w:lang w:val="ga"/>
              </w:rPr>
              <w:t>4.7%</w:t>
            </w:r>
          </w:p>
        </w:tc>
        <w:tc>
          <w:tcPr>
            <w:tcW w:w="1291" w:type="dxa"/>
          </w:tcPr>
          <w:p w14:paraId="169A1768" w14:textId="3A6334AF" w:rsidR="006F2FFB" w:rsidRPr="006F2FFB" w:rsidRDefault="00E043C9" w:rsidP="006F2FFB">
            <w:pPr>
              <w:jc w:val="right"/>
              <w:rPr>
                <w:sz w:val="22"/>
                <w:szCs w:val="22"/>
              </w:rPr>
            </w:pPr>
            <w:r>
              <w:rPr>
                <w:sz w:val="22"/>
                <w:szCs w:val="22"/>
                <w:lang w:val="ga"/>
              </w:rPr>
              <w:t>495</w:t>
            </w:r>
          </w:p>
        </w:tc>
        <w:tc>
          <w:tcPr>
            <w:tcW w:w="1559" w:type="dxa"/>
          </w:tcPr>
          <w:p w14:paraId="3080C035" w14:textId="2548FC1D" w:rsidR="006F2FFB" w:rsidRPr="006F2FFB" w:rsidRDefault="00E043C9" w:rsidP="006F2FFB">
            <w:pPr>
              <w:jc w:val="right"/>
              <w:rPr>
                <w:sz w:val="22"/>
                <w:szCs w:val="22"/>
              </w:rPr>
            </w:pPr>
            <w:r>
              <w:rPr>
                <w:sz w:val="22"/>
                <w:szCs w:val="22"/>
                <w:lang w:val="ga"/>
              </w:rPr>
              <w:t>19</w:t>
            </w:r>
          </w:p>
        </w:tc>
        <w:tc>
          <w:tcPr>
            <w:tcW w:w="1544" w:type="dxa"/>
          </w:tcPr>
          <w:p w14:paraId="565A7969" w14:textId="1DF833E5" w:rsidR="006F2FFB" w:rsidRPr="006F2FFB" w:rsidRDefault="00E043C9" w:rsidP="006F2FFB">
            <w:pPr>
              <w:jc w:val="right"/>
              <w:rPr>
                <w:sz w:val="22"/>
                <w:szCs w:val="22"/>
              </w:rPr>
            </w:pPr>
            <w:r>
              <w:rPr>
                <w:sz w:val="22"/>
                <w:szCs w:val="22"/>
                <w:lang w:val="ga"/>
              </w:rPr>
              <w:t>3.8%</w:t>
            </w:r>
          </w:p>
        </w:tc>
      </w:tr>
      <w:tr w:rsidR="006F2FFB" w:rsidRPr="006F2FFB" w14:paraId="5D78A9D3" w14:textId="77777777" w:rsidTr="00D804C4">
        <w:trPr>
          <w:jc w:val="center"/>
        </w:trPr>
        <w:tc>
          <w:tcPr>
            <w:tcW w:w="2278" w:type="dxa"/>
          </w:tcPr>
          <w:p w14:paraId="4B07CB93" w14:textId="6BEBFD0F" w:rsidR="006F2FFB" w:rsidRPr="006F2FFB" w:rsidRDefault="006F2FFB" w:rsidP="006F2FFB">
            <w:pPr>
              <w:rPr>
                <w:sz w:val="22"/>
                <w:szCs w:val="22"/>
              </w:rPr>
            </w:pPr>
            <w:r>
              <w:rPr>
                <w:rFonts w:cs="Calibri"/>
                <w:color w:val="000000"/>
                <w:sz w:val="22"/>
                <w:szCs w:val="22"/>
                <w:lang w:val="ga"/>
              </w:rPr>
              <w:t>Comhairle Contae Átha Cliath Theas</w:t>
            </w:r>
          </w:p>
        </w:tc>
        <w:tc>
          <w:tcPr>
            <w:tcW w:w="1559" w:type="dxa"/>
          </w:tcPr>
          <w:p w14:paraId="05199947" w14:textId="253E9767" w:rsidR="006F2FFB" w:rsidRPr="006F2FFB" w:rsidRDefault="006F2FFB" w:rsidP="006F2FFB">
            <w:pPr>
              <w:jc w:val="right"/>
              <w:rPr>
                <w:sz w:val="22"/>
                <w:szCs w:val="22"/>
              </w:rPr>
            </w:pPr>
            <w:r>
              <w:rPr>
                <w:rFonts w:cs="Calibri"/>
                <w:color w:val="000000"/>
                <w:sz w:val="22"/>
                <w:szCs w:val="22"/>
                <w:lang w:val="ga"/>
              </w:rPr>
              <w:t>1,315</w:t>
            </w:r>
          </w:p>
        </w:tc>
        <w:tc>
          <w:tcPr>
            <w:tcW w:w="1560" w:type="dxa"/>
          </w:tcPr>
          <w:p w14:paraId="4219E839" w14:textId="3F971A68" w:rsidR="006F2FFB" w:rsidRPr="006F2FFB" w:rsidRDefault="006F2FFB" w:rsidP="006F2FFB">
            <w:pPr>
              <w:jc w:val="right"/>
              <w:rPr>
                <w:sz w:val="22"/>
                <w:szCs w:val="22"/>
              </w:rPr>
            </w:pPr>
            <w:r>
              <w:rPr>
                <w:rFonts w:cs="Calibri"/>
                <w:color w:val="000000"/>
                <w:sz w:val="22"/>
                <w:szCs w:val="22"/>
                <w:lang w:val="ga"/>
              </w:rPr>
              <w:t>46</w:t>
            </w:r>
          </w:p>
        </w:tc>
        <w:tc>
          <w:tcPr>
            <w:tcW w:w="1544" w:type="dxa"/>
          </w:tcPr>
          <w:p w14:paraId="76EEABB8" w14:textId="0BD74452" w:rsidR="006F2FFB" w:rsidRPr="006F2FFB" w:rsidRDefault="006F2FFB" w:rsidP="006F2FFB">
            <w:pPr>
              <w:jc w:val="right"/>
              <w:rPr>
                <w:sz w:val="22"/>
                <w:szCs w:val="22"/>
              </w:rPr>
            </w:pPr>
            <w:r>
              <w:rPr>
                <w:rFonts w:cs="Calibri"/>
                <w:color w:val="000000"/>
                <w:sz w:val="22"/>
                <w:szCs w:val="22"/>
                <w:lang w:val="ga"/>
              </w:rPr>
              <w:t>3.5%</w:t>
            </w:r>
          </w:p>
        </w:tc>
        <w:tc>
          <w:tcPr>
            <w:tcW w:w="1291" w:type="dxa"/>
          </w:tcPr>
          <w:p w14:paraId="3D3EA9F4" w14:textId="5E606696" w:rsidR="006F2FFB" w:rsidRPr="006F2FFB" w:rsidRDefault="00E043C9" w:rsidP="006F2FFB">
            <w:pPr>
              <w:jc w:val="right"/>
              <w:rPr>
                <w:sz w:val="22"/>
                <w:szCs w:val="22"/>
              </w:rPr>
            </w:pPr>
            <w:r>
              <w:rPr>
                <w:sz w:val="22"/>
                <w:szCs w:val="22"/>
                <w:lang w:val="ga"/>
              </w:rPr>
              <w:t>1279</w:t>
            </w:r>
          </w:p>
        </w:tc>
        <w:tc>
          <w:tcPr>
            <w:tcW w:w="1559" w:type="dxa"/>
          </w:tcPr>
          <w:p w14:paraId="280AD613" w14:textId="142BAB24" w:rsidR="006F2FFB" w:rsidRPr="006F2FFB" w:rsidRDefault="00E043C9" w:rsidP="006F2FFB">
            <w:pPr>
              <w:jc w:val="right"/>
              <w:rPr>
                <w:sz w:val="22"/>
                <w:szCs w:val="22"/>
              </w:rPr>
            </w:pPr>
            <w:r>
              <w:rPr>
                <w:sz w:val="22"/>
                <w:szCs w:val="22"/>
                <w:lang w:val="ga"/>
              </w:rPr>
              <w:t>49</w:t>
            </w:r>
          </w:p>
        </w:tc>
        <w:tc>
          <w:tcPr>
            <w:tcW w:w="1544" w:type="dxa"/>
          </w:tcPr>
          <w:p w14:paraId="42C367FA" w14:textId="36122F91" w:rsidR="006F2FFB" w:rsidRPr="006F2FFB" w:rsidRDefault="00E043C9" w:rsidP="006F2FFB">
            <w:pPr>
              <w:jc w:val="right"/>
              <w:rPr>
                <w:sz w:val="22"/>
                <w:szCs w:val="22"/>
              </w:rPr>
            </w:pPr>
            <w:r>
              <w:rPr>
                <w:sz w:val="22"/>
                <w:szCs w:val="22"/>
                <w:lang w:val="ga"/>
              </w:rPr>
              <w:t>3.8%</w:t>
            </w:r>
          </w:p>
        </w:tc>
      </w:tr>
      <w:tr w:rsidR="006F2FFB" w:rsidRPr="006F2FFB" w14:paraId="0651C725" w14:textId="77777777" w:rsidTr="00D804C4">
        <w:trPr>
          <w:jc w:val="center"/>
        </w:trPr>
        <w:tc>
          <w:tcPr>
            <w:tcW w:w="2278" w:type="dxa"/>
          </w:tcPr>
          <w:p w14:paraId="15334D50" w14:textId="57582B93" w:rsidR="006F2FFB" w:rsidRPr="006F2FFB" w:rsidRDefault="006F2FFB" w:rsidP="006F2FFB">
            <w:pPr>
              <w:rPr>
                <w:sz w:val="22"/>
                <w:szCs w:val="22"/>
              </w:rPr>
            </w:pPr>
            <w:r>
              <w:rPr>
                <w:rFonts w:cs="Calibri"/>
                <w:color w:val="000000"/>
                <w:sz w:val="22"/>
                <w:szCs w:val="22"/>
                <w:lang w:val="ga"/>
              </w:rPr>
              <w:t>Tionól Réigiúnach an Deiscirt</w:t>
            </w:r>
          </w:p>
        </w:tc>
        <w:tc>
          <w:tcPr>
            <w:tcW w:w="1559" w:type="dxa"/>
          </w:tcPr>
          <w:p w14:paraId="6C29A62A" w14:textId="1EB4C695" w:rsidR="006F2FFB" w:rsidRPr="006F2FFB" w:rsidRDefault="006F2FFB" w:rsidP="006F2FFB">
            <w:pPr>
              <w:jc w:val="right"/>
              <w:rPr>
                <w:sz w:val="22"/>
                <w:szCs w:val="22"/>
              </w:rPr>
            </w:pPr>
            <w:r>
              <w:rPr>
                <w:rFonts w:cs="Calibri"/>
                <w:color w:val="000000"/>
                <w:sz w:val="22"/>
                <w:szCs w:val="22"/>
                <w:lang w:val="ga"/>
              </w:rPr>
              <w:t>27</w:t>
            </w:r>
          </w:p>
        </w:tc>
        <w:tc>
          <w:tcPr>
            <w:tcW w:w="1560" w:type="dxa"/>
          </w:tcPr>
          <w:p w14:paraId="14D88AA1" w14:textId="79F31FB7" w:rsidR="006F2FFB" w:rsidRPr="006F2FFB" w:rsidRDefault="006F2FFB" w:rsidP="006F2FFB">
            <w:pPr>
              <w:jc w:val="right"/>
              <w:rPr>
                <w:sz w:val="22"/>
                <w:szCs w:val="22"/>
              </w:rPr>
            </w:pPr>
            <w:r>
              <w:rPr>
                <w:rFonts w:cs="Calibri"/>
                <w:color w:val="000000"/>
                <w:sz w:val="22"/>
                <w:szCs w:val="22"/>
                <w:lang w:val="ga"/>
              </w:rPr>
              <w:t>2</w:t>
            </w:r>
          </w:p>
        </w:tc>
        <w:tc>
          <w:tcPr>
            <w:tcW w:w="1544" w:type="dxa"/>
          </w:tcPr>
          <w:p w14:paraId="524AEF38" w14:textId="5423C6AB" w:rsidR="006F2FFB" w:rsidRPr="006F2FFB" w:rsidRDefault="006F2FFB" w:rsidP="006F2FFB">
            <w:pPr>
              <w:jc w:val="right"/>
              <w:rPr>
                <w:sz w:val="22"/>
                <w:szCs w:val="22"/>
              </w:rPr>
            </w:pPr>
            <w:r>
              <w:rPr>
                <w:rFonts w:cs="Calibri"/>
                <w:color w:val="000000"/>
                <w:sz w:val="22"/>
                <w:szCs w:val="22"/>
                <w:lang w:val="ga"/>
              </w:rPr>
              <w:t>7.4%</w:t>
            </w:r>
          </w:p>
        </w:tc>
        <w:tc>
          <w:tcPr>
            <w:tcW w:w="1291" w:type="dxa"/>
          </w:tcPr>
          <w:p w14:paraId="1FC8220B" w14:textId="0BD2F6EC" w:rsidR="006F2FFB" w:rsidRPr="006F2FFB" w:rsidRDefault="00E043C9" w:rsidP="006F2FFB">
            <w:pPr>
              <w:jc w:val="right"/>
              <w:rPr>
                <w:sz w:val="22"/>
                <w:szCs w:val="22"/>
              </w:rPr>
            </w:pPr>
            <w:r>
              <w:rPr>
                <w:sz w:val="22"/>
                <w:szCs w:val="22"/>
                <w:lang w:val="ga"/>
              </w:rPr>
              <w:t>29</w:t>
            </w:r>
          </w:p>
        </w:tc>
        <w:tc>
          <w:tcPr>
            <w:tcW w:w="1559" w:type="dxa"/>
          </w:tcPr>
          <w:p w14:paraId="5BCECCA5" w14:textId="37575FED" w:rsidR="006F2FFB" w:rsidRPr="006F2FFB" w:rsidRDefault="00E043C9" w:rsidP="006F2FFB">
            <w:pPr>
              <w:jc w:val="right"/>
              <w:rPr>
                <w:sz w:val="22"/>
                <w:szCs w:val="22"/>
              </w:rPr>
            </w:pPr>
            <w:r>
              <w:rPr>
                <w:sz w:val="22"/>
                <w:szCs w:val="22"/>
                <w:lang w:val="ga"/>
              </w:rPr>
              <w:t>2</w:t>
            </w:r>
          </w:p>
        </w:tc>
        <w:tc>
          <w:tcPr>
            <w:tcW w:w="1544" w:type="dxa"/>
          </w:tcPr>
          <w:p w14:paraId="278DCF2D" w14:textId="46093482" w:rsidR="006F2FFB" w:rsidRPr="006F2FFB" w:rsidRDefault="00E043C9" w:rsidP="006F2FFB">
            <w:pPr>
              <w:jc w:val="right"/>
              <w:rPr>
                <w:sz w:val="22"/>
                <w:szCs w:val="22"/>
              </w:rPr>
            </w:pPr>
            <w:r>
              <w:rPr>
                <w:sz w:val="22"/>
                <w:szCs w:val="22"/>
                <w:lang w:val="ga"/>
              </w:rPr>
              <w:t>6.9%</w:t>
            </w:r>
          </w:p>
        </w:tc>
      </w:tr>
      <w:tr w:rsidR="006F2FFB" w:rsidRPr="006F2FFB" w14:paraId="7DA98944" w14:textId="77777777" w:rsidTr="00D804C4">
        <w:trPr>
          <w:jc w:val="center"/>
        </w:trPr>
        <w:tc>
          <w:tcPr>
            <w:tcW w:w="2278" w:type="dxa"/>
          </w:tcPr>
          <w:p w14:paraId="12530C01" w14:textId="6C8C7B72" w:rsidR="006F2FFB" w:rsidRPr="006F2FFB" w:rsidRDefault="006F2FFB" w:rsidP="006F2FFB">
            <w:pPr>
              <w:rPr>
                <w:sz w:val="22"/>
                <w:szCs w:val="22"/>
              </w:rPr>
            </w:pPr>
            <w:r>
              <w:rPr>
                <w:rFonts w:cs="Calibri"/>
                <w:color w:val="000000"/>
                <w:sz w:val="22"/>
                <w:szCs w:val="22"/>
                <w:lang w:val="ga"/>
              </w:rPr>
              <w:t>Comhairle Contae Thiobraid Árann</w:t>
            </w:r>
          </w:p>
        </w:tc>
        <w:tc>
          <w:tcPr>
            <w:tcW w:w="1559" w:type="dxa"/>
          </w:tcPr>
          <w:p w14:paraId="1700323F" w14:textId="6559EC84" w:rsidR="006F2FFB" w:rsidRPr="006F2FFB" w:rsidRDefault="006F2FFB" w:rsidP="006F2FFB">
            <w:pPr>
              <w:jc w:val="right"/>
              <w:rPr>
                <w:sz w:val="22"/>
                <w:szCs w:val="22"/>
              </w:rPr>
            </w:pPr>
            <w:r>
              <w:rPr>
                <w:rFonts w:cs="Calibri"/>
                <w:color w:val="000000"/>
                <w:sz w:val="22"/>
                <w:szCs w:val="22"/>
                <w:lang w:val="ga"/>
              </w:rPr>
              <w:t>1,103</w:t>
            </w:r>
          </w:p>
        </w:tc>
        <w:tc>
          <w:tcPr>
            <w:tcW w:w="1560" w:type="dxa"/>
          </w:tcPr>
          <w:p w14:paraId="7D945C7C" w14:textId="59CA7A85" w:rsidR="006F2FFB" w:rsidRPr="006F2FFB" w:rsidRDefault="006F2FFB" w:rsidP="006F2FFB">
            <w:pPr>
              <w:jc w:val="right"/>
              <w:rPr>
                <w:sz w:val="22"/>
                <w:szCs w:val="22"/>
              </w:rPr>
            </w:pPr>
            <w:r>
              <w:rPr>
                <w:rFonts w:cs="Calibri"/>
                <w:color w:val="000000"/>
                <w:sz w:val="22"/>
                <w:szCs w:val="22"/>
                <w:lang w:val="ga"/>
              </w:rPr>
              <w:t>35</w:t>
            </w:r>
          </w:p>
        </w:tc>
        <w:tc>
          <w:tcPr>
            <w:tcW w:w="1544" w:type="dxa"/>
          </w:tcPr>
          <w:p w14:paraId="3FACEF14" w14:textId="56527B38" w:rsidR="006F2FFB" w:rsidRPr="006F2FFB" w:rsidRDefault="006F2FFB" w:rsidP="006F2FFB">
            <w:pPr>
              <w:jc w:val="right"/>
              <w:rPr>
                <w:sz w:val="22"/>
                <w:szCs w:val="22"/>
              </w:rPr>
            </w:pPr>
            <w:r>
              <w:rPr>
                <w:rFonts w:cs="Calibri"/>
                <w:color w:val="000000"/>
                <w:sz w:val="22"/>
                <w:szCs w:val="22"/>
                <w:lang w:val="ga"/>
              </w:rPr>
              <w:t>3.2%</w:t>
            </w:r>
          </w:p>
        </w:tc>
        <w:tc>
          <w:tcPr>
            <w:tcW w:w="1291" w:type="dxa"/>
          </w:tcPr>
          <w:p w14:paraId="685CB565" w14:textId="4B9C26A1" w:rsidR="006F2FFB" w:rsidRPr="006F2FFB" w:rsidRDefault="00E043C9" w:rsidP="006F2FFB">
            <w:pPr>
              <w:jc w:val="right"/>
              <w:rPr>
                <w:sz w:val="22"/>
                <w:szCs w:val="22"/>
              </w:rPr>
            </w:pPr>
            <w:r>
              <w:rPr>
                <w:sz w:val="22"/>
                <w:szCs w:val="22"/>
                <w:lang w:val="ga"/>
              </w:rPr>
              <w:t>1127</w:t>
            </w:r>
          </w:p>
        </w:tc>
        <w:tc>
          <w:tcPr>
            <w:tcW w:w="1559" w:type="dxa"/>
          </w:tcPr>
          <w:p w14:paraId="47A7C972" w14:textId="73353CBB" w:rsidR="006F2FFB" w:rsidRPr="006F2FFB" w:rsidRDefault="00E043C9" w:rsidP="006F2FFB">
            <w:pPr>
              <w:jc w:val="right"/>
              <w:rPr>
                <w:sz w:val="22"/>
                <w:szCs w:val="22"/>
              </w:rPr>
            </w:pPr>
            <w:r>
              <w:rPr>
                <w:sz w:val="22"/>
                <w:szCs w:val="22"/>
                <w:lang w:val="ga"/>
              </w:rPr>
              <w:t>34</w:t>
            </w:r>
          </w:p>
        </w:tc>
        <w:tc>
          <w:tcPr>
            <w:tcW w:w="1544" w:type="dxa"/>
          </w:tcPr>
          <w:p w14:paraId="0AE7E785" w14:textId="2FE5C0D9" w:rsidR="006F2FFB" w:rsidRPr="006F2FFB" w:rsidRDefault="00E043C9" w:rsidP="006F2FFB">
            <w:pPr>
              <w:jc w:val="right"/>
              <w:rPr>
                <w:sz w:val="22"/>
                <w:szCs w:val="22"/>
              </w:rPr>
            </w:pPr>
            <w:r>
              <w:rPr>
                <w:sz w:val="22"/>
                <w:szCs w:val="22"/>
                <w:lang w:val="ga"/>
              </w:rPr>
              <w:t>3.0%</w:t>
            </w:r>
          </w:p>
        </w:tc>
      </w:tr>
      <w:tr w:rsidR="00E33017" w:rsidRPr="006F2FFB" w14:paraId="44B9C062" w14:textId="77777777" w:rsidTr="00D804C4">
        <w:trPr>
          <w:jc w:val="center"/>
        </w:trPr>
        <w:tc>
          <w:tcPr>
            <w:tcW w:w="2278" w:type="dxa"/>
          </w:tcPr>
          <w:p w14:paraId="4D5C42CD" w14:textId="34C89AEE" w:rsidR="00E33017" w:rsidRPr="006F2FFB" w:rsidRDefault="00E33017" w:rsidP="00E33017">
            <w:pPr>
              <w:rPr>
                <w:rFonts w:cs="Calibri"/>
                <w:color w:val="000000"/>
                <w:sz w:val="22"/>
                <w:szCs w:val="22"/>
              </w:rPr>
            </w:pPr>
            <w:r>
              <w:rPr>
                <w:rFonts w:cs="Calibri"/>
                <w:color w:val="000000"/>
                <w:sz w:val="22"/>
                <w:szCs w:val="22"/>
                <w:lang w:val="ga"/>
              </w:rPr>
              <w:t xml:space="preserve">Uisce Éireann </w:t>
            </w:r>
            <w:r>
              <w:rPr>
                <w:rFonts w:cs="Calibri"/>
                <w:b/>
                <w:bCs/>
                <w:color w:val="000000"/>
                <w:sz w:val="22"/>
                <w:szCs w:val="22"/>
                <w:lang w:val="ga"/>
              </w:rPr>
              <w:t>(Sa bhliain 2022, d’athraigh Irish Water a ainm go ‘Uisce Éireann’)</w:t>
            </w:r>
          </w:p>
        </w:tc>
        <w:tc>
          <w:tcPr>
            <w:tcW w:w="1559" w:type="dxa"/>
          </w:tcPr>
          <w:p w14:paraId="677B8E68" w14:textId="5F263FCC" w:rsidR="00E33017" w:rsidRPr="00990CB9" w:rsidRDefault="00E33017" w:rsidP="00E33017">
            <w:pPr>
              <w:pStyle w:val="TableHead"/>
              <w:jc w:val="right"/>
              <w:rPr>
                <w:rFonts w:cs="Calibri"/>
                <w:b w:val="0"/>
                <w:bCs/>
                <w:color w:val="000000"/>
                <w:sz w:val="22"/>
                <w:szCs w:val="22"/>
              </w:rPr>
            </w:pPr>
            <w:r>
              <w:rPr>
                <w:rFonts w:cs="Calibri"/>
                <w:b w:val="0"/>
                <w:color w:val="000000"/>
                <w:sz w:val="22"/>
                <w:szCs w:val="22"/>
                <w:lang w:val="ga"/>
              </w:rPr>
              <w:t>1,176</w:t>
            </w:r>
          </w:p>
        </w:tc>
        <w:tc>
          <w:tcPr>
            <w:tcW w:w="1560" w:type="dxa"/>
          </w:tcPr>
          <w:p w14:paraId="0A13271E" w14:textId="596A58FD" w:rsidR="00E33017" w:rsidRPr="006F2FFB" w:rsidRDefault="00E33017" w:rsidP="00E33017">
            <w:pPr>
              <w:jc w:val="right"/>
              <w:rPr>
                <w:rFonts w:cs="Calibri"/>
                <w:color w:val="000000"/>
                <w:sz w:val="22"/>
                <w:szCs w:val="22"/>
              </w:rPr>
            </w:pPr>
            <w:r>
              <w:rPr>
                <w:rFonts w:cs="Calibri"/>
                <w:color w:val="000000"/>
                <w:sz w:val="22"/>
                <w:szCs w:val="22"/>
                <w:lang w:val="ga"/>
              </w:rPr>
              <w:t>37</w:t>
            </w:r>
          </w:p>
        </w:tc>
        <w:tc>
          <w:tcPr>
            <w:tcW w:w="1544" w:type="dxa"/>
          </w:tcPr>
          <w:p w14:paraId="1BD05CA1" w14:textId="5FE4C09E" w:rsidR="00E33017" w:rsidRPr="00E043C9" w:rsidRDefault="00E33017" w:rsidP="00E33017">
            <w:pPr>
              <w:pStyle w:val="TableHead"/>
              <w:jc w:val="right"/>
              <w:rPr>
                <w:rFonts w:cs="Calibri"/>
                <w:b w:val="0"/>
                <w:bCs/>
                <w:color w:val="000000"/>
                <w:sz w:val="22"/>
                <w:szCs w:val="22"/>
              </w:rPr>
            </w:pPr>
            <w:r>
              <w:rPr>
                <w:rFonts w:cs="Calibri"/>
                <w:b w:val="0"/>
                <w:color w:val="000000"/>
                <w:sz w:val="22"/>
                <w:szCs w:val="22"/>
                <w:lang w:val="ga"/>
              </w:rPr>
              <w:t>3.1%</w:t>
            </w:r>
          </w:p>
        </w:tc>
        <w:tc>
          <w:tcPr>
            <w:tcW w:w="1291" w:type="dxa"/>
          </w:tcPr>
          <w:p w14:paraId="237E3ED8" w14:textId="65BE5E04" w:rsidR="00E33017" w:rsidRDefault="00E33017" w:rsidP="00E33017">
            <w:pPr>
              <w:jc w:val="right"/>
              <w:rPr>
                <w:rFonts w:cs="Calibri"/>
                <w:color w:val="000000"/>
                <w:sz w:val="22"/>
                <w:szCs w:val="22"/>
              </w:rPr>
            </w:pPr>
            <w:r>
              <w:rPr>
                <w:rFonts w:cs="Calibri"/>
                <w:color w:val="000000"/>
                <w:sz w:val="22"/>
                <w:szCs w:val="22"/>
                <w:lang w:val="ga"/>
              </w:rPr>
              <w:t>1,246</w:t>
            </w:r>
          </w:p>
        </w:tc>
        <w:tc>
          <w:tcPr>
            <w:tcW w:w="1559" w:type="dxa"/>
          </w:tcPr>
          <w:p w14:paraId="3D3D9A58" w14:textId="53299984" w:rsidR="00E33017" w:rsidRDefault="00E33017" w:rsidP="00E33017">
            <w:pPr>
              <w:jc w:val="right"/>
              <w:rPr>
                <w:rFonts w:cs="Calibri"/>
                <w:color w:val="000000"/>
                <w:sz w:val="22"/>
                <w:szCs w:val="22"/>
              </w:rPr>
            </w:pPr>
            <w:r>
              <w:rPr>
                <w:rFonts w:cs="Calibri"/>
                <w:color w:val="000000"/>
                <w:sz w:val="22"/>
                <w:szCs w:val="22"/>
                <w:lang w:val="ga"/>
              </w:rPr>
              <w:t>110</w:t>
            </w:r>
          </w:p>
        </w:tc>
        <w:tc>
          <w:tcPr>
            <w:tcW w:w="1544" w:type="dxa"/>
          </w:tcPr>
          <w:p w14:paraId="7F56EC72" w14:textId="7DF34387" w:rsidR="00E33017" w:rsidRDefault="00E33017" w:rsidP="00E33017">
            <w:pPr>
              <w:jc w:val="right"/>
              <w:rPr>
                <w:rFonts w:cs="Calibri"/>
                <w:color w:val="000000"/>
                <w:sz w:val="22"/>
                <w:szCs w:val="22"/>
              </w:rPr>
            </w:pPr>
            <w:r>
              <w:rPr>
                <w:rFonts w:cs="Calibri"/>
                <w:color w:val="000000"/>
                <w:sz w:val="22"/>
                <w:szCs w:val="22"/>
                <w:lang w:val="ga"/>
              </w:rPr>
              <w:t>8.8%</w:t>
            </w:r>
          </w:p>
        </w:tc>
      </w:tr>
      <w:tr w:rsidR="00E33017" w:rsidRPr="006F2FFB" w14:paraId="5B648C7E" w14:textId="77777777" w:rsidTr="00D804C4">
        <w:trPr>
          <w:jc w:val="center"/>
        </w:trPr>
        <w:tc>
          <w:tcPr>
            <w:tcW w:w="2278" w:type="dxa"/>
          </w:tcPr>
          <w:p w14:paraId="2CB6C603" w14:textId="6468A478" w:rsidR="00E33017" w:rsidRPr="006F2FFB" w:rsidRDefault="00E33017" w:rsidP="00E33017">
            <w:pPr>
              <w:rPr>
                <w:sz w:val="22"/>
                <w:szCs w:val="22"/>
              </w:rPr>
            </w:pPr>
            <w:r>
              <w:rPr>
                <w:rFonts w:cs="Calibri"/>
                <w:color w:val="000000"/>
                <w:sz w:val="22"/>
                <w:szCs w:val="22"/>
                <w:lang w:val="ga"/>
              </w:rPr>
              <w:t>Comhairle Cathrach agus Contae Phort Láirge</w:t>
            </w:r>
          </w:p>
        </w:tc>
        <w:tc>
          <w:tcPr>
            <w:tcW w:w="1559" w:type="dxa"/>
          </w:tcPr>
          <w:p w14:paraId="7AD7311C" w14:textId="0AA4E956" w:rsidR="00E33017" w:rsidRPr="00E043C9" w:rsidRDefault="00E33017" w:rsidP="00E33017">
            <w:pPr>
              <w:pStyle w:val="TableHead"/>
              <w:jc w:val="right"/>
              <w:rPr>
                <w:b w:val="0"/>
                <w:bCs/>
                <w:sz w:val="22"/>
                <w:szCs w:val="22"/>
              </w:rPr>
            </w:pPr>
            <w:r>
              <w:rPr>
                <w:rFonts w:cs="Calibri"/>
                <w:b w:val="0"/>
                <w:color w:val="000000"/>
                <w:sz w:val="22"/>
                <w:szCs w:val="22"/>
                <w:lang w:val="ga"/>
              </w:rPr>
              <w:t>937</w:t>
            </w:r>
          </w:p>
        </w:tc>
        <w:tc>
          <w:tcPr>
            <w:tcW w:w="1560" w:type="dxa"/>
          </w:tcPr>
          <w:p w14:paraId="2C83FF13" w14:textId="305AA8FC" w:rsidR="00E33017" w:rsidRPr="006F2FFB" w:rsidRDefault="00E33017" w:rsidP="00E33017">
            <w:pPr>
              <w:jc w:val="right"/>
              <w:rPr>
                <w:sz w:val="22"/>
                <w:szCs w:val="22"/>
              </w:rPr>
            </w:pPr>
            <w:r>
              <w:rPr>
                <w:rFonts w:cs="Calibri"/>
                <w:color w:val="000000"/>
                <w:sz w:val="22"/>
                <w:szCs w:val="22"/>
                <w:lang w:val="ga"/>
              </w:rPr>
              <w:t>47</w:t>
            </w:r>
          </w:p>
        </w:tc>
        <w:tc>
          <w:tcPr>
            <w:tcW w:w="1544" w:type="dxa"/>
          </w:tcPr>
          <w:p w14:paraId="5EDD5823" w14:textId="3BFA2489" w:rsidR="00E33017" w:rsidRPr="006F2FFB" w:rsidRDefault="00E33017" w:rsidP="00E33017">
            <w:pPr>
              <w:pStyle w:val="TableHead"/>
              <w:jc w:val="right"/>
              <w:rPr>
                <w:b w:val="0"/>
                <w:sz w:val="22"/>
                <w:szCs w:val="22"/>
              </w:rPr>
            </w:pPr>
            <w:r>
              <w:rPr>
                <w:rFonts w:cs="Calibri"/>
                <w:bCs/>
                <w:color w:val="000000"/>
                <w:sz w:val="22"/>
                <w:szCs w:val="22"/>
                <w:lang w:val="ga"/>
              </w:rPr>
              <w:t>5.0%</w:t>
            </w:r>
          </w:p>
        </w:tc>
        <w:tc>
          <w:tcPr>
            <w:tcW w:w="1291" w:type="dxa"/>
          </w:tcPr>
          <w:p w14:paraId="6C8B278E" w14:textId="11C87CAD" w:rsidR="00E33017" w:rsidRPr="006F2FFB" w:rsidRDefault="00E33017" w:rsidP="00E33017">
            <w:pPr>
              <w:jc w:val="right"/>
              <w:rPr>
                <w:sz w:val="22"/>
                <w:szCs w:val="22"/>
              </w:rPr>
            </w:pPr>
            <w:r>
              <w:rPr>
                <w:rFonts w:cs="Calibri"/>
                <w:color w:val="000000"/>
                <w:sz w:val="22"/>
                <w:szCs w:val="22"/>
                <w:lang w:val="ga"/>
              </w:rPr>
              <w:t>972</w:t>
            </w:r>
          </w:p>
        </w:tc>
        <w:tc>
          <w:tcPr>
            <w:tcW w:w="1559" w:type="dxa"/>
          </w:tcPr>
          <w:p w14:paraId="3179618E" w14:textId="5482F4FA" w:rsidR="00E33017" w:rsidRPr="006F2FFB" w:rsidRDefault="00E33017" w:rsidP="00E33017">
            <w:pPr>
              <w:jc w:val="right"/>
              <w:rPr>
                <w:sz w:val="22"/>
                <w:szCs w:val="22"/>
              </w:rPr>
            </w:pPr>
            <w:r>
              <w:rPr>
                <w:rFonts w:cs="Calibri"/>
                <w:color w:val="000000"/>
                <w:sz w:val="22"/>
                <w:szCs w:val="22"/>
                <w:lang w:val="ga"/>
              </w:rPr>
              <w:t>52</w:t>
            </w:r>
          </w:p>
        </w:tc>
        <w:tc>
          <w:tcPr>
            <w:tcW w:w="1544" w:type="dxa"/>
          </w:tcPr>
          <w:p w14:paraId="18A05EE1" w14:textId="119E0905" w:rsidR="00E33017" w:rsidRPr="006F2FFB" w:rsidRDefault="00E33017" w:rsidP="00E33017">
            <w:pPr>
              <w:jc w:val="right"/>
              <w:rPr>
                <w:sz w:val="22"/>
                <w:szCs w:val="22"/>
              </w:rPr>
            </w:pPr>
            <w:r>
              <w:rPr>
                <w:rFonts w:cs="Calibri"/>
                <w:color w:val="000000"/>
                <w:sz w:val="22"/>
                <w:szCs w:val="22"/>
                <w:lang w:val="ga"/>
              </w:rPr>
              <w:t>5.3%</w:t>
            </w:r>
          </w:p>
        </w:tc>
      </w:tr>
      <w:tr w:rsidR="00E33017" w:rsidRPr="006F2FFB" w14:paraId="0B7D70A6" w14:textId="77777777" w:rsidTr="00D804C4">
        <w:trPr>
          <w:jc w:val="center"/>
        </w:trPr>
        <w:tc>
          <w:tcPr>
            <w:tcW w:w="2278" w:type="dxa"/>
          </w:tcPr>
          <w:p w14:paraId="0E97011A" w14:textId="1D7A8AB4" w:rsidR="00E33017" w:rsidRPr="006F2FFB" w:rsidRDefault="00E33017" w:rsidP="00E33017">
            <w:pPr>
              <w:rPr>
                <w:sz w:val="22"/>
                <w:szCs w:val="22"/>
              </w:rPr>
            </w:pPr>
            <w:r>
              <w:rPr>
                <w:rFonts w:cs="Calibri"/>
                <w:color w:val="000000"/>
                <w:sz w:val="22"/>
                <w:szCs w:val="22"/>
                <w:lang w:val="ga"/>
              </w:rPr>
              <w:t>Uiscebhealaí Éireann</w:t>
            </w:r>
          </w:p>
        </w:tc>
        <w:tc>
          <w:tcPr>
            <w:tcW w:w="1559" w:type="dxa"/>
          </w:tcPr>
          <w:p w14:paraId="5211E882" w14:textId="09E6FBE2" w:rsidR="00E33017" w:rsidRPr="006F2FFB" w:rsidRDefault="00E33017" w:rsidP="00E33017">
            <w:pPr>
              <w:jc w:val="right"/>
              <w:rPr>
                <w:sz w:val="22"/>
                <w:szCs w:val="22"/>
              </w:rPr>
            </w:pPr>
            <w:r>
              <w:rPr>
                <w:rFonts w:cs="Calibri"/>
                <w:color w:val="000000"/>
                <w:sz w:val="22"/>
                <w:szCs w:val="22"/>
                <w:lang w:val="ga"/>
              </w:rPr>
              <w:t>259</w:t>
            </w:r>
          </w:p>
        </w:tc>
        <w:tc>
          <w:tcPr>
            <w:tcW w:w="1560" w:type="dxa"/>
          </w:tcPr>
          <w:p w14:paraId="1411A78F" w14:textId="77B0BA43" w:rsidR="00E33017" w:rsidRPr="006F2FFB" w:rsidRDefault="00E33017" w:rsidP="00E33017">
            <w:pPr>
              <w:jc w:val="right"/>
              <w:rPr>
                <w:sz w:val="22"/>
                <w:szCs w:val="22"/>
              </w:rPr>
            </w:pPr>
            <w:r>
              <w:rPr>
                <w:rFonts w:cs="Calibri"/>
                <w:color w:val="000000"/>
                <w:sz w:val="22"/>
                <w:szCs w:val="22"/>
                <w:lang w:val="ga"/>
              </w:rPr>
              <w:t>9</w:t>
            </w:r>
          </w:p>
        </w:tc>
        <w:tc>
          <w:tcPr>
            <w:tcW w:w="1544" w:type="dxa"/>
          </w:tcPr>
          <w:p w14:paraId="0455D4BF" w14:textId="154FE66C" w:rsidR="00E33017" w:rsidRPr="006F2FFB" w:rsidRDefault="00E33017" w:rsidP="00E33017">
            <w:pPr>
              <w:jc w:val="right"/>
              <w:rPr>
                <w:sz w:val="22"/>
                <w:szCs w:val="22"/>
              </w:rPr>
            </w:pPr>
            <w:r>
              <w:rPr>
                <w:rFonts w:cs="Calibri"/>
                <w:color w:val="000000"/>
                <w:sz w:val="22"/>
                <w:szCs w:val="22"/>
                <w:lang w:val="ga"/>
              </w:rPr>
              <w:t>3.5%</w:t>
            </w:r>
          </w:p>
        </w:tc>
        <w:tc>
          <w:tcPr>
            <w:tcW w:w="1291" w:type="dxa"/>
          </w:tcPr>
          <w:p w14:paraId="6BCF54E9" w14:textId="5363BEE8" w:rsidR="00E33017" w:rsidRPr="006F2FFB" w:rsidRDefault="00E33017" w:rsidP="00E33017">
            <w:pPr>
              <w:jc w:val="right"/>
              <w:rPr>
                <w:sz w:val="22"/>
                <w:szCs w:val="22"/>
              </w:rPr>
            </w:pPr>
            <w:r>
              <w:rPr>
                <w:rFonts w:cs="Calibri"/>
                <w:color w:val="000000"/>
                <w:sz w:val="22"/>
                <w:szCs w:val="22"/>
                <w:lang w:val="ga"/>
              </w:rPr>
              <w:t>267</w:t>
            </w:r>
          </w:p>
        </w:tc>
        <w:tc>
          <w:tcPr>
            <w:tcW w:w="1559" w:type="dxa"/>
          </w:tcPr>
          <w:p w14:paraId="0BF97153" w14:textId="3EFD10D5" w:rsidR="00E33017" w:rsidRPr="006F2FFB" w:rsidRDefault="00E33017" w:rsidP="00E33017">
            <w:pPr>
              <w:jc w:val="right"/>
              <w:rPr>
                <w:sz w:val="22"/>
                <w:szCs w:val="22"/>
              </w:rPr>
            </w:pPr>
            <w:r>
              <w:rPr>
                <w:rFonts w:cs="Calibri"/>
                <w:color w:val="000000"/>
                <w:sz w:val="22"/>
                <w:szCs w:val="22"/>
                <w:lang w:val="ga"/>
              </w:rPr>
              <w:t>16</w:t>
            </w:r>
          </w:p>
        </w:tc>
        <w:tc>
          <w:tcPr>
            <w:tcW w:w="1544" w:type="dxa"/>
          </w:tcPr>
          <w:p w14:paraId="7B7D283C" w14:textId="76CCADCD" w:rsidR="00E33017" w:rsidRPr="006F2FFB" w:rsidRDefault="00E33017" w:rsidP="00E33017">
            <w:pPr>
              <w:jc w:val="right"/>
              <w:rPr>
                <w:sz w:val="22"/>
                <w:szCs w:val="22"/>
              </w:rPr>
            </w:pPr>
            <w:r>
              <w:rPr>
                <w:rFonts w:cs="Calibri"/>
                <w:color w:val="000000"/>
                <w:sz w:val="22"/>
                <w:szCs w:val="22"/>
                <w:lang w:val="ga"/>
              </w:rPr>
              <w:t>6.0%</w:t>
            </w:r>
          </w:p>
        </w:tc>
      </w:tr>
      <w:tr w:rsidR="00E33017" w:rsidRPr="006F2FFB" w14:paraId="2908B5AD" w14:textId="77777777" w:rsidTr="00D804C4">
        <w:trPr>
          <w:jc w:val="center"/>
        </w:trPr>
        <w:tc>
          <w:tcPr>
            <w:tcW w:w="2278" w:type="dxa"/>
          </w:tcPr>
          <w:p w14:paraId="61A5AD40" w14:textId="0127DF94" w:rsidR="00E33017" w:rsidRPr="006F2FFB" w:rsidRDefault="00E33017" w:rsidP="00E33017">
            <w:pPr>
              <w:rPr>
                <w:sz w:val="22"/>
                <w:szCs w:val="22"/>
              </w:rPr>
            </w:pPr>
            <w:r>
              <w:rPr>
                <w:rFonts w:cs="Calibri"/>
                <w:color w:val="000000"/>
                <w:sz w:val="22"/>
                <w:szCs w:val="22"/>
                <w:lang w:val="ga"/>
              </w:rPr>
              <w:t>Comhairle Contae na hIarmhí</w:t>
            </w:r>
          </w:p>
        </w:tc>
        <w:tc>
          <w:tcPr>
            <w:tcW w:w="1559" w:type="dxa"/>
          </w:tcPr>
          <w:p w14:paraId="2BF469B6" w14:textId="10516C94" w:rsidR="00E33017" w:rsidRPr="006F2FFB" w:rsidRDefault="00E33017" w:rsidP="00E33017">
            <w:pPr>
              <w:jc w:val="right"/>
              <w:rPr>
                <w:sz w:val="22"/>
                <w:szCs w:val="22"/>
              </w:rPr>
            </w:pPr>
            <w:r>
              <w:rPr>
                <w:rFonts w:cs="Calibri"/>
                <w:color w:val="000000"/>
                <w:sz w:val="22"/>
                <w:szCs w:val="22"/>
                <w:lang w:val="ga"/>
              </w:rPr>
              <w:t>501</w:t>
            </w:r>
          </w:p>
        </w:tc>
        <w:tc>
          <w:tcPr>
            <w:tcW w:w="1560" w:type="dxa"/>
          </w:tcPr>
          <w:p w14:paraId="5A882F73" w14:textId="249B07A8" w:rsidR="00E33017" w:rsidRPr="006F2FFB" w:rsidRDefault="00E33017" w:rsidP="00E33017">
            <w:pPr>
              <w:jc w:val="right"/>
              <w:rPr>
                <w:sz w:val="22"/>
                <w:szCs w:val="22"/>
              </w:rPr>
            </w:pPr>
            <w:r>
              <w:rPr>
                <w:rFonts w:cs="Calibri"/>
                <w:color w:val="000000"/>
                <w:sz w:val="22"/>
                <w:szCs w:val="22"/>
                <w:lang w:val="ga"/>
              </w:rPr>
              <w:t>17</w:t>
            </w:r>
          </w:p>
        </w:tc>
        <w:tc>
          <w:tcPr>
            <w:tcW w:w="1544" w:type="dxa"/>
          </w:tcPr>
          <w:p w14:paraId="359141CB" w14:textId="023149F6" w:rsidR="00E33017" w:rsidRPr="006F2FFB" w:rsidRDefault="00E33017" w:rsidP="00E33017">
            <w:pPr>
              <w:jc w:val="right"/>
              <w:rPr>
                <w:sz w:val="22"/>
                <w:szCs w:val="22"/>
              </w:rPr>
            </w:pPr>
            <w:r>
              <w:rPr>
                <w:rFonts w:cs="Calibri"/>
                <w:color w:val="000000"/>
                <w:sz w:val="22"/>
                <w:szCs w:val="22"/>
                <w:lang w:val="ga"/>
              </w:rPr>
              <w:t>3.4%</w:t>
            </w:r>
          </w:p>
        </w:tc>
        <w:tc>
          <w:tcPr>
            <w:tcW w:w="1291" w:type="dxa"/>
          </w:tcPr>
          <w:p w14:paraId="2095DB9E" w14:textId="349F9DC1" w:rsidR="00E33017" w:rsidRPr="006F2FFB" w:rsidRDefault="00E33017" w:rsidP="00E33017">
            <w:pPr>
              <w:jc w:val="right"/>
              <w:rPr>
                <w:sz w:val="22"/>
                <w:szCs w:val="22"/>
              </w:rPr>
            </w:pPr>
            <w:r>
              <w:rPr>
                <w:rFonts w:cs="Calibri"/>
                <w:color w:val="000000"/>
                <w:sz w:val="22"/>
                <w:szCs w:val="22"/>
                <w:lang w:val="ga"/>
              </w:rPr>
              <w:t>525</w:t>
            </w:r>
          </w:p>
        </w:tc>
        <w:tc>
          <w:tcPr>
            <w:tcW w:w="1559" w:type="dxa"/>
          </w:tcPr>
          <w:p w14:paraId="30171231" w14:textId="0D7B9871" w:rsidR="00E33017" w:rsidRPr="006F2FFB" w:rsidRDefault="00E33017" w:rsidP="00E33017">
            <w:pPr>
              <w:jc w:val="right"/>
              <w:rPr>
                <w:sz w:val="22"/>
                <w:szCs w:val="22"/>
              </w:rPr>
            </w:pPr>
            <w:r>
              <w:rPr>
                <w:rFonts w:cs="Calibri"/>
                <w:color w:val="000000"/>
                <w:sz w:val="22"/>
                <w:szCs w:val="22"/>
                <w:lang w:val="ga"/>
              </w:rPr>
              <w:t>35</w:t>
            </w:r>
          </w:p>
        </w:tc>
        <w:tc>
          <w:tcPr>
            <w:tcW w:w="1544" w:type="dxa"/>
          </w:tcPr>
          <w:p w14:paraId="0021BAD2" w14:textId="25347907" w:rsidR="00E33017" w:rsidRPr="006F2FFB" w:rsidRDefault="00E33017" w:rsidP="00E33017">
            <w:pPr>
              <w:jc w:val="right"/>
              <w:rPr>
                <w:sz w:val="22"/>
                <w:szCs w:val="22"/>
              </w:rPr>
            </w:pPr>
            <w:r>
              <w:rPr>
                <w:rFonts w:cs="Calibri"/>
                <w:color w:val="000000"/>
                <w:sz w:val="22"/>
                <w:szCs w:val="22"/>
                <w:lang w:val="ga"/>
              </w:rPr>
              <w:t>6.7%</w:t>
            </w:r>
          </w:p>
        </w:tc>
      </w:tr>
      <w:tr w:rsidR="00E33017" w:rsidRPr="006F2FFB" w14:paraId="566FB415" w14:textId="77777777" w:rsidTr="00D804C4">
        <w:trPr>
          <w:jc w:val="center"/>
        </w:trPr>
        <w:tc>
          <w:tcPr>
            <w:tcW w:w="2278" w:type="dxa"/>
          </w:tcPr>
          <w:p w14:paraId="151C09FA" w14:textId="71B8EF7A" w:rsidR="00E33017" w:rsidRPr="006F2FFB" w:rsidRDefault="00E33017" w:rsidP="00E33017">
            <w:pPr>
              <w:rPr>
                <w:sz w:val="22"/>
                <w:szCs w:val="22"/>
              </w:rPr>
            </w:pPr>
            <w:r>
              <w:rPr>
                <w:rFonts w:cs="Calibri"/>
                <w:color w:val="000000"/>
                <w:sz w:val="22"/>
                <w:szCs w:val="22"/>
                <w:lang w:val="ga"/>
              </w:rPr>
              <w:t>Comhairle Contae Loch Garman</w:t>
            </w:r>
          </w:p>
        </w:tc>
        <w:tc>
          <w:tcPr>
            <w:tcW w:w="1559" w:type="dxa"/>
          </w:tcPr>
          <w:p w14:paraId="6FB781A7" w14:textId="6C50982E" w:rsidR="00E33017" w:rsidRPr="006F2FFB" w:rsidRDefault="00E33017" w:rsidP="00E33017">
            <w:pPr>
              <w:jc w:val="right"/>
              <w:rPr>
                <w:sz w:val="22"/>
                <w:szCs w:val="22"/>
              </w:rPr>
            </w:pPr>
            <w:r>
              <w:rPr>
                <w:rFonts w:cs="Calibri"/>
                <w:color w:val="000000"/>
                <w:sz w:val="22"/>
                <w:szCs w:val="22"/>
                <w:lang w:val="ga"/>
              </w:rPr>
              <w:t>847</w:t>
            </w:r>
          </w:p>
        </w:tc>
        <w:tc>
          <w:tcPr>
            <w:tcW w:w="1560" w:type="dxa"/>
          </w:tcPr>
          <w:p w14:paraId="6DF5C898" w14:textId="57EC5853" w:rsidR="00E33017" w:rsidRPr="006F2FFB" w:rsidRDefault="00E33017" w:rsidP="00E33017">
            <w:pPr>
              <w:jc w:val="right"/>
              <w:rPr>
                <w:sz w:val="22"/>
                <w:szCs w:val="22"/>
              </w:rPr>
            </w:pPr>
            <w:r>
              <w:rPr>
                <w:rFonts w:cs="Calibri"/>
                <w:color w:val="000000"/>
                <w:sz w:val="22"/>
                <w:szCs w:val="22"/>
                <w:lang w:val="ga"/>
              </w:rPr>
              <w:t>97</w:t>
            </w:r>
          </w:p>
        </w:tc>
        <w:tc>
          <w:tcPr>
            <w:tcW w:w="1544" w:type="dxa"/>
          </w:tcPr>
          <w:p w14:paraId="091D62D6" w14:textId="6273B6ED" w:rsidR="00E33017" w:rsidRPr="006F2FFB" w:rsidRDefault="00E33017" w:rsidP="00E33017">
            <w:pPr>
              <w:jc w:val="right"/>
              <w:rPr>
                <w:sz w:val="22"/>
                <w:szCs w:val="22"/>
              </w:rPr>
            </w:pPr>
            <w:r>
              <w:rPr>
                <w:rFonts w:cs="Calibri"/>
                <w:color w:val="000000"/>
                <w:sz w:val="22"/>
                <w:szCs w:val="22"/>
                <w:lang w:val="ga"/>
              </w:rPr>
              <w:t>11.5%</w:t>
            </w:r>
          </w:p>
        </w:tc>
        <w:tc>
          <w:tcPr>
            <w:tcW w:w="1291" w:type="dxa"/>
          </w:tcPr>
          <w:p w14:paraId="476569B5" w14:textId="6A73B5ED" w:rsidR="00E33017" w:rsidRPr="006F2FFB" w:rsidRDefault="00E33017" w:rsidP="00E33017">
            <w:pPr>
              <w:jc w:val="right"/>
              <w:rPr>
                <w:sz w:val="22"/>
                <w:szCs w:val="22"/>
              </w:rPr>
            </w:pPr>
            <w:r>
              <w:rPr>
                <w:rFonts w:cs="Calibri"/>
                <w:color w:val="000000"/>
                <w:sz w:val="22"/>
                <w:szCs w:val="22"/>
                <w:lang w:val="ga"/>
              </w:rPr>
              <w:t>897</w:t>
            </w:r>
          </w:p>
        </w:tc>
        <w:tc>
          <w:tcPr>
            <w:tcW w:w="1559" w:type="dxa"/>
          </w:tcPr>
          <w:p w14:paraId="189526EA" w14:textId="5993F174" w:rsidR="00E33017" w:rsidRPr="006F2FFB" w:rsidRDefault="00E33017" w:rsidP="00E33017">
            <w:pPr>
              <w:jc w:val="right"/>
              <w:rPr>
                <w:sz w:val="22"/>
                <w:szCs w:val="22"/>
              </w:rPr>
            </w:pPr>
            <w:r>
              <w:rPr>
                <w:rFonts w:cs="Calibri"/>
                <w:color w:val="000000"/>
                <w:sz w:val="22"/>
                <w:szCs w:val="22"/>
                <w:lang w:val="ga"/>
              </w:rPr>
              <w:t>96</w:t>
            </w:r>
          </w:p>
        </w:tc>
        <w:tc>
          <w:tcPr>
            <w:tcW w:w="1544" w:type="dxa"/>
          </w:tcPr>
          <w:p w14:paraId="2D029089" w14:textId="6913B637" w:rsidR="00E33017" w:rsidRPr="006F2FFB" w:rsidRDefault="00E33017" w:rsidP="00E33017">
            <w:pPr>
              <w:jc w:val="right"/>
              <w:rPr>
                <w:sz w:val="22"/>
                <w:szCs w:val="22"/>
              </w:rPr>
            </w:pPr>
            <w:r>
              <w:rPr>
                <w:rFonts w:cs="Calibri"/>
                <w:color w:val="000000"/>
                <w:sz w:val="22"/>
                <w:szCs w:val="22"/>
                <w:lang w:val="ga"/>
              </w:rPr>
              <w:t>10.7%</w:t>
            </w:r>
          </w:p>
        </w:tc>
      </w:tr>
      <w:tr w:rsidR="00E33017" w:rsidRPr="006F2FFB" w14:paraId="7A3EE766" w14:textId="77777777" w:rsidTr="00D804C4">
        <w:trPr>
          <w:jc w:val="center"/>
        </w:trPr>
        <w:tc>
          <w:tcPr>
            <w:tcW w:w="2278" w:type="dxa"/>
          </w:tcPr>
          <w:p w14:paraId="7EE431CB" w14:textId="77777777" w:rsidR="00E33017" w:rsidRPr="006F2FFB" w:rsidRDefault="00E33017" w:rsidP="00E33017">
            <w:pPr>
              <w:spacing w:after="0"/>
              <w:rPr>
                <w:rFonts w:cs="Calibri"/>
                <w:color w:val="000000"/>
                <w:sz w:val="22"/>
                <w:szCs w:val="22"/>
              </w:rPr>
            </w:pPr>
            <w:r>
              <w:rPr>
                <w:rFonts w:cs="Calibri"/>
                <w:color w:val="000000"/>
                <w:sz w:val="22"/>
                <w:szCs w:val="22"/>
                <w:lang w:val="ga"/>
              </w:rPr>
              <w:t>Comhairle Contae Chill Mhantáin</w:t>
            </w:r>
          </w:p>
          <w:p w14:paraId="76C6C59B" w14:textId="2E953C18" w:rsidR="00E33017" w:rsidRPr="006F2FFB" w:rsidRDefault="00E33017" w:rsidP="00E33017">
            <w:pPr>
              <w:pStyle w:val="TableHead"/>
              <w:rPr>
                <w:sz w:val="22"/>
                <w:szCs w:val="22"/>
              </w:rPr>
            </w:pPr>
          </w:p>
        </w:tc>
        <w:tc>
          <w:tcPr>
            <w:tcW w:w="1559" w:type="dxa"/>
          </w:tcPr>
          <w:p w14:paraId="4297B110" w14:textId="2FAB6222" w:rsidR="00E33017" w:rsidRPr="006F2FFB" w:rsidRDefault="00E33017" w:rsidP="00E33017">
            <w:pPr>
              <w:pStyle w:val="TableHead"/>
              <w:jc w:val="right"/>
              <w:rPr>
                <w:b w:val="0"/>
                <w:sz w:val="22"/>
                <w:szCs w:val="22"/>
              </w:rPr>
            </w:pPr>
            <w:r>
              <w:rPr>
                <w:rFonts w:cs="Calibri"/>
                <w:b w:val="0"/>
                <w:color w:val="000000"/>
                <w:sz w:val="22"/>
                <w:szCs w:val="22"/>
                <w:lang w:val="ga"/>
              </w:rPr>
              <w:t>746</w:t>
            </w:r>
          </w:p>
        </w:tc>
        <w:tc>
          <w:tcPr>
            <w:tcW w:w="1560" w:type="dxa"/>
          </w:tcPr>
          <w:p w14:paraId="50708010" w14:textId="2D18C95B" w:rsidR="00E33017" w:rsidRPr="006F2FFB" w:rsidRDefault="00E33017" w:rsidP="00E33017">
            <w:pPr>
              <w:pStyle w:val="TableHead"/>
              <w:jc w:val="right"/>
              <w:rPr>
                <w:b w:val="0"/>
                <w:sz w:val="22"/>
                <w:szCs w:val="22"/>
              </w:rPr>
            </w:pPr>
            <w:r>
              <w:rPr>
                <w:rFonts w:cs="Calibri"/>
                <w:b w:val="0"/>
                <w:color w:val="000000"/>
                <w:sz w:val="22"/>
                <w:szCs w:val="22"/>
                <w:lang w:val="ga"/>
              </w:rPr>
              <w:t>49</w:t>
            </w:r>
          </w:p>
        </w:tc>
        <w:tc>
          <w:tcPr>
            <w:tcW w:w="1544" w:type="dxa"/>
          </w:tcPr>
          <w:p w14:paraId="06EDCA12" w14:textId="0987DA7A" w:rsidR="00E33017" w:rsidRPr="006F2FFB" w:rsidRDefault="00E33017" w:rsidP="00E33017">
            <w:pPr>
              <w:pStyle w:val="TableHead"/>
              <w:jc w:val="right"/>
              <w:rPr>
                <w:b w:val="0"/>
                <w:sz w:val="22"/>
                <w:szCs w:val="22"/>
              </w:rPr>
            </w:pPr>
            <w:r>
              <w:rPr>
                <w:rFonts w:cs="Calibri"/>
                <w:b w:val="0"/>
                <w:color w:val="000000"/>
                <w:sz w:val="22"/>
                <w:szCs w:val="22"/>
                <w:lang w:val="ga"/>
              </w:rPr>
              <w:t>6.6%</w:t>
            </w:r>
          </w:p>
        </w:tc>
        <w:tc>
          <w:tcPr>
            <w:tcW w:w="1291" w:type="dxa"/>
          </w:tcPr>
          <w:p w14:paraId="6B6DC95C" w14:textId="74172381" w:rsidR="00E33017" w:rsidRPr="006F2FFB" w:rsidRDefault="00E33017" w:rsidP="00E33017">
            <w:pPr>
              <w:pStyle w:val="TableHead"/>
              <w:jc w:val="right"/>
              <w:rPr>
                <w:b w:val="0"/>
                <w:bCs/>
                <w:sz w:val="22"/>
                <w:szCs w:val="22"/>
              </w:rPr>
            </w:pPr>
            <w:r>
              <w:rPr>
                <w:rFonts w:cs="Calibri"/>
                <w:b w:val="0"/>
                <w:color w:val="000000"/>
                <w:sz w:val="22"/>
                <w:szCs w:val="22"/>
                <w:lang w:val="ga"/>
              </w:rPr>
              <w:t>674</w:t>
            </w:r>
          </w:p>
        </w:tc>
        <w:tc>
          <w:tcPr>
            <w:tcW w:w="1559" w:type="dxa"/>
          </w:tcPr>
          <w:p w14:paraId="6DD2D0CB" w14:textId="1BA2D725" w:rsidR="00E33017" w:rsidRPr="006F2FFB" w:rsidRDefault="00E33017" w:rsidP="00E33017">
            <w:pPr>
              <w:pStyle w:val="TableHead"/>
              <w:jc w:val="right"/>
              <w:rPr>
                <w:b w:val="0"/>
                <w:bCs/>
                <w:sz w:val="22"/>
                <w:szCs w:val="22"/>
              </w:rPr>
            </w:pPr>
            <w:r>
              <w:rPr>
                <w:rFonts w:cs="Calibri"/>
                <w:b w:val="0"/>
                <w:color w:val="000000"/>
                <w:sz w:val="22"/>
                <w:szCs w:val="22"/>
                <w:lang w:val="ga"/>
              </w:rPr>
              <w:t>57</w:t>
            </w:r>
          </w:p>
        </w:tc>
        <w:tc>
          <w:tcPr>
            <w:tcW w:w="1544" w:type="dxa"/>
          </w:tcPr>
          <w:p w14:paraId="4BA0FE0C" w14:textId="3442506C" w:rsidR="00E33017" w:rsidRPr="006F2FFB" w:rsidRDefault="00E33017" w:rsidP="00E33017">
            <w:pPr>
              <w:pStyle w:val="TableHead"/>
              <w:jc w:val="right"/>
              <w:rPr>
                <w:b w:val="0"/>
                <w:bCs/>
                <w:sz w:val="22"/>
                <w:szCs w:val="22"/>
              </w:rPr>
            </w:pPr>
            <w:r>
              <w:rPr>
                <w:rFonts w:cs="Calibri"/>
                <w:b w:val="0"/>
                <w:color w:val="000000"/>
                <w:sz w:val="22"/>
                <w:szCs w:val="22"/>
                <w:lang w:val="ga"/>
              </w:rPr>
              <w:t>8.5%</w:t>
            </w:r>
          </w:p>
        </w:tc>
      </w:tr>
      <w:tr w:rsidR="00E33017" w:rsidRPr="006F2FFB" w14:paraId="21C325E7" w14:textId="77777777" w:rsidTr="00D804C4">
        <w:trPr>
          <w:jc w:val="center"/>
        </w:trPr>
        <w:tc>
          <w:tcPr>
            <w:tcW w:w="2278" w:type="dxa"/>
          </w:tcPr>
          <w:p w14:paraId="0A413B03" w14:textId="665B3A7D" w:rsidR="00E33017" w:rsidRPr="006F2FFB" w:rsidRDefault="00E33017" w:rsidP="00E33017">
            <w:pPr>
              <w:pStyle w:val="TableHead"/>
              <w:rPr>
                <w:sz w:val="22"/>
                <w:szCs w:val="22"/>
              </w:rPr>
            </w:pPr>
            <w:r>
              <w:rPr>
                <w:bCs/>
                <w:sz w:val="22"/>
                <w:szCs w:val="22"/>
                <w:lang w:val="ga"/>
              </w:rPr>
              <w:t xml:space="preserve">Mór-Iomlán </w:t>
            </w:r>
          </w:p>
        </w:tc>
        <w:tc>
          <w:tcPr>
            <w:tcW w:w="1559" w:type="dxa"/>
          </w:tcPr>
          <w:p w14:paraId="3BD53CA2" w14:textId="77777777" w:rsidR="00E33017" w:rsidRPr="006F2FFB" w:rsidRDefault="00E33017" w:rsidP="00E33017">
            <w:pPr>
              <w:spacing w:after="0"/>
              <w:jc w:val="right"/>
              <w:rPr>
                <w:rFonts w:cs="Calibri"/>
                <w:b/>
                <w:bCs/>
                <w:color w:val="000000"/>
                <w:sz w:val="22"/>
                <w:szCs w:val="22"/>
              </w:rPr>
            </w:pPr>
            <w:r>
              <w:rPr>
                <w:rFonts w:cs="Calibri"/>
                <w:b/>
                <w:bCs/>
                <w:color w:val="000000"/>
                <w:sz w:val="22"/>
                <w:szCs w:val="22"/>
                <w:lang w:val="ga"/>
              </w:rPr>
              <w:t>35,991</w:t>
            </w:r>
          </w:p>
          <w:p w14:paraId="0381A2E8" w14:textId="77777777" w:rsidR="00E33017" w:rsidRPr="006F2FFB" w:rsidRDefault="00E33017" w:rsidP="00E33017">
            <w:pPr>
              <w:pStyle w:val="TableHead"/>
              <w:jc w:val="right"/>
              <w:rPr>
                <w:sz w:val="22"/>
                <w:szCs w:val="22"/>
              </w:rPr>
            </w:pPr>
          </w:p>
        </w:tc>
        <w:tc>
          <w:tcPr>
            <w:tcW w:w="1560" w:type="dxa"/>
          </w:tcPr>
          <w:p w14:paraId="7E83E32C" w14:textId="77777777" w:rsidR="00E33017" w:rsidRPr="006F2FFB" w:rsidRDefault="00E33017" w:rsidP="00E33017">
            <w:pPr>
              <w:spacing w:after="0"/>
              <w:jc w:val="right"/>
              <w:rPr>
                <w:rFonts w:cs="Calibri"/>
                <w:b/>
                <w:bCs/>
                <w:color w:val="000000"/>
                <w:sz w:val="22"/>
                <w:szCs w:val="22"/>
              </w:rPr>
            </w:pPr>
            <w:r>
              <w:rPr>
                <w:rFonts w:cs="Calibri"/>
                <w:b/>
                <w:bCs/>
                <w:color w:val="000000"/>
                <w:sz w:val="22"/>
                <w:szCs w:val="22"/>
                <w:lang w:val="ga"/>
              </w:rPr>
              <w:t>1,620</w:t>
            </w:r>
          </w:p>
          <w:p w14:paraId="1F535654" w14:textId="77777777" w:rsidR="00E33017" w:rsidRPr="006F2FFB" w:rsidRDefault="00E33017" w:rsidP="00E33017">
            <w:pPr>
              <w:pStyle w:val="TableHead"/>
              <w:jc w:val="right"/>
              <w:rPr>
                <w:sz w:val="22"/>
                <w:szCs w:val="22"/>
              </w:rPr>
            </w:pPr>
          </w:p>
        </w:tc>
        <w:tc>
          <w:tcPr>
            <w:tcW w:w="1544" w:type="dxa"/>
          </w:tcPr>
          <w:p w14:paraId="5B23A942" w14:textId="694888CE" w:rsidR="00E33017" w:rsidRPr="006F2FFB" w:rsidRDefault="00E33017" w:rsidP="00E33017">
            <w:pPr>
              <w:pStyle w:val="TableHead"/>
              <w:jc w:val="right"/>
              <w:rPr>
                <w:sz w:val="22"/>
                <w:szCs w:val="22"/>
              </w:rPr>
            </w:pPr>
            <w:r>
              <w:rPr>
                <w:bCs/>
                <w:sz w:val="22"/>
                <w:szCs w:val="22"/>
                <w:lang w:val="ga"/>
              </w:rPr>
              <w:t>4.5%</w:t>
            </w:r>
          </w:p>
        </w:tc>
        <w:tc>
          <w:tcPr>
            <w:tcW w:w="1291" w:type="dxa"/>
          </w:tcPr>
          <w:p w14:paraId="7194C2AE" w14:textId="77777777" w:rsidR="00E33017" w:rsidRDefault="00E33017" w:rsidP="00E33017">
            <w:pPr>
              <w:spacing w:after="0"/>
              <w:jc w:val="right"/>
              <w:rPr>
                <w:rFonts w:cs="Calibri"/>
                <w:b/>
                <w:bCs/>
                <w:color w:val="000000"/>
                <w:sz w:val="22"/>
                <w:szCs w:val="22"/>
              </w:rPr>
            </w:pPr>
            <w:r>
              <w:rPr>
                <w:rFonts w:cs="Calibri"/>
                <w:b/>
                <w:bCs/>
                <w:color w:val="000000"/>
                <w:sz w:val="22"/>
                <w:szCs w:val="22"/>
                <w:lang w:val="ga"/>
              </w:rPr>
              <w:t>36497</w:t>
            </w:r>
          </w:p>
          <w:p w14:paraId="02213387" w14:textId="77777777" w:rsidR="00E33017" w:rsidRPr="006F2FFB" w:rsidRDefault="00E33017" w:rsidP="00E33017">
            <w:pPr>
              <w:pStyle w:val="TableHead"/>
              <w:jc w:val="right"/>
              <w:rPr>
                <w:sz w:val="22"/>
                <w:szCs w:val="22"/>
              </w:rPr>
            </w:pPr>
          </w:p>
        </w:tc>
        <w:tc>
          <w:tcPr>
            <w:tcW w:w="1559" w:type="dxa"/>
          </w:tcPr>
          <w:p w14:paraId="4064863B" w14:textId="77777777" w:rsidR="00E33017" w:rsidRDefault="00E33017" w:rsidP="00E33017">
            <w:pPr>
              <w:spacing w:after="0"/>
              <w:jc w:val="right"/>
              <w:rPr>
                <w:rFonts w:cs="Calibri"/>
                <w:b/>
                <w:bCs/>
                <w:color w:val="000000"/>
                <w:sz w:val="22"/>
                <w:szCs w:val="22"/>
              </w:rPr>
            </w:pPr>
            <w:r>
              <w:rPr>
                <w:rFonts w:cs="Calibri"/>
                <w:b/>
                <w:bCs/>
                <w:color w:val="000000"/>
                <w:sz w:val="22"/>
                <w:szCs w:val="22"/>
                <w:lang w:val="ga"/>
              </w:rPr>
              <w:t>1802</w:t>
            </w:r>
          </w:p>
          <w:p w14:paraId="4EC280C2" w14:textId="77777777" w:rsidR="00E33017" w:rsidRPr="006F2FFB" w:rsidRDefault="00E33017" w:rsidP="00E33017">
            <w:pPr>
              <w:pStyle w:val="TableHead"/>
              <w:jc w:val="right"/>
              <w:rPr>
                <w:sz w:val="22"/>
                <w:szCs w:val="22"/>
              </w:rPr>
            </w:pPr>
          </w:p>
        </w:tc>
        <w:tc>
          <w:tcPr>
            <w:tcW w:w="1544" w:type="dxa"/>
          </w:tcPr>
          <w:p w14:paraId="7E6A84AA" w14:textId="77777777" w:rsidR="00E33017" w:rsidRDefault="00E33017" w:rsidP="00E33017">
            <w:pPr>
              <w:spacing w:after="0"/>
              <w:jc w:val="right"/>
              <w:rPr>
                <w:rFonts w:cs="Calibri"/>
                <w:b/>
                <w:bCs/>
                <w:color w:val="000000"/>
                <w:sz w:val="22"/>
                <w:szCs w:val="22"/>
              </w:rPr>
            </w:pPr>
            <w:r>
              <w:rPr>
                <w:rFonts w:cs="Calibri"/>
                <w:b/>
                <w:bCs/>
                <w:color w:val="000000"/>
                <w:sz w:val="22"/>
                <w:szCs w:val="22"/>
                <w:lang w:val="ga"/>
              </w:rPr>
              <w:t>4.9%</w:t>
            </w:r>
          </w:p>
          <w:p w14:paraId="16D26D98" w14:textId="22512CB5" w:rsidR="00E33017" w:rsidRPr="006F2FFB" w:rsidRDefault="00E33017" w:rsidP="00E33017">
            <w:pPr>
              <w:pStyle w:val="TableHead"/>
              <w:jc w:val="right"/>
              <w:rPr>
                <w:sz w:val="22"/>
                <w:szCs w:val="22"/>
              </w:rPr>
            </w:pPr>
          </w:p>
        </w:tc>
      </w:tr>
    </w:tbl>
    <w:p w14:paraId="5002F618" w14:textId="21DE9932" w:rsidR="00E46650" w:rsidRDefault="00E46650" w:rsidP="00624403"/>
    <w:p w14:paraId="73A7C7E9" w14:textId="77777777" w:rsidR="00E46650" w:rsidRDefault="00E46650">
      <w:pPr>
        <w:spacing w:after="0"/>
      </w:pPr>
      <w:r>
        <w:rPr>
          <w:lang w:val="ga"/>
        </w:rPr>
        <w:br w:type="page"/>
      </w:r>
    </w:p>
    <w:p w14:paraId="2CD86F15" w14:textId="77777777" w:rsidR="004D6023" w:rsidRDefault="004D6023" w:rsidP="00DA2B08"/>
    <w:p w14:paraId="2199CE2E" w14:textId="400F7A6D" w:rsidR="000D5C5D" w:rsidRPr="00454924" w:rsidRDefault="00624403" w:rsidP="00B12C05">
      <w:pPr>
        <w:pStyle w:val="Heading2"/>
        <w:jc w:val="center"/>
        <w:rPr>
          <w:color w:val="000000" w:themeColor="text1"/>
        </w:rPr>
      </w:pPr>
      <w:bookmarkStart w:id="78" w:name="_Toc147910094"/>
      <w:r>
        <w:rPr>
          <w:bCs/>
          <w:color w:val="000000" w:themeColor="text1"/>
          <w:lang w:val="ga"/>
        </w:rPr>
        <w:t>An Roinn Caiteachais Phoiblí agus Athchóirithe</w:t>
      </w:r>
      <w:bookmarkEnd w:id="78"/>
    </w:p>
    <w:p w14:paraId="3FE4EFA8" w14:textId="5E9F09B5" w:rsidR="00B12C05" w:rsidRPr="006F2FFB" w:rsidRDefault="00B12C05" w:rsidP="00B12C05">
      <w:pPr>
        <w:rPr>
          <w:b/>
          <w:sz w:val="22"/>
          <w:szCs w:val="22"/>
        </w:rPr>
      </w:pPr>
      <w:r>
        <w:rPr>
          <w:b/>
          <w:bCs/>
          <w:lang w:val="ga"/>
        </w:rPr>
        <w:t>*</w:t>
      </w:r>
      <w:r>
        <w:rPr>
          <w:b/>
          <w:bCs/>
          <w:sz w:val="22"/>
          <w:szCs w:val="22"/>
          <w:lang w:val="ga"/>
        </w:rPr>
        <w:t>Maidir le comhlachtaí poiblí iomchuí sa Roinn Dlí agus Cirt a thuairiscíonn faoin Roinn Caiteachais Phoiblí agus Athchóirithe chun críocha Chuid 5</w:t>
      </w:r>
    </w:p>
    <w:tbl>
      <w:tblPr>
        <w:tblStyle w:val="TableGrid"/>
        <w:tblW w:w="11345" w:type="dxa"/>
        <w:jc w:val="center"/>
        <w:tblLayout w:type="fixed"/>
        <w:tblLook w:val="04A0" w:firstRow="1" w:lastRow="0" w:firstColumn="1" w:lastColumn="0" w:noHBand="0" w:noVBand="1"/>
        <w:tblCaption w:val="Department of Public Expenditure &amp; Reform"/>
      </w:tblPr>
      <w:tblGrid>
        <w:gridCol w:w="1706"/>
        <w:gridCol w:w="1701"/>
        <w:gridCol w:w="1418"/>
        <w:gridCol w:w="1559"/>
        <w:gridCol w:w="1701"/>
        <w:gridCol w:w="1559"/>
        <w:gridCol w:w="1701"/>
      </w:tblGrid>
      <w:tr w:rsidR="00107D01" w:rsidRPr="006F2FFB" w14:paraId="465B19A8" w14:textId="77777777" w:rsidTr="000B04F5">
        <w:trPr>
          <w:tblHeader/>
          <w:jc w:val="center"/>
        </w:trPr>
        <w:tc>
          <w:tcPr>
            <w:tcW w:w="1706" w:type="dxa"/>
          </w:tcPr>
          <w:p w14:paraId="2C95791F" w14:textId="77777777" w:rsidR="00107D01" w:rsidRPr="006F2FFB" w:rsidRDefault="00107D01" w:rsidP="00812E67">
            <w:pPr>
              <w:pStyle w:val="TableHead"/>
              <w:rPr>
                <w:sz w:val="22"/>
                <w:szCs w:val="22"/>
              </w:rPr>
            </w:pPr>
            <w:r>
              <w:rPr>
                <w:bCs/>
                <w:sz w:val="22"/>
                <w:szCs w:val="22"/>
                <w:lang w:val="ga"/>
              </w:rPr>
              <w:t>Comhlacht Poiblí</w:t>
            </w:r>
          </w:p>
        </w:tc>
        <w:tc>
          <w:tcPr>
            <w:tcW w:w="1701" w:type="dxa"/>
          </w:tcPr>
          <w:p w14:paraId="23081671" w14:textId="77777777" w:rsidR="00F516FE" w:rsidRPr="006F2FFB" w:rsidRDefault="00FA0390" w:rsidP="00812E67">
            <w:pPr>
              <w:pStyle w:val="TableHead"/>
              <w:rPr>
                <w:sz w:val="22"/>
                <w:szCs w:val="22"/>
              </w:rPr>
            </w:pPr>
            <w:r>
              <w:rPr>
                <w:bCs/>
                <w:sz w:val="22"/>
                <w:szCs w:val="22"/>
                <w:lang w:val="ga"/>
              </w:rPr>
              <w:t xml:space="preserve">An líon </w:t>
            </w:r>
          </w:p>
          <w:p w14:paraId="738157FF" w14:textId="77777777" w:rsidR="00F516FE" w:rsidRPr="006F2FFB" w:rsidRDefault="00F1261F" w:rsidP="00812E67">
            <w:pPr>
              <w:pStyle w:val="TableHead"/>
              <w:rPr>
                <w:sz w:val="22"/>
                <w:szCs w:val="22"/>
              </w:rPr>
            </w:pPr>
            <w:r>
              <w:rPr>
                <w:bCs/>
                <w:sz w:val="22"/>
                <w:szCs w:val="22"/>
                <w:lang w:val="ga"/>
              </w:rPr>
              <w:t xml:space="preserve">iomlán </w:t>
            </w:r>
          </w:p>
          <w:p w14:paraId="3C52C141" w14:textId="77777777" w:rsidR="00F516FE" w:rsidRPr="006F2FFB" w:rsidRDefault="00F1261F" w:rsidP="00812E67">
            <w:pPr>
              <w:pStyle w:val="TableHead"/>
              <w:rPr>
                <w:sz w:val="22"/>
                <w:szCs w:val="22"/>
              </w:rPr>
            </w:pPr>
            <w:r>
              <w:rPr>
                <w:bCs/>
                <w:sz w:val="22"/>
                <w:szCs w:val="22"/>
                <w:lang w:val="ga"/>
              </w:rPr>
              <w:t xml:space="preserve">fostaithe </w:t>
            </w:r>
          </w:p>
          <w:p w14:paraId="7D54687C" w14:textId="1C8E869A" w:rsidR="00107D01" w:rsidRPr="006F2FFB" w:rsidRDefault="00F1261F" w:rsidP="00812E67">
            <w:pPr>
              <w:pStyle w:val="TableHead"/>
              <w:rPr>
                <w:sz w:val="22"/>
                <w:szCs w:val="22"/>
              </w:rPr>
            </w:pPr>
            <w:r>
              <w:rPr>
                <w:bCs/>
                <w:sz w:val="22"/>
                <w:szCs w:val="22"/>
                <w:lang w:val="ga"/>
              </w:rPr>
              <w:t>2021</w:t>
            </w:r>
          </w:p>
        </w:tc>
        <w:tc>
          <w:tcPr>
            <w:tcW w:w="1418" w:type="dxa"/>
          </w:tcPr>
          <w:p w14:paraId="2A394F2A" w14:textId="05C2DE46" w:rsidR="00107D01" w:rsidRPr="006F2FFB" w:rsidRDefault="00107D01" w:rsidP="00812E67">
            <w:pPr>
              <w:pStyle w:val="TableHead"/>
              <w:rPr>
                <w:sz w:val="22"/>
                <w:szCs w:val="22"/>
              </w:rPr>
            </w:pPr>
            <w:r>
              <w:rPr>
                <w:bCs/>
                <w:sz w:val="22"/>
                <w:szCs w:val="22"/>
                <w:lang w:val="ga"/>
              </w:rPr>
              <w:t xml:space="preserve">An líon fostaithe a thuairiscigh míchumas </w:t>
            </w:r>
          </w:p>
          <w:p w14:paraId="739ECA4F" w14:textId="673BEDBB" w:rsidR="00107D01" w:rsidRPr="006F2FFB" w:rsidRDefault="00F1261F" w:rsidP="00812E67">
            <w:pPr>
              <w:pStyle w:val="TableHead"/>
              <w:rPr>
                <w:sz w:val="22"/>
                <w:szCs w:val="22"/>
              </w:rPr>
            </w:pPr>
            <w:r>
              <w:rPr>
                <w:bCs/>
                <w:sz w:val="22"/>
                <w:szCs w:val="22"/>
                <w:lang w:val="ga"/>
              </w:rPr>
              <w:t>2021</w:t>
            </w:r>
          </w:p>
        </w:tc>
        <w:tc>
          <w:tcPr>
            <w:tcW w:w="1559" w:type="dxa"/>
          </w:tcPr>
          <w:p w14:paraId="2DC4208D" w14:textId="07266BB7" w:rsidR="00107D01" w:rsidRPr="006F2FFB" w:rsidRDefault="00107D01" w:rsidP="00812E67">
            <w:pPr>
              <w:pStyle w:val="TableHead"/>
              <w:rPr>
                <w:sz w:val="22"/>
                <w:szCs w:val="22"/>
              </w:rPr>
            </w:pPr>
            <w:r>
              <w:rPr>
                <w:bCs/>
                <w:sz w:val="22"/>
                <w:szCs w:val="22"/>
                <w:lang w:val="ga"/>
              </w:rPr>
              <w:t>An % d’fhostaithe a thuairiscigh</w:t>
            </w:r>
          </w:p>
          <w:p w14:paraId="582191C5" w14:textId="2A76C658" w:rsidR="00107D01" w:rsidRPr="006F2FFB" w:rsidRDefault="004B379F" w:rsidP="00812E67">
            <w:pPr>
              <w:pStyle w:val="TableHead"/>
              <w:rPr>
                <w:sz w:val="22"/>
                <w:szCs w:val="22"/>
              </w:rPr>
            </w:pPr>
            <w:r>
              <w:rPr>
                <w:bCs/>
                <w:sz w:val="22"/>
                <w:szCs w:val="22"/>
                <w:lang w:val="ga"/>
              </w:rPr>
              <w:t>míchumas 2021</w:t>
            </w:r>
          </w:p>
        </w:tc>
        <w:tc>
          <w:tcPr>
            <w:tcW w:w="1701" w:type="dxa"/>
          </w:tcPr>
          <w:p w14:paraId="00421F21" w14:textId="77777777" w:rsidR="00F516FE" w:rsidRPr="006F2FFB" w:rsidRDefault="00F1261F" w:rsidP="00812E67">
            <w:pPr>
              <w:pStyle w:val="TableHead"/>
              <w:rPr>
                <w:sz w:val="22"/>
                <w:szCs w:val="22"/>
              </w:rPr>
            </w:pPr>
            <w:r>
              <w:rPr>
                <w:bCs/>
                <w:sz w:val="22"/>
                <w:szCs w:val="22"/>
                <w:lang w:val="ga"/>
              </w:rPr>
              <w:t xml:space="preserve">An líon </w:t>
            </w:r>
          </w:p>
          <w:p w14:paraId="2FA79240" w14:textId="77777777" w:rsidR="00F516FE" w:rsidRPr="006F2FFB" w:rsidRDefault="00F1261F" w:rsidP="00812E67">
            <w:pPr>
              <w:pStyle w:val="TableHead"/>
              <w:rPr>
                <w:sz w:val="22"/>
                <w:szCs w:val="22"/>
              </w:rPr>
            </w:pPr>
            <w:r>
              <w:rPr>
                <w:bCs/>
                <w:sz w:val="22"/>
                <w:szCs w:val="22"/>
                <w:lang w:val="ga"/>
              </w:rPr>
              <w:t xml:space="preserve">iomlán </w:t>
            </w:r>
          </w:p>
          <w:p w14:paraId="242FB5C2" w14:textId="77777777" w:rsidR="00F516FE" w:rsidRPr="006F2FFB" w:rsidRDefault="00F1261F" w:rsidP="00812E67">
            <w:pPr>
              <w:pStyle w:val="TableHead"/>
              <w:rPr>
                <w:sz w:val="22"/>
                <w:szCs w:val="22"/>
              </w:rPr>
            </w:pPr>
            <w:r>
              <w:rPr>
                <w:bCs/>
                <w:sz w:val="22"/>
                <w:szCs w:val="22"/>
                <w:lang w:val="ga"/>
              </w:rPr>
              <w:t xml:space="preserve">fostaithe </w:t>
            </w:r>
          </w:p>
          <w:p w14:paraId="1AE21686" w14:textId="0E72CAE6" w:rsidR="00107D01" w:rsidRPr="006F2FFB" w:rsidRDefault="00F1261F" w:rsidP="00812E67">
            <w:pPr>
              <w:pStyle w:val="TableHead"/>
              <w:rPr>
                <w:sz w:val="22"/>
                <w:szCs w:val="22"/>
              </w:rPr>
            </w:pPr>
            <w:r>
              <w:rPr>
                <w:bCs/>
                <w:sz w:val="22"/>
                <w:szCs w:val="22"/>
                <w:lang w:val="ga"/>
              </w:rPr>
              <w:t>2022</w:t>
            </w:r>
          </w:p>
        </w:tc>
        <w:tc>
          <w:tcPr>
            <w:tcW w:w="1559" w:type="dxa"/>
          </w:tcPr>
          <w:p w14:paraId="6E86D1FE" w14:textId="77777777" w:rsidR="00107D01" w:rsidRPr="006F2FFB" w:rsidRDefault="00107D01" w:rsidP="00812E67">
            <w:pPr>
              <w:pStyle w:val="TableHead"/>
              <w:rPr>
                <w:sz w:val="22"/>
                <w:szCs w:val="22"/>
              </w:rPr>
            </w:pPr>
            <w:r>
              <w:rPr>
                <w:bCs/>
                <w:sz w:val="22"/>
                <w:szCs w:val="22"/>
                <w:lang w:val="ga"/>
              </w:rPr>
              <w:t xml:space="preserve">An líon fostaithe a thuairiscigh míchumas </w:t>
            </w:r>
          </w:p>
          <w:p w14:paraId="4532E9C5" w14:textId="49E2017C" w:rsidR="00107D01" w:rsidRPr="006F2FFB" w:rsidRDefault="00F1261F" w:rsidP="00812E67">
            <w:pPr>
              <w:pStyle w:val="TableHead"/>
              <w:rPr>
                <w:sz w:val="22"/>
                <w:szCs w:val="22"/>
              </w:rPr>
            </w:pPr>
            <w:r>
              <w:rPr>
                <w:bCs/>
                <w:sz w:val="22"/>
                <w:szCs w:val="22"/>
                <w:lang w:val="ga"/>
              </w:rPr>
              <w:t>2022</w:t>
            </w:r>
          </w:p>
        </w:tc>
        <w:tc>
          <w:tcPr>
            <w:tcW w:w="1701" w:type="dxa"/>
          </w:tcPr>
          <w:p w14:paraId="4D3F0501" w14:textId="04DC661C" w:rsidR="00107D01" w:rsidRPr="006F2FFB" w:rsidRDefault="00107D01" w:rsidP="00812E67">
            <w:pPr>
              <w:pStyle w:val="TableHead"/>
              <w:rPr>
                <w:sz w:val="22"/>
                <w:szCs w:val="22"/>
              </w:rPr>
            </w:pPr>
            <w:r>
              <w:rPr>
                <w:bCs/>
                <w:sz w:val="22"/>
                <w:szCs w:val="22"/>
                <w:lang w:val="ga"/>
              </w:rPr>
              <w:t>An % d’fhostaithe a thuairiscigh</w:t>
            </w:r>
          </w:p>
          <w:p w14:paraId="15607CE1" w14:textId="06D300D0" w:rsidR="004B379F" w:rsidRPr="006F2FFB" w:rsidRDefault="004B379F" w:rsidP="00812E67">
            <w:pPr>
              <w:pStyle w:val="TableHead"/>
              <w:rPr>
                <w:sz w:val="22"/>
                <w:szCs w:val="22"/>
              </w:rPr>
            </w:pPr>
            <w:r>
              <w:rPr>
                <w:bCs/>
                <w:sz w:val="22"/>
                <w:szCs w:val="22"/>
                <w:lang w:val="ga"/>
              </w:rPr>
              <w:t>míchumas</w:t>
            </w:r>
          </w:p>
          <w:p w14:paraId="05AFDA6C" w14:textId="3EAA17C8" w:rsidR="00107D01" w:rsidRPr="006F2FFB" w:rsidRDefault="00F1261F" w:rsidP="00812E67">
            <w:pPr>
              <w:pStyle w:val="TableHead"/>
              <w:rPr>
                <w:sz w:val="24"/>
              </w:rPr>
            </w:pPr>
            <w:r>
              <w:rPr>
                <w:bCs/>
                <w:sz w:val="22"/>
                <w:szCs w:val="22"/>
                <w:lang w:val="ga"/>
              </w:rPr>
              <w:t xml:space="preserve"> 2022</w:t>
            </w:r>
          </w:p>
        </w:tc>
      </w:tr>
      <w:tr w:rsidR="005057CB" w:rsidRPr="006F2FFB" w14:paraId="35B2CD4B" w14:textId="77777777" w:rsidTr="000B04F5">
        <w:trPr>
          <w:jc w:val="center"/>
        </w:trPr>
        <w:tc>
          <w:tcPr>
            <w:tcW w:w="1706" w:type="dxa"/>
          </w:tcPr>
          <w:p w14:paraId="5A33C3F4" w14:textId="000D2585" w:rsidR="005057CB" w:rsidRPr="006F2FFB" w:rsidRDefault="005057CB" w:rsidP="005057CB">
            <w:pPr>
              <w:rPr>
                <w:sz w:val="22"/>
                <w:szCs w:val="22"/>
              </w:rPr>
            </w:pPr>
            <w:r>
              <w:rPr>
                <w:rFonts w:cs="Calibri"/>
                <w:color w:val="000000"/>
                <w:sz w:val="22"/>
                <w:szCs w:val="22"/>
                <w:lang w:val="ga"/>
              </w:rPr>
              <w:t>An Chomhairle um Oideachas Gaeltachta agus Gaelscolaíochta</w:t>
            </w:r>
          </w:p>
        </w:tc>
        <w:tc>
          <w:tcPr>
            <w:tcW w:w="1701" w:type="dxa"/>
          </w:tcPr>
          <w:p w14:paraId="0EF158C9" w14:textId="12D54808" w:rsidR="005057CB" w:rsidRPr="006F2FFB" w:rsidRDefault="005057CB" w:rsidP="005057CB">
            <w:pPr>
              <w:jc w:val="right"/>
              <w:rPr>
                <w:sz w:val="22"/>
                <w:szCs w:val="22"/>
              </w:rPr>
            </w:pPr>
            <w:r>
              <w:rPr>
                <w:rFonts w:cs="Calibri"/>
                <w:color w:val="000000"/>
                <w:sz w:val="22"/>
                <w:szCs w:val="22"/>
                <w:lang w:val="ga"/>
              </w:rPr>
              <w:t>9</w:t>
            </w:r>
          </w:p>
        </w:tc>
        <w:tc>
          <w:tcPr>
            <w:tcW w:w="1418" w:type="dxa"/>
          </w:tcPr>
          <w:p w14:paraId="5BE7D522" w14:textId="78BB4252" w:rsidR="005057CB" w:rsidRPr="006F2FFB" w:rsidRDefault="005057CB" w:rsidP="005057CB">
            <w:pPr>
              <w:jc w:val="right"/>
              <w:rPr>
                <w:sz w:val="22"/>
                <w:szCs w:val="22"/>
              </w:rPr>
            </w:pPr>
            <w:r>
              <w:rPr>
                <w:rFonts w:cs="Calibri"/>
                <w:color w:val="000000"/>
                <w:sz w:val="22"/>
                <w:szCs w:val="22"/>
                <w:lang w:val="ga"/>
              </w:rPr>
              <w:t>0</w:t>
            </w:r>
          </w:p>
        </w:tc>
        <w:tc>
          <w:tcPr>
            <w:tcW w:w="1559" w:type="dxa"/>
          </w:tcPr>
          <w:p w14:paraId="67E86971" w14:textId="7A97D46F" w:rsidR="005057CB" w:rsidRPr="006F2FFB" w:rsidRDefault="005057CB" w:rsidP="005057CB">
            <w:pPr>
              <w:jc w:val="right"/>
              <w:rPr>
                <w:sz w:val="22"/>
                <w:szCs w:val="22"/>
              </w:rPr>
            </w:pPr>
            <w:r>
              <w:rPr>
                <w:rFonts w:cs="Calibri"/>
                <w:color w:val="000000"/>
                <w:sz w:val="22"/>
                <w:szCs w:val="22"/>
                <w:lang w:val="ga"/>
              </w:rPr>
              <w:t>0.0%</w:t>
            </w:r>
          </w:p>
        </w:tc>
        <w:tc>
          <w:tcPr>
            <w:tcW w:w="1701" w:type="dxa"/>
          </w:tcPr>
          <w:p w14:paraId="5A220A10" w14:textId="615812CB" w:rsidR="005057CB" w:rsidRPr="006F2FFB" w:rsidRDefault="005057CB" w:rsidP="005057CB">
            <w:pPr>
              <w:jc w:val="right"/>
              <w:rPr>
                <w:sz w:val="22"/>
                <w:szCs w:val="22"/>
              </w:rPr>
            </w:pPr>
            <w:r>
              <w:rPr>
                <w:rFonts w:cs="Calibri"/>
                <w:color w:val="000000"/>
                <w:sz w:val="22"/>
                <w:szCs w:val="22"/>
                <w:lang w:val="ga"/>
              </w:rPr>
              <w:t>9</w:t>
            </w:r>
          </w:p>
        </w:tc>
        <w:tc>
          <w:tcPr>
            <w:tcW w:w="1559" w:type="dxa"/>
          </w:tcPr>
          <w:p w14:paraId="66E8E4DF" w14:textId="0342EEEC" w:rsidR="005057CB" w:rsidRPr="006F2FFB" w:rsidRDefault="005057CB" w:rsidP="005057CB">
            <w:pPr>
              <w:jc w:val="right"/>
              <w:rPr>
                <w:sz w:val="22"/>
                <w:szCs w:val="22"/>
              </w:rPr>
            </w:pPr>
            <w:r>
              <w:rPr>
                <w:rFonts w:cs="Calibri"/>
                <w:color w:val="000000"/>
                <w:sz w:val="22"/>
                <w:szCs w:val="22"/>
                <w:lang w:val="ga"/>
              </w:rPr>
              <w:t>0</w:t>
            </w:r>
          </w:p>
        </w:tc>
        <w:tc>
          <w:tcPr>
            <w:tcW w:w="1701" w:type="dxa"/>
          </w:tcPr>
          <w:p w14:paraId="0FA12FC8" w14:textId="6B7B2FA4" w:rsidR="005057CB" w:rsidRPr="006F2FFB" w:rsidRDefault="005057CB" w:rsidP="005057CB">
            <w:pPr>
              <w:jc w:val="right"/>
              <w:rPr>
                <w:sz w:val="22"/>
                <w:szCs w:val="22"/>
              </w:rPr>
            </w:pPr>
            <w:r>
              <w:rPr>
                <w:rFonts w:cs="Calibri"/>
                <w:color w:val="000000"/>
                <w:sz w:val="22"/>
                <w:szCs w:val="22"/>
                <w:lang w:val="ga"/>
              </w:rPr>
              <w:t>0.0%</w:t>
            </w:r>
          </w:p>
        </w:tc>
      </w:tr>
      <w:tr w:rsidR="005057CB" w:rsidRPr="006F2FFB" w14:paraId="7EEDD7E7" w14:textId="77777777" w:rsidTr="000B04F5">
        <w:trPr>
          <w:jc w:val="center"/>
        </w:trPr>
        <w:tc>
          <w:tcPr>
            <w:tcW w:w="1706" w:type="dxa"/>
          </w:tcPr>
          <w:p w14:paraId="4FA30E46" w14:textId="13650C5A" w:rsidR="005057CB" w:rsidRPr="006F2FFB" w:rsidRDefault="005057CB" w:rsidP="005057CB">
            <w:pPr>
              <w:rPr>
                <w:sz w:val="22"/>
                <w:szCs w:val="22"/>
              </w:rPr>
            </w:pPr>
            <w:r>
              <w:rPr>
                <w:rFonts w:cs="Calibri"/>
                <w:color w:val="000000"/>
                <w:sz w:val="22"/>
                <w:szCs w:val="22"/>
                <w:lang w:val="ga"/>
              </w:rPr>
              <w:t>An Coimisinéir Teanga</w:t>
            </w:r>
          </w:p>
        </w:tc>
        <w:tc>
          <w:tcPr>
            <w:tcW w:w="1701" w:type="dxa"/>
          </w:tcPr>
          <w:p w14:paraId="3D6776DC" w14:textId="5F56FE9D" w:rsidR="005057CB" w:rsidRPr="006F2FFB" w:rsidRDefault="005057CB" w:rsidP="005057CB">
            <w:pPr>
              <w:jc w:val="right"/>
              <w:rPr>
                <w:sz w:val="22"/>
                <w:szCs w:val="22"/>
              </w:rPr>
            </w:pPr>
            <w:r>
              <w:rPr>
                <w:rFonts w:cs="Calibri"/>
                <w:color w:val="000000"/>
                <w:sz w:val="22"/>
                <w:szCs w:val="22"/>
                <w:lang w:val="ga"/>
              </w:rPr>
              <w:t>8</w:t>
            </w:r>
          </w:p>
        </w:tc>
        <w:tc>
          <w:tcPr>
            <w:tcW w:w="1418" w:type="dxa"/>
          </w:tcPr>
          <w:p w14:paraId="4547B12F" w14:textId="7727B223" w:rsidR="005057CB" w:rsidRPr="006F2FFB" w:rsidRDefault="005057CB" w:rsidP="005057CB">
            <w:pPr>
              <w:jc w:val="right"/>
              <w:rPr>
                <w:sz w:val="22"/>
                <w:szCs w:val="22"/>
              </w:rPr>
            </w:pPr>
            <w:r>
              <w:rPr>
                <w:rFonts w:cs="Calibri"/>
                <w:color w:val="000000"/>
                <w:sz w:val="22"/>
                <w:szCs w:val="22"/>
                <w:lang w:val="ga"/>
              </w:rPr>
              <w:t>0</w:t>
            </w:r>
          </w:p>
        </w:tc>
        <w:tc>
          <w:tcPr>
            <w:tcW w:w="1559" w:type="dxa"/>
          </w:tcPr>
          <w:p w14:paraId="6A653B0D" w14:textId="4CA85E70" w:rsidR="005057CB" w:rsidRPr="006F2FFB" w:rsidRDefault="005057CB" w:rsidP="005057CB">
            <w:pPr>
              <w:jc w:val="right"/>
              <w:rPr>
                <w:sz w:val="22"/>
                <w:szCs w:val="22"/>
              </w:rPr>
            </w:pPr>
            <w:r>
              <w:rPr>
                <w:rFonts w:cs="Calibri"/>
                <w:color w:val="000000"/>
                <w:sz w:val="22"/>
                <w:szCs w:val="22"/>
                <w:lang w:val="ga"/>
              </w:rPr>
              <w:t>0.0%</w:t>
            </w:r>
          </w:p>
        </w:tc>
        <w:tc>
          <w:tcPr>
            <w:tcW w:w="1701" w:type="dxa"/>
          </w:tcPr>
          <w:p w14:paraId="48975FE7" w14:textId="0AD5E65E" w:rsidR="005057CB" w:rsidRPr="006F2FFB" w:rsidRDefault="005057CB" w:rsidP="005057CB">
            <w:pPr>
              <w:jc w:val="right"/>
              <w:rPr>
                <w:sz w:val="22"/>
                <w:szCs w:val="22"/>
              </w:rPr>
            </w:pPr>
            <w:r>
              <w:rPr>
                <w:rFonts w:cs="Calibri"/>
                <w:color w:val="000000"/>
                <w:sz w:val="22"/>
                <w:szCs w:val="22"/>
                <w:lang w:val="ga"/>
              </w:rPr>
              <w:t>11</w:t>
            </w:r>
          </w:p>
        </w:tc>
        <w:tc>
          <w:tcPr>
            <w:tcW w:w="1559" w:type="dxa"/>
          </w:tcPr>
          <w:p w14:paraId="7246F642" w14:textId="39D47BAC" w:rsidR="005057CB" w:rsidRPr="006F2FFB" w:rsidRDefault="005057CB" w:rsidP="005057CB">
            <w:pPr>
              <w:jc w:val="right"/>
              <w:rPr>
                <w:sz w:val="22"/>
                <w:szCs w:val="22"/>
              </w:rPr>
            </w:pPr>
            <w:r>
              <w:rPr>
                <w:rFonts w:cs="Calibri"/>
                <w:color w:val="000000"/>
                <w:sz w:val="22"/>
                <w:szCs w:val="22"/>
                <w:lang w:val="ga"/>
              </w:rPr>
              <w:t>0</w:t>
            </w:r>
          </w:p>
        </w:tc>
        <w:tc>
          <w:tcPr>
            <w:tcW w:w="1701" w:type="dxa"/>
          </w:tcPr>
          <w:p w14:paraId="27623DE9" w14:textId="6FDFA1AF" w:rsidR="005057CB" w:rsidRPr="006F2FFB" w:rsidRDefault="005057CB" w:rsidP="005057CB">
            <w:pPr>
              <w:jc w:val="right"/>
              <w:rPr>
                <w:sz w:val="22"/>
                <w:szCs w:val="22"/>
              </w:rPr>
            </w:pPr>
            <w:r>
              <w:rPr>
                <w:rFonts w:cs="Calibri"/>
                <w:color w:val="000000"/>
                <w:sz w:val="22"/>
                <w:szCs w:val="22"/>
                <w:lang w:val="ga"/>
              </w:rPr>
              <w:t>0.0%</w:t>
            </w:r>
          </w:p>
        </w:tc>
      </w:tr>
      <w:tr w:rsidR="005057CB" w:rsidRPr="006F2FFB" w14:paraId="1A3E97CD" w14:textId="77777777" w:rsidTr="000B04F5">
        <w:trPr>
          <w:jc w:val="center"/>
        </w:trPr>
        <w:tc>
          <w:tcPr>
            <w:tcW w:w="1706" w:type="dxa"/>
          </w:tcPr>
          <w:p w14:paraId="41CFC7E8" w14:textId="2697928B" w:rsidR="005057CB" w:rsidRPr="006F2FFB" w:rsidRDefault="005057CB" w:rsidP="005057CB">
            <w:pPr>
              <w:rPr>
                <w:sz w:val="22"/>
                <w:szCs w:val="22"/>
              </w:rPr>
            </w:pPr>
            <w:r>
              <w:rPr>
                <w:rFonts w:cs="Calibri"/>
                <w:color w:val="000000"/>
                <w:sz w:val="22"/>
                <w:szCs w:val="22"/>
                <w:lang w:val="ga"/>
              </w:rPr>
              <w:t>An Phríomh-Oifig Staidrimh</w:t>
            </w:r>
          </w:p>
        </w:tc>
        <w:tc>
          <w:tcPr>
            <w:tcW w:w="1701" w:type="dxa"/>
          </w:tcPr>
          <w:p w14:paraId="5B34E227" w14:textId="78C56904" w:rsidR="005057CB" w:rsidRPr="006F2FFB" w:rsidRDefault="005057CB" w:rsidP="005057CB">
            <w:pPr>
              <w:jc w:val="right"/>
              <w:rPr>
                <w:sz w:val="22"/>
                <w:szCs w:val="22"/>
              </w:rPr>
            </w:pPr>
            <w:r>
              <w:rPr>
                <w:rFonts w:cs="Calibri"/>
                <w:color w:val="000000"/>
                <w:sz w:val="22"/>
                <w:szCs w:val="22"/>
                <w:lang w:val="ga"/>
              </w:rPr>
              <w:t>971</w:t>
            </w:r>
          </w:p>
        </w:tc>
        <w:tc>
          <w:tcPr>
            <w:tcW w:w="1418" w:type="dxa"/>
          </w:tcPr>
          <w:p w14:paraId="16D4C7F7" w14:textId="5B7C4E59" w:rsidR="005057CB" w:rsidRPr="006F2FFB" w:rsidRDefault="005057CB" w:rsidP="005057CB">
            <w:pPr>
              <w:jc w:val="right"/>
              <w:rPr>
                <w:sz w:val="22"/>
                <w:szCs w:val="22"/>
              </w:rPr>
            </w:pPr>
            <w:r>
              <w:rPr>
                <w:rFonts w:cs="Calibri"/>
                <w:color w:val="000000"/>
                <w:sz w:val="22"/>
                <w:szCs w:val="22"/>
                <w:lang w:val="ga"/>
              </w:rPr>
              <w:t>54</w:t>
            </w:r>
          </w:p>
        </w:tc>
        <w:tc>
          <w:tcPr>
            <w:tcW w:w="1559" w:type="dxa"/>
          </w:tcPr>
          <w:p w14:paraId="7C080161" w14:textId="23956FC5" w:rsidR="005057CB" w:rsidRPr="006F2FFB" w:rsidRDefault="005057CB" w:rsidP="005057CB">
            <w:pPr>
              <w:jc w:val="right"/>
              <w:rPr>
                <w:sz w:val="22"/>
                <w:szCs w:val="22"/>
              </w:rPr>
            </w:pPr>
            <w:r>
              <w:rPr>
                <w:rFonts w:cs="Calibri"/>
                <w:color w:val="000000"/>
                <w:sz w:val="22"/>
                <w:szCs w:val="22"/>
                <w:lang w:val="ga"/>
              </w:rPr>
              <w:t>5.6%</w:t>
            </w:r>
          </w:p>
        </w:tc>
        <w:tc>
          <w:tcPr>
            <w:tcW w:w="1701" w:type="dxa"/>
          </w:tcPr>
          <w:p w14:paraId="5A29DE59" w14:textId="4AF357D9" w:rsidR="005057CB" w:rsidRPr="006F2FFB" w:rsidRDefault="005057CB" w:rsidP="005057CB">
            <w:pPr>
              <w:jc w:val="right"/>
              <w:rPr>
                <w:sz w:val="22"/>
                <w:szCs w:val="22"/>
              </w:rPr>
            </w:pPr>
            <w:r>
              <w:rPr>
                <w:rFonts w:cs="Calibri"/>
                <w:color w:val="000000"/>
                <w:sz w:val="22"/>
                <w:szCs w:val="22"/>
                <w:lang w:val="ga"/>
              </w:rPr>
              <w:t>1104</w:t>
            </w:r>
          </w:p>
        </w:tc>
        <w:tc>
          <w:tcPr>
            <w:tcW w:w="1559" w:type="dxa"/>
          </w:tcPr>
          <w:p w14:paraId="1343DCC5" w14:textId="27994836" w:rsidR="005057CB" w:rsidRPr="006F2FFB" w:rsidRDefault="005057CB" w:rsidP="005057CB">
            <w:pPr>
              <w:jc w:val="right"/>
              <w:rPr>
                <w:sz w:val="22"/>
                <w:szCs w:val="22"/>
              </w:rPr>
            </w:pPr>
            <w:r>
              <w:rPr>
                <w:rFonts w:cs="Calibri"/>
                <w:color w:val="000000"/>
                <w:sz w:val="22"/>
                <w:szCs w:val="22"/>
                <w:lang w:val="ga"/>
              </w:rPr>
              <w:t>103</w:t>
            </w:r>
          </w:p>
        </w:tc>
        <w:tc>
          <w:tcPr>
            <w:tcW w:w="1701" w:type="dxa"/>
          </w:tcPr>
          <w:p w14:paraId="2D791C47" w14:textId="714AA132" w:rsidR="005057CB" w:rsidRPr="006F2FFB" w:rsidRDefault="005057CB" w:rsidP="005057CB">
            <w:pPr>
              <w:jc w:val="right"/>
              <w:rPr>
                <w:sz w:val="22"/>
                <w:szCs w:val="22"/>
              </w:rPr>
            </w:pPr>
            <w:r>
              <w:rPr>
                <w:rFonts w:cs="Calibri"/>
                <w:color w:val="000000"/>
                <w:sz w:val="22"/>
                <w:szCs w:val="22"/>
                <w:lang w:val="ga"/>
              </w:rPr>
              <w:t>9.3%</w:t>
            </w:r>
          </w:p>
        </w:tc>
      </w:tr>
      <w:tr w:rsidR="005057CB" w:rsidRPr="006F2FFB" w14:paraId="16B1BDE9" w14:textId="77777777" w:rsidTr="000B04F5">
        <w:trPr>
          <w:jc w:val="center"/>
        </w:trPr>
        <w:tc>
          <w:tcPr>
            <w:tcW w:w="1706" w:type="dxa"/>
          </w:tcPr>
          <w:p w14:paraId="765AC1AF" w14:textId="1FDDA852" w:rsidR="005057CB" w:rsidRPr="006F2FFB" w:rsidRDefault="005057CB" w:rsidP="005057CB">
            <w:pPr>
              <w:rPr>
                <w:sz w:val="22"/>
                <w:szCs w:val="22"/>
              </w:rPr>
            </w:pPr>
            <w:r>
              <w:rPr>
                <w:rFonts w:cs="Calibri"/>
                <w:color w:val="000000"/>
                <w:sz w:val="22"/>
                <w:szCs w:val="22"/>
                <w:lang w:val="ga"/>
              </w:rPr>
              <w:t>An tÚdarás Rialála Carthanas</w:t>
            </w:r>
          </w:p>
        </w:tc>
        <w:tc>
          <w:tcPr>
            <w:tcW w:w="1701" w:type="dxa"/>
          </w:tcPr>
          <w:p w14:paraId="12C53C41" w14:textId="54A356D4" w:rsidR="005057CB" w:rsidRPr="006F2FFB" w:rsidRDefault="005057CB" w:rsidP="005057CB">
            <w:pPr>
              <w:jc w:val="right"/>
              <w:rPr>
                <w:sz w:val="22"/>
                <w:szCs w:val="22"/>
              </w:rPr>
            </w:pPr>
            <w:r>
              <w:rPr>
                <w:rFonts w:cs="Calibri"/>
                <w:color w:val="000000"/>
                <w:sz w:val="22"/>
                <w:szCs w:val="22"/>
                <w:lang w:val="ga"/>
              </w:rPr>
              <w:t>41</w:t>
            </w:r>
          </w:p>
        </w:tc>
        <w:tc>
          <w:tcPr>
            <w:tcW w:w="1418" w:type="dxa"/>
          </w:tcPr>
          <w:p w14:paraId="33A54FD2" w14:textId="4EC46D08" w:rsidR="005057CB" w:rsidRPr="006F2FFB" w:rsidRDefault="005057CB" w:rsidP="005057CB">
            <w:pPr>
              <w:jc w:val="right"/>
              <w:rPr>
                <w:sz w:val="22"/>
                <w:szCs w:val="22"/>
              </w:rPr>
            </w:pPr>
            <w:r>
              <w:rPr>
                <w:rFonts w:cs="Calibri"/>
                <w:color w:val="000000"/>
                <w:sz w:val="22"/>
                <w:szCs w:val="22"/>
                <w:lang w:val="ga"/>
              </w:rPr>
              <w:t>1</w:t>
            </w:r>
          </w:p>
        </w:tc>
        <w:tc>
          <w:tcPr>
            <w:tcW w:w="1559" w:type="dxa"/>
          </w:tcPr>
          <w:p w14:paraId="67F40CB2" w14:textId="35ACF753" w:rsidR="005057CB" w:rsidRPr="006F2FFB" w:rsidRDefault="005057CB" w:rsidP="005057CB">
            <w:pPr>
              <w:jc w:val="right"/>
              <w:rPr>
                <w:sz w:val="22"/>
                <w:szCs w:val="22"/>
              </w:rPr>
            </w:pPr>
            <w:r>
              <w:rPr>
                <w:rFonts w:cs="Calibri"/>
                <w:color w:val="000000"/>
                <w:sz w:val="22"/>
                <w:szCs w:val="22"/>
                <w:lang w:val="ga"/>
              </w:rPr>
              <w:t>2.4%</w:t>
            </w:r>
          </w:p>
        </w:tc>
        <w:tc>
          <w:tcPr>
            <w:tcW w:w="1701" w:type="dxa"/>
          </w:tcPr>
          <w:p w14:paraId="1897E79A" w14:textId="1E982D66" w:rsidR="005057CB" w:rsidRPr="006F2FFB" w:rsidRDefault="00FB4E3E" w:rsidP="005057CB">
            <w:pPr>
              <w:jc w:val="right"/>
              <w:rPr>
                <w:sz w:val="22"/>
                <w:szCs w:val="22"/>
              </w:rPr>
            </w:pPr>
            <w:r>
              <w:rPr>
                <w:rFonts w:cs="Calibri"/>
                <w:color w:val="000000"/>
                <w:sz w:val="22"/>
                <w:szCs w:val="22"/>
                <w:lang w:val="ga"/>
              </w:rPr>
              <w:t>- </w:t>
            </w:r>
          </w:p>
        </w:tc>
        <w:tc>
          <w:tcPr>
            <w:tcW w:w="1559" w:type="dxa"/>
          </w:tcPr>
          <w:p w14:paraId="169CB7BE" w14:textId="4F127646" w:rsidR="005057CB" w:rsidRPr="006F2FFB" w:rsidRDefault="00FB4E3E" w:rsidP="005057CB">
            <w:pPr>
              <w:jc w:val="right"/>
              <w:rPr>
                <w:sz w:val="22"/>
                <w:szCs w:val="22"/>
              </w:rPr>
            </w:pPr>
            <w:r>
              <w:rPr>
                <w:rFonts w:cs="Calibri"/>
                <w:color w:val="000000"/>
                <w:sz w:val="22"/>
                <w:szCs w:val="22"/>
                <w:lang w:val="ga"/>
              </w:rPr>
              <w:t>- </w:t>
            </w:r>
          </w:p>
        </w:tc>
        <w:tc>
          <w:tcPr>
            <w:tcW w:w="1701" w:type="dxa"/>
          </w:tcPr>
          <w:p w14:paraId="1541C1BA" w14:textId="12503B91" w:rsidR="005057CB" w:rsidRPr="006F2FFB" w:rsidRDefault="00FB4E3E" w:rsidP="005057CB">
            <w:pPr>
              <w:jc w:val="right"/>
              <w:rPr>
                <w:sz w:val="22"/>
                <w:szCs w:val="22"/>
              </w:rPr>
            </w:pPr>
            <w:r>
              <w:rPr>
                <w:rFonts w:cs="Calibri"/>
                <w:color w:val="000000"/>
                <w:sz w:val="22"/>
                <w:szCs w:val="22"/>
                <w:lang w:val="ga"/>
              </w:rPr>
              <w:t>- </w:t>
            </w:r>
          </w:p>
        </w:tc>
      </w:tr>
      <w:tr w:rsidR="005057CB" w:rsidRPr="006F2FFB" w14:paraId="3C537720" w14:textId="77777777" w:rsidTr="000B04F5">
        <w:trPr>
          <w:jc w:val="center"/>
        </w:trPr>
        <w:tc>
          <w:tcPr>
            <w:tcW w:w="1706" w:type="dxa"/>
          </w:tcPr>
          <w:p w14:paraId="6EE1F876" w14:textId="158F208B" w:rsidR="005057CB" w:rsidRPr="006F2FFB" w:rsidRDefault="005057CB" w:rsidP="005057CB">
            <w:pPr>
              <w:rPr>
                <w:sz w:val="22"/>
                <w:szCs w:val="22"/>
              </w:rPr>
            </w:pPr>
            <w:r>
              <w:rPr>
                <w:rFonts w:cs="Calibri"/>
                <w:color w:val="000000"/>
                <w:sz w:val="22"/>
                <w:szCs w:val="22"/>
                <w:lang w:val="ga"/>
              </w:rPr>
              <w:t>Oifig an Phríomh-Aturnae Stáit</w:t>
            </w:r>
          </w:p>
        </w:tc>
        <w:tc>
          <w:tcPr>
            <w:tcW w:w="1701" w:type="dxa"/>
          </w:tcPr>
          <w:p w14:paraId="6E05C113" w14:textId="54CBB129" w:rsidR="005057CB" w:rsidRPr="006F2FFB" w:rsidRDefault="005057CB" w:rsidP="005057CB">
            <w:pPr>
              <w:jc w:val="right"/>
              <w:rPr>
                <w:sz w:val="22"/>
                <w:szCs w:val="22"/>
              </w:rPr>
            </w:pPr>
            <w:r>
              <w:rPr>
                <w:rFonts w:cs="Calibri"/>
                <w:color w:val="000000"/>
                <w:sz w:val="22"/>
                <w:szCs w:val="22"/>
                <w:lang w:val="ga"/>
              </w:rPr>
              <w:t>316</w:t>
            </w:r>
          </w:p>
        </w:tc>
        <w:tc>
          <w:tcPr>
            <w:tcW w:w="1418" w:type="dxa"/>
          </w:tcPr>
          <w:p w14:paraId="6DCCD9A1" w14:textId="47725C10" w:rsidR="005057CB" w:rsidRPr="006F2FFB" w:rsidRDefault="005057CB" w:rsidP="005057CB">
            <w:pPr>
              <w:jc w:val="right"/>
              <w:rPr>
                <w:sz w:val="22"/>
                <w:szCs w:val="22"/>
              </w:rPr>
            </w:pPr>
            <w:r>
              <w:rPr>
                <w:rFonts w:cs="Calibri"/>
                <w:color w:val="000000"/>
                <w:sz w:val="22"/>
                <w:szCs w:val="22"/>
                <w:lang w:val="ga"/>
              </w:rPr>
              <w:t>19</w:t>
            </w:r>
          </w:p>
        </w:tc>
        <w:tc>
          <w:tcPr>
            <w:tcW w:w="1559" w:type="dxa"/>
          </w:tcPr>
          <w:p w14:paraId="66C5ECB2" w14:textId="5F1BC7B1" w:rsidR="005057CB" w:rsidRPr="006F2FFB" w:rsidRDefault="005057CB" w:rsidP="005057CB">
            <w:pPr>
              <w:jc w:val="right"/>
              <w:rPr>
                <w:sz w:val="22"/>
                <w:szCs w:val="22"/>
              </w:rPr>
            </w:pPr>
            <w:r>
              <w:rPr>
                <w:rFonts w:cs="Calibri"/>
                <w:color w:val="000000"/>
                <w:sz w:val="22"/>
                <w:szCs w:val="22"/>
                <w:lang w:val="ga"/>
              </w:rPr>
              <w:t>6.0%</w:t>
            </w:r>
          </w:p>
        </w:tc>
        <w:tc>
          <w:tcPr>
            <w:tcW w:w="1701" w:type="dxa"/>
          </w:tcPr>
          <w:p w14:paraId="52166891" w14:textId="21C8B72C" w:rsidR="005057CB" w:rsidRPr="006F2FFB" w:rsidRDefault="005057CB" w:rsidP="005057CB">
            <w:pPr>
              <w:jc w:val="right"/>
              <w:rPr>
                <w:sz w:val="22"/>
                <w:szCs w:val="22"/>
              </w:rPr>
            </w:pPr>
            <w:r>
              <w:rPr>
                <w:rFonts w:cs="Calibri"/>
                <w:color w:val="000000"/>
                <w:sz w:val="22"/>
                <w:szCs w:val="22"/>
                <w:lang w:val="ga"/>
              </w:rPr>
              <w:t>323</w:t>
            </w:r>
          </w:p>
        </w:tc>
        <w:tc>
          <w:tcPr>
            <w:tcW w:w="1559" w:type="dxa"/>
          </w:tcPr>
          <w:p w14:paraId="40B65ED6" w14:textId="020248BB" w:rsidR="005057CB" w:rsidRPr="006F2FFB" w:rsidRDefault="005057CB" w:rsidP="005057CB">
            <w:pPr>
              <w:jc w:val="right"/>
              <w:rPr>
                <w:sz w:val="22"/>
                <w:szCs w:val="22"/>
              </w:rPr>
            </w:pPr>
            <w:r>
              <w:rPr>
                <w:rFonts w:cs="Calibri"/>
                <w:color w:val="000000"/>
                <w:sz w:val="22"/>
                <w:szCs w:val="22"/>
                <w:lang w:val="ga"/>
              </w:rPr>
              <w:t>23</w:t>
            </w:r>
          </w:p>
        </w:tc>
        <w:tc>
          <w:tcPr>
            <w:tcW w:w="1701" w:type="dxa"/>
          </w:tcPr>
          <w:p w14:paraId="2F61219E" w14:textId="24B3B98E" w:rsidR="005057CB" w:rsidRPr="006F2FFB" w:rsidRDefault="005057CB" w:rsidP="005057CB">
            <w:pPr>
              <w:jc w:val="right"/>
              <w:rPr>
                <w:sz w:val="22"/>
                <w:szCs w:val="22"/>
              </w:rPr>
            </w:pPr>
            <w:r>
              <w:rPr>
                <w:rFonts w:cs="Calibri"/>
                <w:color w:val="000000"/>
                <w:sz w:val="22"/>
                <w:szCs w:val="22"/>
                <w:lang w:val="ga"/>
              </w:rPr>
              <w:t>7.1%</w:t>
            </w:r>
          </w:p>
        </w:tc>
      </w:tr>
      <w:tr w:rsidR="00197C3B" w:rsidRPr="006F2FFB" w14:paraId="66035E00" w14:textId="77777777" w:rsidTr="000B04F5">
        <w:trPr>
          <w:jc w:val="center"/>
        </w:trPr>
        <w:tc>
          <w:tcPr>
            <w:tcW w:w="1706" w:type="dxa"/>
          </w:tcPr>
          <w:p w14:paraId="1A006FD3" w14:textId="550D1A99" w:rsidR="00197C3B" w:rsidRPr="006F2FFB" w:rsidRDefault="00197C3B" w:rsidP="00197C3B">
            <w:pPr>
              <w:rPr>
                <w:sz w:val="22"/>
                <w:szCs w:val="22"/>
              </w:rPr>
            </w:pPr>
            <w:r>
              <w:rPr>
                <w:sz w:val="22"/>
                <w:szCs w:val="22"/>
                <w:lang w:val="ga"/>
              </w:rPr>
              <w:t xml:space="preserve">An tÚdarás um Fhorfheidhmiú Corparáideach </w:t>
            </w:r>
            <w:r>
              <w:rPr>
                <w:b/>
                <w:bCs/>
                <w:sz w:val="22"/>
                <w:szCs w:val="22"/>
                <w:lang w:val="ga"/>
              </w:rPr>
              <w:t>(Is comhlacht poiblí nua é seo a cruthaíodh sa bhliain 2022.  Ní dhearna sé tuairisceán Chuid 5 sa bhliain 2021)</w:t>
            </w:r>
          </w:p>
        </w:tc>
        <w:tc>
          <w:tcPr>
            <w:tcW w:w="1701" w:type="dxa"/>
          </w:tcPr>
          <w:p w14:paraId="1DCEB757" w14:textId="3CA4CC13" w:rsidR="00197C3B" w:rsidRPr="006F2FFB" w:rsidRDefault="00197C3B" w:rsidP="00197C3B">
            <w:pPr>
              <w:jc w:val="right"/>
              <w:rPr>
                <w:sz w:val="22"/>
                <w:szCs w:val="22"/>
              </w:rPr>
            </w:pPr>
            <w:r>
              <w:rPr>
                <w:sz w:val="22"/>
                <w:szCs w:val="22"/>
                <w:lang w:val="ga"/>
              </w:rPr>
              <w:t>-</w:t>
            </w:r>
          </w:p>
        </w:tc>
        <w:tc>
          <w:tcPr>
            <w:tcW w:w="1418" w:type="dxa"/>
          </w:tcPr>
          <w:p w14:paraId="1E5C353C" w14:textId="1935C946" w:rsidR="00197C3B" w:rsidRPr="006F2FFB" w:rsidRDefault="00197C3B" w:rsidP="00197C3B">
            <w:pPr>
              <w:jc w:val="right"/>
              <w:rPr>
                <w:sz w:val="22"/>
                <w:szCs w:val="22"/>
              </w:rPr>
            </w:pPr>
            <w:r>
              <w:rPr>
                <w:sz w:val="22"/>
                <w:szCs w:val="22"/>
                <w:lang w:val="ga"/>
              </w:rPr>
              <w:t>-</w:t>
            </w:r>
          </w:p>
        </w:tc>
        <w:tc>
          <w:tcPr>
            <w:tcW w:w="1559" w:type="dxa"/>
          </w:tcPr>
          <w:p w14:paraId="52731437" w14:textId="3F774A23" w:rsidR="00197C3B" w:rsidRPr="006F2FFB" w:rsidRDefault="00197C3B" w:rsidP="00197C3B">
            <w:pPr>
              <w:jc w:val="right"/>
              <w:rPr>
                <w:sz w:val="22"/>
                <w:szCs w:val="22"/>
              </w:rPr>
            </w:pPr>
            <w:r>
              <w:rPr>
                <w:sz w:val="22"/>
                <w:szCs w:val="22"/>
                <w:lang w:val="ga"/>
              </w:rPr>
              <w:t>-</w:t>
            </w:r>
          </w:p>
        </w:tc>
        <w:tc>
          <w:tcPr>
            <w:tcW w:w="1701" w:type="dxa"/>
          </w:tcPr>
          <w:p w14:paraId="23DB5E85" w14:textId="0872373C" w:rsidR="00197C3B" w:rsidRPr="006F2FFB" w:rsidRDefault="00197C3B" w:rsidP="00197C3B">
            <w:pPr>
              <w:jc w:val="right"/>
              <w:rPr>
                <w:sz w:val="22"/>
                <w:szCs w:val="22"/>
              </w:rPr>
            </w:pPr>
            <w:r>
              <w:rPr>
                <w:sz w:val="22"/>
                <w:szCs w:val="22"/>
                <w:lang w:val="ga"/>
              </w:rPr>
              <w:t>39</w:t>
            </w:r>
          </w:p>
        </w:tc>
        <w:tc>
          <w:tcPr>
            <w:tcW w:w="1559" w:type="dxa"/>
          </w:tcPr>
          <w:p w14:paraId="31C5D44E" w14:textId="2245CEB2" w:rsidR="00197C3B" w:rsidRPr="006F2FFB" w:rsidRDefault="00197C3B" w:rsidP="00197C3B">
            <w:pPr>
              <w:jc w:val="right"/>
              <w:rPr>
                <w:sz w:val="22"/>
                <w:szCs w:val="22"/>
              </w:rPr>
            </w:pPr>
            <w:r>
              <w:rPr>
                <w:sz w:val="22"/>
                <w:szCs w:val="22"/>
                <w:lang w:val="ga"/>
              </w:rPr>
              <w:t>2</w:t>
            </w:r>
          </w:p>
        </w:tc>
        <w:tc>
          <w:tcPr>
            <w:tcW w:w="1701" w:type="dxa"/>
          </w:tcPr>
          <w:p w14:paraId="0D6E92D3" w14:textId="71CD5AFD" w:rsidR="00197C3B" w:rsidRPr="006F2FFB" w:rsidRDefault="00197C3B" w:rsidP="00197C3B">
            <w:pPr>
              <w:jc w:val="right"/>
              <w:rPr>
                <w:sz w:val="22"/>
                <w:szCs w:val="22"/>
              </w:rPr>
            </w:pPr>
            <w:r>
              <w:rPr>
                <w:sz w:val="22"/>
                <w:szCs w:val="22"/>
                <w:lang w:val="ga"/>
              </w:rPr>
              <w:t>5.1%</w:t>
            </w:r>
          </w:p>
        </w:tc>
      </w:tr>
      <w:tr w:rsidR="00A4290E" w:rsidRPr="006F2FFB" w14:paraId="1EAA8725" w14:textId="77777777" w:rsidTr="000B04F5">
        <w:trPr>
          <w:jc w:val="center"/>
        </w:trPr>
        <w:tc>
          <w:tcPr>
            <w:tcW w:w="1706" w:type="dxa"/>
            <w:vAlign w:val="bottom"/>
          </w:tcPr>
          <w:p w14:paraId="452BFF1B" w14:textId="1D870ADA" w:rsidR="00A4290E" w:rsidRPr="006F2FFB" w:rsidRDefault="00A4290E" w:rsidP="00A4290E">
            <w:pPr>
              <w:spacing w:after="0"/>
              <w:rPr>
                <w:rFonts w:cs="Calibri"/>
                <w:color w:val="000000"/>
                <w:sz w:val="22"/>
                <w:szCs w:val="22"/>
              </w:rPr>
            </w:pPr>
            <w:bookmarkStart w:id="79" w:name="_Hlk145921203"/>
            <w:r>
              <w:rPr>
                <w:rFonts w:cs="Calibri"/>
                <w:color w:val="000000"/>
                <w:sz w:val="22"/>
                <w:szCs w:val="22"/>
                <w:lang w:val="ga"/>
              </w:rPr>
              <w:t>Seirbhís Chúirteanna na hÉireann</w:t>
            </w:r>
          </w:p>
        </w:tc>
        <w:tc>
          <w:tcPr>
            <w:tcW w:w="1701" w:type="dxa"/>
          </w:tcPr>
          <w:p w14:paraId="43E67C22" w14:textId="78B175EF" w:rsidR="00A4290E" w:rsidRPr="00A4290E" w:rsidRDefault="00A4290E" w:rsidP="00A4290E">
            <w:pPr>
              <w:jc w:val="right"/>
              <w:rPr>
                <w:rFonts w:cs="Calibri"/>
                <w:color w:val="000000"/>
                <w:sz w:val="22"/>
                <w:szCs w:val="22"/>
              </w:rPr>
            </w:pPr>
            <w:r>
              <w:rPr>
                <w:rFonts w:cs="Calibri"/>
                <w:color w:val="000000"/>
                <w:sz w:val="22"/>
                <w:szCs w:val="22"/>
                <w:lang w:val="ga"/>
              </w:rPr>
              <w:t>1,153</w:t>
            </w:r>
          </w:p>
        </w:tc>
        <w:tc>
          <w:tcPr>
            <w:tcW w:w="1418" w:type="dxa"/>
          </w:tcPr>
          <w:p w14:paraId="7C350F92" w14:textId="4B06521A" w:rsidR="00A4290E" w:rsidRPr="00A4290E" w:rsidRDefault="00A4290E" w:rsidP="00A4290E">
            <w:pPr>
              <w:spacing w:after="0"/>
              <w:jc w:val="right"/>
              <w:rPr>
                <w:rFonts w:cs="Calibri"/>
                <w:color w:val="000000"/>
                <w:sz w:val="22"/>
                <w:szCs w:val="22"/>
              </w:rPr>
            </w:pPr>
            <w:r>
              <w:rPr>
                <w:rFonts w:cs="Calibri"/>
                <w:color w:val="000000"/>
                <w:sz w:val="22"/>
                <w:szCs w:val="22"/>
                <w:lang w:val="ga"/>
              </w:rPr>
              <w:t>28</w:t>
            </w:r>
          </w:p>
        </w:tc>
        <w:tc>
          <w:tcPr>
            <w:tcW w:w="1559" w:type="dxa"/>
          </w:tcPr>
          <w:p w14:paraId="1AA35179" w14:textId="4C888816" w:rsidR="00A4290E" w:rsidRPr="00A4290E" w:rsidRDefault="00A4290E" w:rsidP="00A4290E">
            <w:pPr>
              <w:jc w:val="right"/>
              <w:rPr>
                <w:rFonts w:cs="Calibri"/>
                <w:color w:val="000000"/>
                <w:sz w:val="22"/>
                <w:szCs w:val="22"/>
              </w:rPr>
            </w:pPr>
            <w:r>
              <w:rPr>
                <w:rFonts w:cs="Calibri"/>
                <w:color w:val="000000"/>
                <w:sz w:val="22"/>
                <w:szCs w:val="22"/>
                <w:lang w:val="ga"/>
              </w:rPr>
              <w:t>2.4%</w:t>
            </w:r>
          </w:p>
        </w:tc>
        <w:tc>
          <w:tcPr>
            <w:tcW w:w="1701" w:type="dxa"/>
          </w:tcPr>
          <w:p w14:paraId="06794522" w14:textId="55FACEBB" w:rsidR="00A4290E" w:rsidRDefault="00A4290E" w:rsidP="00A4290E">
            <w:pPr>
              <w:jc w:val="right"/>
              <w:rPr>
                <w:rFonts w:cs="Calibri"/>
                <w:color w:val="000000"/>
                <w:sz w:val="22"/>
                <w:szCs w:val="22"/>
              </w:rPr>
            </w:pPr>
            <w:r>
              <w:rPr>
                <w:rFonts w:cs="Calibri"/>
                <w:color w:val="000000"/>
                <w:sz w:val="22"/>
                <w:szCs w:val="22"/>
                <w:lang w:val="ga"/>
              </w:rPr>
              <w:t>1258</w:t>
            </w:r>
          </w:p>
        </w:tc>
        <w:tc>
          <w:tcPr>
            <w:tcW w:w="1559" w:type="dxa"/>
          </w:tcPr>
          <w:p w14:paraId="755DE956" w14:textId="6BB15579" w:rsidR="00A4290E" w:rsidRDefault="00A4290E" w:rsidP="00A4290E">
            <w:pPr>
              <w:jc w:val="right"/>
              <w:rPr>
                <w:rFonts w:cs="Calibri"/>
                <w:color w:val="000000"/>
                <w:sz w:val="22"/>
                <w:szCs w:val="22"/>
              </w:rPr>
            </w:pPr>
            <w:r>
              <w:rPr>
                <w:rFonts w:cs="Calibri"/>
                <w:color w:val="000000"/>
                <w:sz w:val="22"/>
                <w:szCs w:val="22"/>
                <w:lang w:val="ga"/>
              </w:rPr>
              <w:t>88</w:t>
            </w:r>
          </w:p>
        </w:tc>
        <w:tc>
          <w:tcPr>
            <w:tcW w:w="1701" w:type="dxa"/>
          </w:tcPr>
          <w:p w14:paraId="2ECD8D17" w14:textId="5349C814" w:rsidR="00A4290E" w:rsidRDefault="00A4290E" w:rsidP="00A4290E">
            <w:pPr>
              <w:jc w:val="right"/>
              <w:rPr>
                <w:rFonts w:cs="Calibri"/>
                <w:color w:val="000000"/>
                <w:sz w:val="22"/>
                <w:szCs w:val="22"/>
              </w:rPr>
            </w:pPr>
            <w:r>
              <w:rPr>
                <w:rFonts w:cs="Calibri"/>
                <w:color w:val="000000"/>
                <w:sz w:val="22"/>
                <w:szCs w:val="22"/>
                <w:lang w:val="ga"/>
              </w:rPr>
              <w:t>7.0%</w:t>
            </w:r>
          </w:p>
        </w:tc>
      </w:tr>
      <w:bookmarkEnd w:id="79"/>
      <w:tr w:rsidR="00A4290E" w:rsidRPr="006F2FFB" w14:paraId="7B66E743" w14:textId="77777777" w:rsidTr="000B04F5">
        <w:trPr>
          <w:jc w:val="center"/>
        </w:trPr>
        <w:tc>
          <w:tcPr>
            <w:tcW w:w="1706" w:type="dxa"/>
            <w:vAlign w:val="bottom"/>
          </w:tcPr>
          <w:p w14:paraId="44DFF06C" w14:textId="12F5A5B7" w:rsidR="00A4290E" w:rsidRPr="006F2FFB" w:rsidRDefault="008363FF" w:rsidP="00A4290E">
            <w:pPr>
              <w:spacing w:after="0"/>
              <w:rPr>
                <w:sz w:val="22"/>
                <w:szCs w:val="22"/>
              </w:rPr>
            </w:pPr>
            <w:r>
              <w:rPr>
                <w:rFonts w:cs="Calibri"/>
                <w:color w:val="000000"/>
                <w:sz w:val="22"/>
                <w:szCs w:val="22"/>
                <w:lang w:val="ga"/>
              </w:rPr>
              <w:t xml:space="preserve">*Cigireacht an Gharda Síochána </w:t>
            </w:r>
          </w:p>
        </w:tc>
        <w:tc>
          <w:tcPr>
            <w:tcW w:w="1701" w:type="dxa"/>
          </w:tcPr>
          <w:p w14:paraId="5E173746" w14:textId="08E7F2BF" w:rsidR="00A4290E" w:rsidRPr="006F2FFB" w:rsidRDefault="00A4290E" w:rsidP="00A4290E">
            <w:pPr>
              <w:jc w:val="right"/>
              <w:rPr>
                <w:rFonts w:cs="Arial"/>
                <w:sz w:val="22"/>
                <w:szCs w:val="22"/>
              </w:rPr>
            </w:pPr>
            <w:r>
              <w:rPr>
                <w:rFonts w:cs="Calibri"/>
                <w:color w:val="000000"/>
                <w:sz w:val="22"/>
                <w:szCs w:val="22"/>
                <w:lang w:val="ga"/>
              </w:rPr>
              <w:t>12</w:t>
            </w:r>
          </w:p>
        </w:tc>
        <w:tc>
          <w:tcPr>
            <w:tcW w:w="1418" w:type="dxa"/>
          </w:tcPr>
          <w:p w14:paraId="3BB062AE" w14:textId="66FB26BF" w:rsidR="00A4290E" w:rsidRPr="006F2FFB" w:rsidRDefault="00A4290E" w:rsidP="00A4290E">
            <w:pPr>
              <w:spacing w:after="0"/>
              <w:jc w:val="right"/>
              <w:rPr>
                <w:rFonts w:cs="Arial"/>
                <w:sz w:val="22"/>
                <w:szCs w:val="22"/>
              </w:rPr>
            </w:pPr>
            <w:r>
              <w:rPr>
                <w:rFonts w:cs="Calibri"/>
                <w:color w:val="000000"/>
                <w:sz w:val="22"/>
                <w:szCs w:val="22"/>
                <w:lang w:val="ga"/>
              </w:rPr>
              <w:t>0</w:t>
            </w:r>
          </w:p>
        </w:tc>
        <w:tc>
          <w:tcPr>
            <w:tcW w:w="1559" w:type="dxa"/>
          </w:tcPr>
          <w:p w14:paraId="78C6766A" w14:textId="437D752C" w:rsidR="00A4290E" w:rsidRPr="006F2FFB" w:rsidRDefault="00A4290E" w:rsidP="00A4290E">
            <w:pPr>
              <w:jc w:val="right"/>
              <w:rPr>
                <w:rFonts w:cs="Arial"/>
                <w:sz w:val="22"/>
                <w:szCs w:val="22"/>
              </w:rPr>
            </w:pPr>
            <w:r>
              <w:rPr>
                <w:rFonts w:cs="Calibri"/>
                <w:color w:val="000000"/>
                <w:sz w:val="22"/>
                <w:szCs w:val="22"/>
                <w:lang w:val="ga"/>
              </w:rPr>
              <w:t>0.0%</w:t>
            </w:r>
          </w:p>
        </w:tc>
        <w:tc>
          <w:tcPr>
            <w:tcW w:w="1701" w:type="dxa"/>
          </w:tcPr>
          <w:p w14:paraId="70B9AC1A" w14:textId="116C2F7E" w:rsidR="00A4290E" w:rsidRPr="006F2FFB" w:rsidRDefault="00A4290E" w:rsidP="00A4290E">
            <w:pPr>
              <w:jc w:val="right"/>
              <w:rPr>
                <w:rFonts w:cs="Arial"/>
                <w:sz w:val="22"/>
                <w:szCs w:val="22"/>
              </w:rPr>
            </w:pPr>
            <w:r>
              <w:rPr>
                <w:rFonts w:cs="Calibri"/>
                <w:color w:val="000000"/>
                <w:sz w:val="22"/>
                <w:szCs w:val="22"/>
                <w:lang w:val="ga"/>
              </w:rPr>
              <w:t>12</w:t>
            </w:r>
          </w:p>
        </w:tc>
        <w:tc>
          <w:tcPr>
            <w:tcW w:w="1559" w:type="dxa"/>
          </w:tcPr>
          <w:p w14:paraId="1E0C5B5B" w14:textId="6D9D8D83" w:rsidR="00A4290E" w:rsidRPr="006F2FFB" w:rsidRDefault="00A4290E" w:rsidP="00A4290E">
            <w:pPr>
              <w:jc w:val="right"/>
              <w:rPr>
                <w:rFonts w:cs="Arial"/>
                <w:sz w:val="22"/>
                <w:szCs w:val="22"/>
              </w:rPr>
            </w:pPr>
            <w:r>
              <w:rPr>
                <w:rFonts w:cs="Calibri"/>
                <w:color w:val="000000"/>
                <w:sz w:val="22"/>
                <w:szCs w:val="22"/>
                <w:lang w:val="ga"/>
              </w:rPr>
              <w:t>0</w:t>
            </w:r>
          </w:p>
        </w:tc>
        <w:tc>
          <w:tcPr>
            <w:tcW w:w="1701" w:type="dxa"/>
          </w:tcPr>
          <w:p w14:paraId="5B1979EA" w14:textId="6C4A79D1" w:rsidR="00A4290E" w:rsidRPr="006F2FFB" w:rsidRDefault="00A4290E" w:rsidP="00A4290E">
            <w:pPr>
              <w:jc w:val="right"/>
              <w:rPr>
                <w:rFonts w:cs="Arial"/>
                <w:sz w:val="22"/>
                <w:szCs w:val="22"/>
              </w:rPr>
            </w:pPr>
            <w:r>
              <w:rPr>
                <w:rFonts w:cs="Calibri"/>
                <w:color w:val="000000"/>
                <w:sz w:val="22"/>
                <w:szCs w:val="22"/>
                <w:lang w:val="ga"/>
              </w:rPr>
              <w:t>0.0%</w:t>
            </w:r>
          </w:p>
        </w:tc>
      </w:tr>
      <w:tr w:rsidR="00A4290E" w:rsidRPr="006F2FFB" w14:paraId="47ADA48D" w14:textId="77777777" w:rsidTr="000B04F5">
        <w:trPr>
          <w:jc w:val="center"/>
        </w:trPr>
        <w:tc>
          <w:tcPr>
            <w:tcW w:w="1706" w:type="dxa"/>
            <w:vAlign w:val="bottom"/>
          </w:tcPr>
          <w:p w14:paraId="4CEB9A16" w14:textId="74E32B7A" w:rsidR="00A4290E" w:rsidRPr="006F2FFB" w:rsidRDefault="008363FF" w:rsidP="00A4290E">
            <w:pPr>
              <w:spacing w:after="120"/>
              <w:rPr>
                <w:sz w:val="22"/>
                <w:szCs w:val="22"/>
              </w:rPr>
            </w:pPr>
            <w:r>
              <w:rPr>
                <w:rFonts w:cs="Calibri"/>
                <w:color w:val="000000"/>
                <w:sz w:val="22"/>
                <w:szCs w:val="22"/>
                <w:lang w:val="ga"/>
              </w:rPr>
              <w:t>*Coimisiún Ombudsman an Gharda Síochána</w:t>
            </w:r>
          </w:p>
        </w:tc>
        <w:tc>
          <w:tcPr>
            <w:tcW w:w="1701" w:type="dxa"/>
          </w:tcPr>
          <w:p w14:paraId="0583142A" w14:textId="39777642" w:rsidR="00A4290E" w:rsidRPr="006F2FFB" w:rsidRDefault="00A4290E" w:rsidP="00A4290E">
            <w:pPr>
              <w:jc w:val="right"/>
              <w:rPr>
                <w:rFonts w:cs="Arial"/>
                <w:sz w:val="22"/>
                <w:szCs w:val="22"/>
              </w:rPr>
            </w:pPr>
            <w:r>
              <w:rPr>
                <w:rFonts w:cs="Calibri"/>
                <w:color w:val="000000"/>
                <w:sz w:val="22"/>
                <w:szCs w:val="22"/>
                <w:lang w:val="ga"/>
              </w:rPr>
              <w:t>130</w:t>
            </w:r>
          </w:p>
        </w:tc>
        <w:tc>
          <w:tcPr>
            <w:tcW w:w="1418" w:type="dxa"/>
          </w:tcPr>
          <w:p w14:paraId="10A93E64" w14:textId="2E8025ED" w:rsidR="00A4290E" w:rsidRPr="006F2FFB" w:rsidRDefault="00A4290E" w:rsidP="00A4290E">
            <w:pPr>
              <w:spacing w:after="0"/>
              <w:jc w:val="right"/>
              <w:rPr>
                <w:rFonts w:cs="Arial"/>
                <w:sz w:val="22"/>
                <w:szCs w:val="22"/>
              </w:rPr>
            </w:pPr>
            <w:r>
              <w:rPr>
                <w:rFonts w:cs="Calibri"/>
                <w:color w:val="000000"/>
                <w:sz w:val="22"/>
                <w:szCs w:val="22"/>
                <w:lang w:val="ga"/>
              </w:rPr>
              <w:t>12</w:t>
            </w:r>
          </w:p>
        </w:tc>
        <w:tc>
          <w:tcPr>
            <w:tcW w:w="1559" w:type="dxa"/>
          </w:tcPr>
          <w:p w14:paraId="47CB3F78" w14:textId="5F65428D" w:rsidR="00A4290E" w:rsidRPr="006F2FFB" w:rsidRDefault="00A4290E" w:rsidP="00A4290E">
            <w:pPr>
              <w:jc w:val="right"/>
              <w:rPr>
                <w:rFonts w:cs="Arial"/>
                <w:sz w:val="22"/>
                <w:szCs w:val="22"/>
              </w:rPr>
            </w:pPr>
            <w:r>
              <w:rPr>
                <w:rFonts w:cs="Calibri"/>
                <w:color w:val="000000"/>
                <w:sz w:val="22"/>
                <w:szCs w:val="22"/>
                <w:lang w:val="ga"/>
              </w:rPr>
              <w:t>9.2%</w:t>
            </w:r>
          </w:p>
        </w:tc>
        <w:tc>
          <w:tcPr>
            <w:tcW w:w="1701" w:type="dxa"/>
          </w:tcPr>
          <w:p w14:paraId="5B4EC0D3" w14:textId="7E66A77F" w:rsidR="00A4290E" w:rsidRPr="006F2FFB" w:rsidRDefault="00A4290E" w:rsidP="00A4290E">
            <w:pPr>
              <w:jc w:val="right"/>
              <w:rPr>
                <w:rFonts w:cs="Arial"/>
                <w:sz w:val="22"/>
                <w:szCs w:val="22"/>
              </w:rPr>
            </w:pPr>
            <w:r>
              <w:rPr>
                <w:rFonts w:cs="Calibri"/>
                <w:color w:val="000000"/>
                <w:sz w:val="22"/>
                <w:szCs w:val="22"/>
                <w:lang w:val="ga"/>
              </w:rPr>
              <w:t>156</w:t>
            </w:r>
          </w:p>
        </w:tc>
        <w:tc>
          <w:tcPr>
            <w:tcW w:w="1559" w:type="dxa"/>
          </w:tcPr>
          <w:p w14:paraId="77483D82" w14:textId="504AC30A" w:rsidR="00A4290E" w:rsidRPr="006F2FFB" w:rsidRDefault="00A4290E" w:rsidP="00A4290E">
            <w:pPr>
              <w:jc w:val="right"/>
              <w:rPr>
                <w:rFonts w:cs="Arial"/>
                <w:sz w:val="22"/>
                <w:szCs w:val="22"/>
              </w:rPr>
            </w:pPr>
            <w:r>
              <w:rPr>
                <w:rFonts w:cs="Calibri"/>
                <w:color w:val="000000"/>
                <w:sz w:val="22"/>
                <w:szCs w:val="22"/>
                <w:lang w:val="ga"/>
              </w:rPr>
              <w:t>16</w:t>
            </w:r>
          </w:p>
        </w:tc>
        <w:tc>
          <w:tcPr>
            <w:tcW w:w="1701" w:type="dxa"/>
          </w:tcPr>
          <w:p w14:paraId="296CA2C8" w14:textId="003032AD" w:rsidR="00A4290E" w:rsidRPr="006F2FFB" w:rsidRDefault="00A4290E" w:rsidP="00A4290E">
            <w:pPr>
              <w:jc w:val="right"/>
              <w:rPr>
                <w:rFonts w:cs="Arial"/>
                <w:sz w:val="22"/>
                <w:szCs w:val="22"/>
              </w:rPr>
            </w:pPr>
            <w:r>
              <w:rPr>
                <w:rFonts w:cs="Calibri"/>
                <w:color w:val="000000"/>
                <w:sz w:val="22"/>
                <w:szCs w:val="22"/>
                <w:lang w:val="ga"/>
              </w:rPr>
              <w:t>10.3%</w:t>
            </w:r>
          </w:p>
        </w:tc>
      </w:tr>
      <w:tr w:rsidR="00A4290E" w:rsidRPr="006F2FFB" w14:paraId="4EBDEAF1" w14:textId="77777777" w:rsidTr="000B04F5">
        <w:trPr>
          <w:jc w:val="center"/>
        </w:trPr>
        <w:tc>
          <w:tcPr>
            <w:tcW w:w="1706" w:type="dxa"/>
            <w:vAlign w:val="bottom"/>
          </w:tcPr>
          <w:p w14:paraId="3B5D95E3" w14:textId="229A8DDD" w:rsidR="00A4290E" w:rsidRPr="006F2FFB" w:rsidRDefault="00A4290E" w:rsidP="00A4290E">
            <w:pPr>
              <w:spacing w:after="120"/>
              <w:rPr>
                <w:rFonts w:cs="Arial"/>
                <w:sz w:val="22"/>
                <w:szCs w:val="22"/>
              </w:rPr>
            </w:pPr>
            <w:r>
              <w:rPr>
                <w:rFonts w:cs="Calibri"/>
                <w:color w:val="000000"/>
                <w:sz w:val="22"/>
                <w:szCs w:val="22"/>
                <w:lang w:val="ga"/>
              </w:rPr>
              <w:t>Tithe an Oireachtais</w:t>
            </w:r>
          </w:p>
        </w:tc>
        <w:tc>
          <w:tcPr>
            <w:tcW w:w="1701" w:type="dxa"/>
          </w:tcPr>
          <w:p w14:paraId="104C090C" w14:textId="6B8D4E52" w:rsidR="00A4290E" w:rsidRPr="006F2FFB" w:rsidRDefault="00A4290E" w:rsidP="00A4290E">
            <w:pPr>
              <w:jc w:val="right"/>
              <w:rPr>
                <w:rFonts w:cs="Arial"/>
                <w:sz w:val="22"/>
                <w:szCs w:val="22"/>
              </w:rPr>
            </w:pPr>
            <w:r>
              <w:rPr>
                <w:rFonts w:cs="Calibri"/>
                <w:color w:val="000000"/>
                <w:sz w:val="22"/>
                <w:szCs w:val="22"/>
                <w:lang w:val="ga"/>
              </w:rPr>
              <w:t>655</w:t>
            </w:r>
          </w:p>
        </w:tc>
        <w:tc>
          <w:tcPr>
            <w:tcW w:w="1418" w:type="dxa"/>
          </w:tcPr>
          <w:p w14:paraId="5003D432" w14:textId="2A92A717" w:rsidR="00A4290E" w:rsidRPr="006F2FFB" w:rsidRDefault="00A4290E" w:rsidP="00A4290E">
            <w:pPr>
              <w:spacing w:after="0"/>
              <w:jc w:val="right"/>
              <w:rPr>
                <w:rFonts w:cs="Arial"/>
                <w:sz w:val="22"/>
                <w:szCs w:val="22"/>
              </w:rPr>
            </w:pPr>
            <w:r>
              <w:rPr>
                <w:rFonts w:cs="Calibri"/>
                <w:color w:val="000000"/>
                <w:sz w:val="22"/>
                <w:szCs w:val="22"/>
                <w:lang w:val="ga"/>
              </w:rPr>
              <w:t>36</w:t>
            </w:r>
          </w:p>
        </w:tc>
        <w:tc>
          <w:tcPr>
            <w:tcW w:w="1559" w:type="dxa"/>
          </w:tcPr>
          <w:p w14:paraId="3DF05CE7" w14:textId="26143236" w:rsidR="00A4290E" w:rsidRPr="006F2FFB" w:rsidRDefault="00A4290E" w:rsidP="00A4290E">
            <w:pPr>
              <w:jc w:val="right"/>
              <w:rPr>
                <w:rFonts w:cs="Arial"/>
                <w:sz w:val="22"/>
                <w:szCs w:val="22"/>
              </w:rPr>
            </w:pPr>
            <w:r>
              <w:rPr>
                <w:rFonts w:cs="Calibri"/>
                <w:color w:val="000000"/>
                <w:sz w:val="22"/>
                <w:szCs w:val="22"/>
                <w:lang w:val="ga"/>
              </w:rPr>
              <w:t>5.5%</w:t>
            </w:r>
          </w:p>
        </w:tc>
        <w:tc>
          <w:tcPr>
            <w:tcW w:w="1701" w:type="dxa"/>
          </w:tcPr>
          <w:p w14:paraId="4928E27C" w14:textId="4334B237" w:rsidR="00A4290E" w:rsidRPr="006F2FFB" w:rsidRDefault="00A4290E" w:rsidP="00A4290E">
            <w:pPr>
              <w:jc w:val="right"/>
              <w:rPr>
                <w:rFonts w:cs="Calibri"/>
                <w:color w:val="000000"/>
                <w:sz w:val="22"/>
                <w:szCs w:val="22"/>
              </w:rPr>
            </w:pPr>
            <w:r>
              <w:rPr>
                <w:rFonts w:cs="Calibri"/>
                <w:color w:val="000000"/>
                <w:sz w:val="22"/>
                <w:szCs w:val="22"/>
                <w:lang w:val="ga"/>
              </w:rPr>
              <w:t>692</w:t>
            </w:r>
          </w:p>
        </w:tc>
        <w:tc>
          <w:tcPr>
            <w:tcW w:w="1559" w:type="dxa"/>
          </w:tcPr>
          <w:p w14:paraId="40857D59" w14:textId="5F293890" w:rsidR="00A4290E" w:rsidRPr="006F2FFB" w:rsidRDefault="00A4290E" w:rsidP="00A4290E">
            <w:pPr>
              <w:jc w:val="right"/>
              <w:rPr>
                <w:rFonts w:cs="Calibri"/>
                <w:color w:val="000000"/>
                <w:sz w:val="22"/>
                <w:szCs w:val="22"/>
              </w:rPr>
            </w:pPr>
            <w:r>
              <w:rPr>
                <w:rFonts w:cs="Calibri"/>
                <w:color w:val="000000"/>
                <w:sz w:val="22"/>
                <w:szCs w:val="22"/>
                <w:lang w:val="ga"/>
              </w:rPr>
              <w:t>39</w:t>
            </w:r>
          </w:p>
        </w:tc>
        <w:tc>
          <w:tcPr>
            <w:tcW w:w="1701" w:type="dxa"/>
          </w:tcPr>
          <w:p w14:paraId="5C26920D" w14:textId="5414D21D" w:rsidR="00A4290E" w:rsidRPr="006F2FFB" w:rsidRDefault="00A4290E" w:rsidP="00A4290E">
            <w:pPr>
              <w:jc w:val="right"/>
              <w:rPr>
                <w:rFonts w:cs="Calibri"/>
                <w:color w:val="000000"/>
                <w:sz w:val="22"/>
                <w:szCs w:val="22"/>
              </w:rPr>
            </w:pPr>
            <w:r>
              <w:rPr>
                <w:rFonts w:cs="Calibri"/>
                <w:color w:val="000000"/>
                <w:sz w:val="22"/>
                <w:szCs w:val="22"/>
                <w:lang w:val="ga"/>
              </w:rPr>
              <w:t>5.6%</w:t>
            </w:r>
          </w:p>
        </w:tc>
      </w:tr>
      <w:tr w:rsidR="00A4290E" w:rsidRPr="006F2FFB" w14:paraId="778E15AF" w14:textId="77777777" w:rsidTr="000B04F5">
        <w:trPr>
          <w:jc w:val="center"/>
        </w:trPr>
        <w:tc>
          <w:tcPr>
            <w:tcW w:w="1706" w:type="dxa"/>
            <w:vAlign w:val="bottom"/>
          </w:tcPr>
          <w:p w14:paraId="455DA611" w14:textId="4A07EAE5" w:rsidR="00A4290E" w:rsidRPr="006F2FFB" w:rsidRDefault="008363FF" w:rsidP="00A4290E">
            <w:pPr>
              <w:spacing w:after="120"/>
              <w:rPr>
                <w:sz w:val="22"/>
                <w:szCs w:val="22"/>
              </w:rPr>
            </w:pPr>
            <w:r>
              <w:rPr>
                <w:rFonts w:cs="Calibri"/>
                <w:b/>
                <w:bCs/>
                <w:color w:val="000000"/>
                <w:sz w:val="22"/>
                <w:szCs w:val="22"/>
                <w:lang w:val="ga"/>
              </w:rPr>
              <w:t>*</w:t>
            </w:r>
            <w:r>
              <w:rPr>
                <w:rFonts w:cs="Calibri"/>
                <w:color w:val="000000"/>
                <w:sz w:val="22"/>
                <w:szCs w:val="22"/>
                <w:lang w:val="ga"/>
              </w:rPr>
              <w:t>Seirbhís Dócmhainneachta na hÉireann</w:t>
            </w:r>
          </w:p>
        </w:tc>
        <w:tc>
          <w:tcPr>
            <w:tcW w:w="1701" w:type="dxa"/>
          </w:tcPr>
          <w:p w14:paraId="34B8B0A5" w14:textId="25294405" w:rsidR="00A4290E" w:rsidRPr="006F2FFB" w:rsidRDefault="00A4290E" w:rsidP="00A4290E">
            <w:pPr>
              <w:jc w:val="right"/>
              <w:rPr>
                <w:sz w:val="22"/>
                <w:szCs w:val="22"/>
              </w:rPr>
            </w:pPr>
            <w:r>
              <w:rPr>
                <w:rFonts w:cs="Calibri"/>
                <w:color w:val="000000"/>
                <w:sz w:val="22"/>
                <w:szCs w:val="22"/>
                <w:lang w:val="ga"/>
              </w:rPr>
              <w:t>80</w:t>
            </w:r>
          </w:p>
        </w:tc>
        <w:tc>
          <w:tcPr>
            <w:tcW w:w="1418" w:type="dxa"/>
          </w:tcPr>
          <w:p w14:paraId="2C5D74F2" w14:textId="53A3807F" w:rsidR="00A4290E" w:rsidRPr="006F2FFB" w:rsidRDefault="00A4290E" w:rsidP="00A4290E">
            <w:pPr>
              <w:spacing w:after="0"/>
              <w:jc w:val="right"/>
              <w:rPr>
                <w:sz w:val="22"/>
                <w:szCs w:val="22"/>
              </w:rPr>
            </w:pPr>
            <w:r>
              <w:rPr>
                <w:rFonts w:cs="Calibri"/>
                <w:color w:val="000000"/>
                <w:sz w:val="22"/>
                <w:szCs w:val="22"/>
                <w:lang w:val="ga"/>
              </w:rPr>
              <w:t>7</w:t>
            </w:r>
          </w:p>
        </w:tc>
        <w:tc>
          <w:tcPr>
            <w:tcW w:w="1559" w:type="dxa"/>
          </w:tcPr>
          <w:p w14:paraId="185C3AF0" w14:textId="13BBB219" w:rsidR="00A4290E" w:rsidRPr="006F2FFB" w:rsidRDefault="00A4290E" w:rsidP="00A4290E">
            <w:pPr>
              <w:jc w:val="right"/>
              <w:rPr>
                <w:sz w:val="22"/>
                <w:szCs w:val="22"/>
              </w:rPr>
            </w:pPr>
            <w:r>
              <w:rPr>
                <w:rFonts w:cs="Calibri"/>
                <w:color w:val="000000"/>
                <w:sz w:val="22"/>
                <w:szCs w:val="22"/>
                <w:lang w:val="ga"/>
              </w:rPr>
              <w:t>8.8%</w:t>
            </w:r>
          </w:p>
        </w:tc>
        <w:tc>
          <w:tcPr>
            <w:tcW w:w="1701" w:type="dxa"/>
          </w:tcPr>
          <w:p w14:paraId="254DC68E" w14:textId="57A5C437" w:rsidR="00A4290E" w:rsidRPr="006F2FFB" w:rsidRDefault="00A4290E" w:rsidP="00A4290E">
            <w:pPr>
              <w:jc w:val="right"/>
              <w:rPr>
                <w:rFonts w:cs="Calibri"/>
                <w:color w:val="000000"/>
                <w:sz w:val="22"/>
                <w:szCs w:val="22"/>
              </w:rPr>
            </w:pPr>
            <w:r>
              <w:rPr>
                <w:rFonts w:cs="Calibri"/>
                <w:color w:val="000000"/>
                <w:sz w:val="22"/>
                <w:szCs w:val="22"/>
                <w:lang w:val="ga"/>
              </w:rPr>
              <w:t>80</w:t>
            </w:r>
          </w:p>
        </w:tc>
        <w:tc>
          <w:tcPr>
            <w:tcW w:w="1559" w:type="dxa"/>
          </w:tcPr>
          <w:p w14:paraId="33C7065C" w14:textId="4B6BD5A9" w:rsidR="00A4290E" w:rsidRPr="006F2FFB" w:rsidRDefault="00A4290E" w:rsidP="00A4290E">
            <w:pPr>
              <w:jc w:val="right"/>
              <w:rPr>
                <w:rFonts w:cs="Calibri"/>
                <w:color w:val="000000"/>
                <w:sz w:val="22"/>
                <w:szCs w:val="22"/>
              </w:rPr>
            </w:pPr>
            <w:r>
              <w:rPr>
                <w:rFonts w:cs="Calibri"/>
                <w:color w:val="000000"/>
                <w:sz w:val="22"/>
                <w:szCs w:val="22"/>
                <w:lang w:val="ga"/>
              </w:rPr>
              <w:t>6</w:t>
            </w:r>
          </w:p>
        </w:tc>
        <w:tc>
          <w:tcPr>
            <w:tcW w:w="1701" w:type="dxa"/>
          </w:tcPr>
          <w:p w14:paraId="754BC9EA" w14:textId="3DCD9660" w:rsidR="00A4290E" w:rsidRPr="006F2FFB" w:rsidRDefault="00A4290E" w:rsidP="00A4290E">
            <w:pPr>
              <w:jc w:val="right"/>
              <w:rPr>
                <w:rFonts w:cs="Calibri"/>
                <w:color w:val="000000"/>
                <w:sz w:val="22"/>
                <w:szCs w:val="22"/>
              </w:rPr>
            </w:pPr>
            <w:r>
              <w:rPr>
                <w:rFonts w:cs="Calibri"/>
                <w:color w:val="000000"/>
                <w:sz w:val="22"/>
                <w:szCs w:val="22"/>
                <w:lang w:val="ga"/>
              </w:rPr>
              <w:t>7.5%</w:t>
            </w:r>
          </w:p>
        </w:tc>
      </w:tr>
      <w:tr w:rsidR="00A4290E" w:rsidRPr="006F2FFB" w14:paraId="322BDF43" w14:textId="77777777" w:rsidTr="000B04F5">
        <w:trPr>
          <w:jc w:val="center"/>
        </w:trPr>
        <w:tc>
          <w:tcPr>
            <w:tcW w:w="1706" w:type="dxa"/>
            <w:vAlign w:val="bottom"/>
          </w:tcPr>
          <w:p w14:paraId="3CBF19F2" w14:textId="2CCB2B89" w:rsidR="00A4290E" w:rsidRPr="006F2FFB" w:rsidRDefault="008363FF" w:rsidP="00A4290E">
            <w:pPr>
              <w:spacing w:after="120"/>
              <w:rPr>
                <w:sz w:val="22"/>
                <w:szCs w:val="22"/>
              </w:rPr>
            </w:pPr>
            <w:r>
              <w:rPr>
                <w:rFonts w:cs="Calibri"/>
                <w:b/>
                <w:bCs/>
                <w:color w:val="000000"/>
                <w:sz w:val="22"/>
                <w:szCs w:val="22"/>
                <w:lang w:val="ga"/>
              </w:rPr>
              <w:t>*</w:t>
            </w:r>
            <w:r>
              <w:rPr>
                <w:rFonts w:cs="Calibri"/>
                <w:color w:val="000000"/>
                <w:sz w:val="22"/>
                <w:szCs w:val="22"/>
                <w:lang w:val="ga"/>
              </w:rPr>
              <w:t>An Binse um Achomhairc i dtaobh Cosaint Idirnáisiúnta</w:t>
            </w:r>
          </w:p>
        </w:tc>
        <w:tc>
          <w:tcPr>
            <w:tcW w:w="1701" w:type="dxa"/>
          </w:tcPr>
          <w:p w14:paraId="0A531C0E" w14:textId="3F1873E6" w:rsidR="00A4290E" w:rsidRPr="006F2FFB" w:rsidRDefault="00A4290E" w:rsidP="00A4290E">
            <w:pPr>
              <w:jc w:val="right"/>
              <w:rPr>
                <w:sz w:val="22"/>
                <w:szCs w:val="22"/>
              </w:rPr>
            </w:pPr>
            <w:r>
              <w:rPr>
                <w:rFonts w:cs="Calibri"/>
                <w:color w:val="000000"/>
                <w:sz w:val="22"/>
                <w:szCs w:val="22"/>
                <w:lang w:val="ga"/>
              </w:rPr>
              <w:t>51</w:t>
            </w:r>
          </w:p>
        </w:tc>
        <w:tc>
          <w:tcPr>
            <w:tcW w:w="1418" w:type="dxa"/>
          </w:tcPr>
          <w:p w14:paraId="3167EEF9" w14:textId="64A2756A" w:rsidR="00A4290E" w:rsidRPr="006F2FFB" w:rsidRDefault="00A4290E" w:rsidP="00A4290E">
            <w:pPr>
              <w:spacing w:after="0"/>
              <w:jc w:val="right"/>
              <w:rPr>
                <w:sz w:val="22"/>
                <w:szCs w:val="22"/>
              </w:rPr>
            </w:pPr>
            <w:r>
              <w:rPr>
                <w:rFonts w:cs="Calibri"/>
                <w:color w:val="000000"/>
                <w:sz w:val="22"/>
                <w:szCs w:val="22"/>
                <w:lang w:val="ga"/>
              </w:rPr>
              <w:t>4</w:t>
            </w:r>
          </w:p>
        </w:tc>
        <w:tc>
          <w:tcPr>
            <w:tcW w:w="1559" w:type="dxa"/>
          </w:tcPr>
          <w:p w14:paraId="7B478E89" w14:textId="7A4CAF60" w:rsidR="00A4290E" w:rsidRPr="006F2FFB" w:rsidRDefault="00A4290E" w:rsidP="00A4290E">
            <w:pPr>
              <w:jc w:val="right"/>
              <w:rPr>
                <w:sz w:val="22"/>
                <w:szCs w:val="22"/>
              </w:rPr>
            </w:pPr>
            <w:r>
              <w:rPr>
                <w:rFonts w:cs="Calibri"/>
                <w:color w:val="000000"/>
                <w:sz w:val="22"/>
                <w:szCs w:val="22"/>
                <w:lang w:val="ga"/>
              </w:rPr>
              <w:t>7.8%</w:t>
            </w:r>
          </w:p>
        </w:tc>
        <w:tc>
          <w:tcPr>
            <w:tcW w:w="1701" w:type="dxa"/>
          </w:tcPr>
          <w:p w14:paraId="033413EF" w14:textId="0D6562D3" w:rsidR="00A4290E" w:rsidRPr="006F2FFB" w:rsidRDefault="00A4290E" w:rsidP="00A4290E">
            <w:pPr>
              <w:jc w:val="right"/>
              <w:rPr>
                <w:rFonts w:cs="Calibri"/>
                <w:color w:val="000000"/>
                <w:sz w:val="22"/>
                <w:szCs w:val="22"/>
              </w:rPr>
            </w:pPr>
            <w:r>
              <w:rPr>
                <w:rFonts w:cs="Calibri"/>
                <w:color w:val="000000"/>
                <w:sz w:val="22"/>
                <w:szCs w:val="22"/>
                <w:lang w:val="ga"/>
              </w:rPr>
              <w:t>47</w:t>
            </w:r>
          </w:p>
        </w:tc>
        <w:tc>
          <w:tcPr>
            <w:tcW w:w="1559" w:type="dxa"/>
          </w:tcPr>
          <w:p w14:paraId="7FED7C88" w14:textId="02F09D13" w:rsidR="00A4290E" w:rsidRPr="006F2FFB" w:rsidRDefault="00A4290E" w:rsidP="00A4290E">
            <w:pPr>
              <w:jc w:val="right"/>
              <w:rPr>
                <w:rFonts w:cs="Calibri"/>
                <w:color w:val="000000"/>
                <w:sz w:val="22"/>
                <w:szCs w:val="22"/>
              </w:rPr>
            </w:pPr>
            <w:r>
              <w:rPr>
                <w:rFonts w:cs="Calibri"/>
                <w:color w:val="000000"/>
                <w:sz w:val="22"/>
                <w:szCs w:val="22"/>
                <w:lang w:val="ga"/>
              </w:rPr>
              <w:t>6</w:t>
            </w:r>
          </w:p>
        </w:tc>
        <w:tc>
          <w:tcPr>
            <w:tcW w:w="1701" w:type="dxa"/>
          </w:tcPr>
          <w:p w14:paraId="54CF5CE7" w14:textId="130EC20F" w:rsidR="00A4290E" w:rsidRPr="006F2FFB" w:rsidRDefault="00A4290E" w:rsidP="00A4290E">
            <w:pPr>
              <w:jc w:val="right"/>
              <w:rPr>
                <w:rFonts w:cs="Calibri"/>
                <w:color w:val="000000"/>
                <w:sz w:val="22"/>
                <w:szCs w:val="22"/>
              </w:rPr>
            </w:pPr>
            <w:r>
              <w:rPr>
                <w:rFonts w:cs="Calibri"/>
                <w:color w:val="000000"/>
                <w:sz w:val="22"/>
                <w:szCs w:val="22"/>
                <w:lang w:val="ga"/>
              </w:rPr>
              <w:t>12.8%</w:t>
            </w:r>
          </w:p>
        </w:tc>
      </w:tr>
      <w:tr w:rsidR="00A4290E" w:rsidRPr="006F2FFB" w14:paraId="4B689FCC" w14:textId="77777777" w:rsidTr="000B04F5">
        <w:trPr>
          <w:jc w:val="center"/>
        </w:trPr>
        <w:tc>
          <w:tcPr>
            <w:tcW w:w="1706" w:type="dxa"/>
            <w:vAlign w:val="bottom"/>
          </w:tcPr>
          <w:p w14:paraId="6D75EBD9" w14:textId="0951E02B" w:rsidR="00A4290E" w:rsidRPr="006F2FFB" w:rsidRDefault="008363FF" w:rsidP="00A4290E">
            <w:pPr>
              <w:spacing w:after="120"/>
              <w:rPr>
                <w:sz w:val="22"/>
                <w:szCs w:val="22"/>
              </w:rPr>
            </w:pPr>
            <w:r>
              <w:rPr>
                <w:rFonts w:cs="Calibri"/>
                <w:b/>
                <w:bCs/>
                <w:color w:val="000000"/>
                <w:sz w:val="22"/>
                <w:szCs w:val="22"/>
                <w:lang w:val="ga"/>
              </w:rPr>
              <w:t>*</w:t>
            </w:r>
            <w:r>
              <w:rPr>
                <w:rFonts w:cs="Calibri"/>
                <w:color w:val="000000"/>
                <w:sz w:val="22"/>
                <w:szCs w:val="22"/>
                <w:lang w:val="ga"/>
              </w:rPr>
              <w:t>Oifig Aicmithe Scannán na hÉireann</w:t>
            </w:r>
          </w:p>
        </w:tc>
        <w:tc>
          <w:tcPr>
            <w:tcW w:w="1701" w:type="dxa"/>
          </w:tcPr>
          <w:p w14:paraId="5FE5C89C" w14:textId="39736B22" w:rsidR="00A4290E" w:rsidRPr="006F2FFB" w:rsidRDefault="00A4290E" w:rsidP="00A4290E">
            <w:pPr>
              <w:jc w:val="right"/>
              <w:rPr>
                <w:sz w:val="22"/>
                <w:szCs w:val="22"/>
              </w:rPr>
            </w:pPr>
            <w:r>
              <w:rPr>
                <w:rFonts w:cs="Calibri"/>
                <w:color w:val="000000"/>
                <w:sz w:val="22"/>
                <w:szCs w:val="22"/>
                <w:lang w:val="ga"/>
              </w:rPr>
              <w:t>4</w:t>
            </w:r>
          </w:p>
        </w:tc>
        <w:tc>
          <w:tcPr>
            <w:tcW w:w="1418" w:type="dxa"/>
          </w:tcPr>
          <w:p w14:paraId="0D4DEE5A" w14:textId="40D859D6" w:rsidR="00A4290E" w:rsidRPr="006F2FFB" w:rsidRDefault="00A4290E" w:rsidP="00A4290E">
            <w:pPr>
              <w:spacing w:after="0"/>
              <w:jc w:val="right"/>
              <w:rPr>
                <w:sz w:val="22"/>
                <w:szCs w:val="22"/>
              </w:rPr>
            </w:pPr>
            <w:r>
              <w:rPr>
                <w:rFonts w:cs="Calibri"/>
                <w:color w:val="000000"/>
                <w:sz w:val="22"/>
                <w:szCs w:val="22"/>
                <w:lang w:val="ga"/>
              </w:rPr>
              <w:t>0</w:t>
            </w:r>
          </w:p>
        </w:tc>
        <w:tc>
          <w:tcPr>
            <w:tcW w:w="1559" w:type="dxa"/>
          </w:tcPr>
          <w:p w14:paraId="01BDB8D5" w14:textId="2EA77449" w:rsidR="00A4290E" w:rsidRPr="006F2FFB" w:rsidRDefault="00A4290E" w:rsidP="00A4290E">
            <w:pPr>
              <w:jc w:val="right"/>
              <w:rPr>
                <w:sz w:val="22"/>
                <w:szCs w:val="22"/>
              </w:rPr>
            </w:pPr>
            <w:r>
              <w:rPr>
                <w:rFonts w:cs="Calibri"/>
                <w:color w:val="000000"/>
                <w:sz w:val="22"/>
                <w:szCs w:val="22"/>
                <w:lang w:val="ga"/>
              </w:rPr>
              <w:t>0.0%</w:t>
            </w:r>
          </w:p>
        </w:tc>
        <w:tc>
          <w:tcPr>
            <w:tcW w:w="1701" w:type="dxa"/>
          </w:tcPr>
          <w:p w14:paraId="66687774" w14:textId="058D0143" w:rsidR="00A4290E" w:rsidRPr="006F2FFB" w:rsidRDefault="00A4290E" w:rsidP="00A4290E">
            <w:pPr>
              <w:jc w:val="right"/>
              <w:rPr>
                <w:sz w:val="22"/>
                <w:szCs w:val="22"/>
              </w:rPr>
            </w:pPr>
            <w:r>
              <w:rPr>
                <w:rFonts w:cs="Calibri"/>
                <w:color w:val="000000"/>
                <w:sz w:val="22"/>
                <w:szCs w:val="22"/>
                <w:lang w:val="ga"/>
              </w:rPr>
              <w:t>4</w:t>
            </w:r>
          </w:p>
        </w:tc>
        <w:tc>
          <w:tcPr>
            <w:tcW w:w="1559" w:type="dxa"/>
          </w:tcPr>
          <w:p w14:paraId="50BB8033" w14:textId="63C68BDC" w:rsidR="00A4290E" w:rsidRPr="006F2FFB" w:rsidRDefault="00A4290E" w:rsidP="00A4290E">
            <w:pPr>
              <w:jc w:val="right"/>
              <w:rPr>
                <w:sz w:val="22"/>
                <w:szCs w:val="22"/>
              </w:rPr>
            </w:pPr>
            <w:r>
              <w:rPr>
                <w:rFonts w:cs="Calibri"/>
                <w:color w:val="000000"/>
                <w:sz w:val="22"/>
                <w:szCs w:val="22"/>
                <w:lang w:val="ga"/>
              </w:rPr>
              <w:t>1</w:t>
            </w:r>
          </w:p>
        </w:tc>
        <w:tc>
          <w:tcPr>
            <w:tcW w:w="1701" w:type="dxa"/>
          </w:tcPr>
          <w:p w14:paraId="4431F3F4" w14:textId="3837837B" w:rsidR="00A4290E" w:rsidRPr="006F2FFB" w:rsidRDefault="00A4290E" w:rsidP="00A4290E">
            <w:pPr>
              <w:jc w:val="right"/>
              <w:rPr>
                <w:sz w:val="22"/>
                <w:szCs w:val="22"/>
              </w:rPr>
            </w:pPr>
            <w:r>
              <w:rPr>
                <w:rFonts w:cs="Calibri"/>
                <w:color w:val="000000"/>
                <w:sz w:val="22"/>
                <w:szCs w:val="22"/>
                <w:lang w:val="ga"/>
              </w:rPr>
              <w:t>25.0%</w:t>
            </w:r>
          </w:p>
        </w:tc>
      </w:tr>
      <w:tr w:rsidR="00A4290E" w:rsidRPr="006F2FFB" w14:paraId="2D91F4FC" w14:textId="77777777" w:rsidTr="000B04F5">
        <w:trPr>
          <w:jc w:val="center"/>
        </w:trPr>
        <w:tc>
          <w:tcPr>
            <w:tcW w:w="1706" w:type="dxa"/>
            <w:vAlign w:val="bottom"/>
          </w:tcPr>
          <w:p w14:paraId="29484E51" w14:textId="3B990CA7" w:rsidR="00A4290E" w:rsidRPr="006F2FFB" w:rsidRDefault="00A4290E" w:rsidP="00A4290E">
            <w:pPr>
              <w:rPr>
                <w:sz w:val="22"/>
                <w:szCs w:val="22"/>
              </w:rPr>
            </w:pPr>
            <w:r>
              <w:rPr>
                <w:rFonts w:cs="Calibri"/>
                <w:color w:val="000000"/>
                <w:sz w:val="22"/>
                <w:szCs w:val="22"/>
                <w:lang w:val="ga"/>
              </w:rPr>
              <w:t>Coimisiún na hÉireann um Chearta an Duine agus Comhionannas</w:t>
            </w:r>
          </w:p>
        </w:tc>
        <w:tc>
          <w:tcPr>
            <w:tcW w:w="1701" w:type="dxa"/>
          </w:tcPr>
          <w:p w14:paraId="55F13990" w14:textId="48F5CFCD" w:rsidR="00A4290E" w:rsidRPr="006F2FFB" w:rsidRDefault="00A4290E" w:rsidP="00A4290E">
            <w:pPr>
              <w:jc w:val="right"/>
              <w:rPr>
                <w:sz w:val="22"/>
                <w:szCs w:val="22"/>
              </w:rPr>
            </w:pPr>
            <w:r>
              <w:rPr>
                <w:rFonts w:cs="Calibri"/>
                <w:color w:val="000000"/>
                <w:sz w:val="22"/>
                <w:szCs w:val="22"/>
                <w:lang w:val="ga"/>
              </w:rPr>
              <w:t>73</w:t>
            </w:r>
          </w:p>
        </w:tc>
        <w:tc>
          <w:tcPr>
            <w:tcW w:w="1418" w:type="dxa"/>
          </w:tcPr>
          <w:p w14:paraId="223A35BC" w14:textId="24ECE56D" w:rsidR="00A4290E" w:rsidRPr="006F2FFB" w:rsidRDefault="00A4290E" w:rsidP="00A4290E">
            <w:pPr>
              <w:spacing w:after="0"/>
              <w:jc w:val="right"/>
              <w:rPr>
                <w:sz w:val="22"/>
                <w:szCs w:val="22"/>
              </w:rPr>
            </w:pPr>
            <w:r>
              <w:rPr>
                <w:rFonts w:cs="Calibri"/>
                <w:color w:val="000000"/>
                <w:sz w:val="22"/>
                <w:szCs w:val="22"/>
                <w:lang w:val="ga"/>
              </w:rPr>
              <w:t>15</w:t>
            </w:r>
          </w:p>
        </w:tc>
        <w:tc>
          <w:tcPr>
            <w:tcW w:w="1559" w:type="dxa"/>
          </w:tcPr>
          <w:p w14:paraId="2E2C40C5" w14:textId="061ECD3F" w:rsidR="00A4290E" w:rsidRPr="006F2FFB" w:rsidRDefault="00A4290E" w:rsidP="00A4290E">
            <w:pPr>
              <w:jc w:val="right"/>
              <w:rPr>
                <w:sz w:val="22"/>
                <w:szCs w:val="22"/>
              </w:rPr>
            </w:pPr>
            <w:r>
              <w:rPr>
                <w:rFonts w:cs="Calibri"/>
                <w:color w:val="000000"/>
                <w:sz w:val="22"/>
                <w:szCs w:val="22"/>
                <w:lang w:val="ga"/>
              </w:rPr>
              <w:t>20.5%</w:t>
            </w:r>
          </w:p>
        </w:tc>
        <w:tc>
          <w:tcPr>
            <w:tcW w:w="1701" w:type="dxa"/>
          </w:tcPr>
          <w:p w14:paraId="72BD8660" w14:textId="0D761B32" w:rsidR="00A4290E" w:rsidRPr="006F2FFB" w:rsidRDefault="00A4290E" w:rsidP="00A4290E">
            <w:pPr>
              <w:jc w:val="right"/>
              <w:rPr>
                <w:sz w:val="22"/>
                <w:szCs w:val="22"/>
              </w:rPr>
            </w:pPr>
            <w:r>
              <w:rPr>
                <w:rFonts w:cs="Calibri"/>
                <w:color w:val="000000"/>
                <w:sz w:val="22"/>
                <w:szCs w:val="22"/>
                <w:lang w:val="ga"/>
              </w:rPr>
              <w:t>84</w:t>
            </w:r>
          </w:p>
        </w:tc>
        <w:tc>
          <w:tcPr>
            <w:tcW w:w="1559" w:type="dxa"/>
          </w:tcPr>
          <w:p w14:paraId="6BD915A5" w14:textId="52F06C56" w:rsidR="00A4290E" w:rsidRPr="006F2FFB" w:rsidRDefault="00A4290E" w:rsidP="00A4290E">
            <w:pPr>
              <w:jc w:val="right"/>
              <w:rPr>
                <w:sz w:val="22"/>
                <w:szCs w:val="22"/>
              </w:rPr>
            </w:pPr>
            <w:r>
              <w:rPr>
                <w:rFonts w:cs="Calibri"/>
                <w:color w:val="000000"/>
                <w:sz w:val="22"/>
                <w:szCs w:val="22"/>
                <w:lang w:val="ga"/>
              </w:rPr>
              <w:t>8</w:t>
            </w:r>
          </w:p>
        </w:tc>
        <w:tc>
          <w:tcPr>
            <w:tcW w:w="1701" w:type="dxa"/>
          </w:tcPr>
          <w:p w14:paraId="0220560D" w14:textId="44BBCAD8" w:rsidR="00A4290E" w:rsidRPr="006F2FFB" w:rsidRDefault="00A4290E" w:rsidP="00A4290E">
            <w:pPr>
              <w:jc w:val="right"/>
              <w:rPr>
                <w:sz w:val="22"/>
                <w:szCs w:val="22"/>
              </w:rPr>
            </w:pPr>
            <w:r>
              <w:rPr>
                <w:rFonts w:cs="Calibri"/>
                <w:color w:val="000000"/>
                <w:sz w:val="22"/>
                <w:szCs w:val="22"/>
                <w:lang w:val="ga"/>
              </w:rPr>
              <w:t>9.5%</w:t>
            </w:r>
          </w:p>
        </w:tc>
      </w:tr>
      <w:tr w:rsidR="00A4290E" w:rsidRPr="006F2FFB" w14:paraId="3F7FD185" w14:textId="77777777" w:rsidTr="000B04F5">
        <w:trPr>
          <w:jc w:val="center"/>
        </w:trPr>
        <w:tc>
          <w:tcPr>
            <w:tcW w:w="1706" w:type="dxa"/>
            <w:vAlign w:val="bottom"/>
          </w:tcPr>
          <w:p w14:paraId="3A7D3CB3" w14:textId="7CF35051" w:rsidR="00A4290E" w:rsidRPr="006F2FFB" w:rsidRDefault="00A4290E" w:rsidP="00A4290E">
            <w:pPr>
              <w:rPr>
                <w:sz w:val="22"/>
                <w:szCs w:val="22"/>
              </w:rPr>
            </w:pPr>
            <w:r>
              <w:rPr>
                <w:rFonts w:cs="Calibri"/>
                <w:color w:val="000000"/>
                <w:sz w:val="22"/>
                <w:szCs w:val="22"/>
                <w:lang w:val="ga"/>
              </w:rPr>
              <w:t>An Coimisiún um Athchóiriú an Dlí</w:t>
            </w:r>
          </w:p>
        </w:tc>
        <w:tc>
          <w:tcPr>
            <w:tcW w:w="1701" w:type="dxa"/>
          </w:tcPr>
          <w:p w14:paraId="718E768A" w14:textId="3822E02F" w:rsidR="00A4290E" w:rsidRPr="006F2FFB" w:rsidRDefault="00A4290E" w:rsidP="00A4290E">
            <w:pPr>
              <w:jc w:val="right"/>
              <w:rPr>
                <w:sz w:val="22"/>
                <w:szCs w:val="22"/>
              </w:rPr>
            </w:pPr>
            <w:r>
              <w:rPr>
                <w:rFonts w:cs="Calibri"/>
                <w:color w:val="000000"/>
                <w:sz w:val="22"/>
                <w:szCs w:val="22"/>
                <w:lang w:val="ga"/>
              </w:rPr>
              <w:t>20</w:t>
            </w:r>
          </w:p>
        </w:tc>
        <w:tc>
          <w:tcPr>
            <w:tcW w:w="1418" w:type="dxa"/>
          </w:tcPr>
          <w:p w14:paraId="01669255" w14:textId="5837545A" w:rsidR="00A4290E" w:rsidRPr="006F2FFB" w:rsidRDefault="00A4290E" w:rsidP="00A4290E">
            <w:pPr>
              <w:spacing w:after="0"/>
              <w:jc w:val="right"/>
              <w:rPr>
                <w:sz w:val="22"/>
                <w:szCs w:val="22"/>
              </w:rPr>
            </w:pPr>
            <w:r>
              <w:rPr>
                <w:rFonts w:cs="Calibri"/>
                <w:color w:val="000000"/>
                <w:sz w:val="22"/>
                <w:szCs w:val="22"/>
                <w:lang w:val="ga"/>
              </w:rPr>
              <w:t>1</w:t>
            </w:r>
          </w:p>
        </w:tc>
        <w:tc>
          <w:tcPr>
            <w:tcW w:w="1559" w:type="dxa"/>
          </w:tcPr>
          <w:p w14:paraId="570886A4" w14:textId="253C07D2" w:rsidR="00A4290E" w:rsidRPr="006F2FFB" w:rsidRDefault="00A4290E" w:rsidP="00A4290E">
            <w:pPr>
              <w:jc w:val="right"/>
              <w:rPr>
                <w:sz w:val="22"/>
                <w:szCs w:val="22"/>
              </w:rPr>
            </w:pPr>
            <w:r>
              <w:rPr>
                <w:rFonts w:cs="Calibri"/>
                <w:color w:val="000000"/>
                <w:sz w:val="22"/>
                <w:szCs w:val="22"/>
                <w:lang w:val="ga"/>
              </w:rPr>
              <w:t>5.0%</w:t>
            </w:r>
          </w:p>
        </w:tc>
        <w:tc>
          <w:tcPr>
            <w:tcW w:w="1701" w:type="dxa"/>
          </w:tcPr>
          <w:p w14:paraId="7D223185" w14:textId="06FDF4F4" w:rsidR="00A4290E" w:rsidRPr="006F2FFB" w:rsidRDefault="00A4290E" w:rsidP="00A4290E">
            <w:pPr>
              <w:jc w:val="right"/>
              <w:rPr>
                <w:sz w:val="22"/>
                <w:szCs w:val="22"/>
              </w:rPr>
            </w:pPr>
            <w:r>
              <w:rPr>
                <w:rFonts w:cs="Calibri"/>
                <w:color w:val="000000"/>
                <w:sz w:val="22"/>
                <w:szCs w:val="22"/>
                <w:lang w:val="ga"/>
              </w:rPr>
              <w:t>20</w:t>
            </w:r>
          </w:p>
        </w:tc>
        <w:tc>
          <w:tcPr>
            <w:tcW w:w="1559" w:type="dxa"/>
          </w:tcPr>
          <w:p w14:paraId="23D2AEDC" w14:textId="6C7901EC" w:rsidR="00A4290E" w:rsidRPr="006F2FFB" w:rsidRDefault="00A4290E" w:rsidP="00A4290E">
            <w:pPr>
              <w:jc w:val="right"/>
              <w:rPr>
                <w:sz w:val="22"/>
                <w:szCs w:val="22"/>
              </w:rPr>
            </w:pPr>
            <w:r>
              <w:rPr>
                <w:rFonts w:cs="Calibri"/>
                <w:color w:val="000000"/>
                <w:sz w:val="22"/>
                <w:szCs w:val="22"/>
                <w:lang w:val="ga"/>
              </w:rPr>
              <w:t>1</w:t>
            </w:r>
          </w:p>
        </w:tc>
        <w:tc>
          <w:tcPr>
            <w:tcW w:w="1701" w:type="dxa"/>
          </w:tcPr>
          <w:p w14:paraId="648AE4FE" w14:textId="73618D0B" w:rsidR="00A4290E" w:rsidRPr="006F2FFB" w:rsidRDefault="00A4290E" w:rsidP="00A4290E">
            <w:pPr>
              <w:jc w:val="right"/>
              <w:rPr>
                <w:sz w:val="22"/>
                <w:szCs w:val="22"/>
              </w:rPr>
            </w:pPr>
            <w:r>
              <w:rPr>
                <w:rFonts w:cs="Calibri"/>
                <w:color w:val="000000"/>
                <w:sz w:val="22"/>
                <w:szCs w:val="22"/>
                <w:lang w:val="ga"/>
              </w:rPr>
              <w:t>5.0%</w:t>
            </w:r>
          </w:p>
        </w:tc>
      </w:tr>
      <w:tr w:rsidR="00A4290E" w:rsidRPr="006F2FFB" w14:paraId="69355A26" w14:textId="77777777" w:rsidTr="000B04F5">
        <w:trPr>
          <w:jc w:val="center"/>
        </w:trPr>
        <w:tc>
          <w:tcPr>
            <w:tcW w:w="1706" w:type="dxa"/>
            <w:vAlign w:val="bottom"/>
          </w:tcPr>
          <w:p w14:paraId="468864A4" w14:textId="25118A58" w:rsidR="00A4290E" w:rsidRPr="006F2FFB" w:rsidRDefault="008363FF" w:rsidP="00A4290E">
            <w:pPr>
              <w:rPr>
                <w:sz w:val="22"/>
                <w:szCs w:val="22"/>
              </w:rPr>
            </w:pPr>
            <w:r>
              <w:rPr>
                <w:rFonts w:cs="Calibri"/>
                <w:b/>
                <w:bCs/>
                <w:color w:val="000000"/>
                <w:sz w:val="22"/>
                <w:szCs w:val="22"/>
                <w:lang w:val="ga"/>
              </w:rPr>
              <w:t>*</w:t>
            </w:r>
            <w:r>
              <w:rPr>
                <w:rFonts w:cs="Calibri"/>
                <w:color w:val="000000"/>
                <w:sz w:val="22"/>
                <w:szCs w:val="22"/>
                <w:lang w:val="ga"/>
              </w:rPr>
              <w:t>An Bord um Chúnamh Dlíthiúil</w:t>
            </w:r>
          </w:p>
        </w:tc>
        <w:tc>
          <w:tcPr>
            <w:tcW w:w="1701" w:type="dxa"/>
          </w:tcPr>
          <w:p w14:paraId="7989C0AA" w14:textId="54874DF4" w:rsidR="00A4290E" w:rsidRPr="006F2FFB" w:rsidRDefault="00A4290E" w:rsidP="00A4290E">
            <w:pPr>
              <w:jc w:val="right"/>
              <w:rPr>
                <w:sz w:val="22"/>
                <w:szCs w:val="22"/>
              </w:rPr>
            </w:pPr>
            <w:r>
              <w:rPr>
                <w:rFonts w:cs="Calibri"/>
                <w:color w:val="000000"/>
                <w:sz w:val="22"/>
                <w:szCs w:val="22"/>
                <w:lang w:val="ga"/>
              </w:rPr>
              <w:t>483</w:t>
            </w:r>
          </w:p>
        </w:tc>
        <w:tc>
          <w:tcPr>
            <w:tcW w:w="1418" w:type="dxa"/>
          </w:tcPr>
          <w:p w14:paraId="34B138D6" w14:textId="073F3339" w:rsidR="00A4290E" w:rsidRPr="006F2FFB" w:rsidRDefault="00A4290E" w:rsidP="00A4290E">
            <w:pPr>
              <w:spacing w:after="0"/>
              <w:jc w:val="right"/>
              <w:rPr>
                <w:sz w:val="22"/>
                <w:szCs w:val="22"/>
              </w:rPr>
            </w:pPr>
            <w:r>
              <w:rPr>
                <w:rFonts w:cs="Calibri"/>
                <w:color w:val="000000"/>
                <w:sz w:val="22"/>
                <w:szCs w:val="22"/>
                <w:lang w:val="ga"/>
              </w:rPr>
              <w:t>18</w:t>
            </w:r>
          </w:p>
        </w:tc>
        <w:tc>
          <w:tcPr>
            <w:tcW w:w="1559" w:type="dxa"/>
          </w:tcPr>
          <w:p w14:paraId="0DDE45FB" w14:textId="7CB04B7D" w:rsidR="00A4290E" w:rsidRPr="006F2FFB" w:rsidRDefault="00A4290E" w:rsidP="00A4290E">
            <w:pPr>
              <w:jc w:val="right"/>
              <w:rPr>
                <w:sz w:val="22"/>
                <w:szCs w:val="22"/>
              </w:rPr>
            </w:pPr>
            <w:r>
              <w:rPr>
                <w:rFonts w:cs="Calibri"/>
                <w:color w:val="000000"/>
                <w:sz w:val="22"/>
                <w:szCs w:val="22"/>
                <w:lang w:val="ga"/>
              </w:rPr>
              <w:t>3.7%</w:t>
            </w:r>
          </w:p>
        </w:tc>
        <w:tc>
          <w:tcPr>
            <w:tcW w:w="1701" w:type="dxa"/>
          </w:tcPr>
          <w:p w14:paraId="232F78AA" w14:textId="57AAF96C" w:rsidR="00A4290E" w:rsidRPr="006F2FFB" w:rsidRDefault="00A4290E" w:rsidP="00A4290E">
            <w:pPr>
              <w:jc w:val="right"/>
              <w:rPr>
                <w:sz w:val="22"/>
                <w:szCs w:val="22"/>
              </w:rPr>
            </w:pPr>
            <w:r>
              <w:rPr>
                <w:rFonts w:cs="Calibri"/>
                <w:color w:val="000000"/>
                <w:sz w:val="22"/>
                <w:szCs w:val="22"/>
                <w:lang w:val="ga"/>
              </w:rPr>
              <w:t>526</w:t>
            </w:r>
          </w:p>
        </w:tc>
        <w:tc>
          <w:tcPr>
            <w:tcW w:w="1559" w:type="dxa"/>
          </w:tcPr>
          <w:p w14:paraId="6F34DA5C" w14:textId="794B9D0A" w:rsidR="00A4290E" w:rsidRPr="006F2FFB" w:rsidRDefault="00A4290E" w:rsidP="00A4290E">
            <w:pPr>
              <w:jc w:val="right"/>
              <w:rPr>
                <w:sz w:val="22"/>
                <w:szCs w:val="22"/>
              </w:rPr>
            </w:pPr>
            <w:r>
              <w:rPr>
                <w:rFonts w:cs="Calibri"/>
                <w:color w:val="000000"/>
                <w:sz w:val="22"/>
                <w:szCs w:val="22"/>
                <w:lang w:val="ga"/>
              </w:rPr>
              <w:t>33</w:t>
            </w:r>
          </w:p>
        </w:tc>
        <w:tc>
          <w:tcPr>
            <w:tcW w:w="1701" w:type="dxa"/>
          </w:tcPr>
          <w:p w14:paraId="59A9FBFF" w14:textId="006CD144" w:rsidR="00A4290E" w:rsidRPr="006F2FFB" w:rsidRDefault="00A4290E" w:rsidP="00A4290E">
            <w:pPr>
              <w:jc w:val="right"/>
              <w:rPr>
                <w:sz w:val="22"/>
                <w:szCs w:val="22"/>
              </w:rPr>
            </w:pPr>
            <w:r>
              <w:rPr>
                <w:rFonts w:cs="Calibri"/>
                <w:color w:val="000000"/>
                <w:sz w:val="22"/>
                <w:szCs w:val="22"/>
                <w:lang w:val="ga"/>
              </w:rPr>
              <w:t>6.3%</w:t>
            </w:r>
          </w:p>
        </w:tc>
      </w:tr>
      <w:tr w:rsidR="00A4290E" w:rsidRPr="006F2FFB" w14:paraId="38676C19" w14:textId="77777777" w:rsidTr="000B04F5">
        <w:trPr>
          <w:jc w:val="center"/>
        </w:trPr>
        <w:tc>
          <w:tcPr>
            <w:tcW w:w="1706" w:type="dxa"/>
            <w:vAlign w:val="bottom"/>
          </w:tcPr>
          <w:p w14:paraId="5B94FE88" w14:textId="1C057411" w:rsidR="00A4290E" w:rsidRPr="006F2FFB" w:rsidRDefault="00A4290E" w:rsidP="00A4290E">
            <w:pPr>
              <w:rPr>
                <w:sz w:val="22"/>
                <w:szCs w:val="22"/>
              </w:rPr>
            </w:pPr>
            <w:r>
              <w:rPr>
                <w:rFonts w:cs="Calibri"/>
                <w:color w:val="000000"/>
                <w:sz w:val="22"/>
                <w:szCs w:val="22"/>
                <w:lang w:val="ga"/>
              </w:rPr>
              <w:t>An Chomhairle Náisiúnta Curaclaim agus Measúnachta</w:t>
            </w:r>
          </w:p>
        </w:tc>
        <w:tc>
          <w:tcPr>
            <w:tcW w:w="1701" w:type="dxa"/>
          </w:tcPr>
          <w:p w14:paraId="7DF58B48" w14:textId="2C76BEF5" w:rsidR="00A4290E" w:rsidRPr="006F2FFB" w:rsidRDefault="00A4290E" w:rsidP="00A4290E">
            <w:pPr>
              <w:jc w:val="right"/>
              <w:rPr>
                <w:sz w:val="22"/>
                <w:szCs w:val="22"/>
              </w:rPr>
            </w:pPr>
            <w:r>
              <w:rPr>
                <w:rFonts w:cs="Calibri"/>
                <w:color w:val="000000"/>
                <w:sz w:val="22"/>
                <w:szCs w:val="22"/>
                <w:lang w:val="ga"/>
              </w:rPr>
              <w:t>45</w:t>
            </w:r>
          </w:p>
        </w:tc>
        <w:tc>
          <w:tcPr>
            <w:tcW w:w="1418" w:type="dxa"/>
          </w:tcPr>
          <w:p w14:paraId="4FED4E3A" w14:textId="2CA552ED" w:rsidR="00A4290E" w:rsidRPr="006F2FFB" w:rsidRDefault="00A4290E" w:rsidP="00A4290E">
            <w:pPr>
              <w:spacing w:after="0"/>
              <w:jc w:val="right"/>
              <w:rPr>
                <w:sz w:val="22"/>
                <w:szCs w:val="22"/>
              </w:rPr>
            </w:pPr>
            <w:r>
              <w:rPr>
                <w:rFonts w:cs="Calibri"/>
                <w:color w:val="000000"/>
                <w:sz w:val="22"/>
                <w:szCs w:val="22"/>
                <w:lang w:val="ga"/>
              </w:rPr>
              <w:t>3</w:t>
            </w:r>
          </w:p>
        </w:tc>
        <w:tc>
          <w:tcPr>
            <w:tcW w:w="1559" w:type="dxa"/>
          </w:tcPr>
          <w:p w14:paraId="5DDEF7B0" w14:textId="72B15650" w:rsidR="00A4290E" w:rsidRPr="006F2FFB" w:rsidRDefault="00A4290E" w:rsidP="00A4290E">
            <w:pPr>
              <w:jc w:val="right"/>
              <w:rPr>
                <w:sz w:val="22"/>
                <w:szCs w:val="22"/>
              </w:rPr>
            </w:pPr>
            <w:r>
              <w:rPr>
                <w:rFonts w:cs="Calibri"/>
                <w:color w:val="000000"/>
                <w:sz w:val="22"/>
                <w:szCs w:val="22"/>
                <w:lang w:val="ga"/>
              </w:rPr>
              <w:t>6.7%</w:t>
            </w:r>
          </w:p>
        </w:tc>
        <w:tc>
          <w:tcPr>
            <w:tcW w:w="1701" w:type="dxa"/>
          </w:tcPr>
          <w:p w14:paraId="4DD0F500" w14:textId="552F9AB2" w:rsidR="00A4290E" w:rsidRPr="006F2FFB" w:rsidRDefault="00A4290E" w:rsidP="00A4290E">
            <w:pPr>
              <w:jc w:val="right"/>
              <w:rPr>
                <w:rFonts w:cs="Calibri"/>
                <w:color w:val="000000"/>
                <w:sz w:val="22"/>
                <w:szCs w:val="22"/>
              </w:rPr>
            </w:pPr>
            <w:r>
              <w:rPr>
                <w:rFonts w:cs="Calibri"/>
                <w:color w:val="000000"/>
                <w:sz w:val="22"/>
                <w:szCs w:val="22"/>
                <w:lang w:val="ga"/>
              </w:rPr>
              <w:t>55</w:t>
            </w:r>
          </w:p>
        </w:tc>
        <w:tc>
          <w:tcPr>
            <w:tcW w:w="1559" w:type="dxa"/>
          </w:tcPr>
          <w:p w14:paraId="6453E793" w14:textId="64D46E75" w:rsidR="00A4290E" w:rsidRPr="006F2FFB" w:rsidRDefault="00A4290E" w:rsidP="00A4290E">
            <w:pPr>
              <w:jc w:val="right"/>
              <w:rPr>
                <w:rFonts w:cs="Calibri"/>
                <w:color w:val="000000"/>
                <w:sz w:val="22"/>
                <w:szCs w:val="22"/>
              </w:rPr>
            </w:pPr>
            <w:r>
              <w:rPr>
                <w:rFonts w:cs="Calibri"/>
                <w:color w:val="000000"/>
                <w:sz w:val="22"/>
                <w:szCs w:val="22"/>
                <w:lang w:val="ga"/>
              </w:rPr>
              <w:t>3</w:t>
            </w:r>
          </w:p>
        </w:tc>
        <w:tc>
          <w:tcPr>
            <w:tcW w:w="1701" w:type="dxa"/>
          </w:tcPr>
          <w:p w14:paraId="01E7E5CC" w14:textId="69A4D154" w:rsidR="00A4290E" w:rsidRPr="006F2FFB" w:rsidRDefault="00A4290E" w:rsidP="00A4290E">
            <w:pPr>
              <w:jc w:val="right"/>
              <w:rPr>
                <w:rFonts w:cs="Calibri"/>
                <w:color w:val="000000"/>
                <w:sz w:val="22"/>
                <w:szCs w:val="22"/>
              </w:rPr>
            </w:pPr>
            <w:r>
              <w:rPr>
                <w:rFonts w:cs="Calibri"/>
                <w:color w:val="000000"/>
                <w:sz w:val="22"/>
                <w:szCs w:val="22"/>
                <w:lang w:val="ga"/>
              </w:rPr>
              <w:t>5.5%</w:t>
            </w:r>
          </w:p>
        </w:tc>
      </w:tr>
      <w:tr w:rsidR="00A4290E" w:rsidRPr="006F2FFB" w14:paraId="15A8907D" w14:textId="77777777" w:rsidTr="000B04F5">
        <w:trPr>
          <w:jc w:val="center"/>
        </w:trPr>
        <w:tc>
          <w:tcPr>
            <w:tcW w:w="1706" w:type="dxa"/>
            <w:vAlign w:val="bottom"/>
          </w:tcPr>
          <w:p w14:paraId="2424F215" w14:textId="18425EC9" w:rsidR="00A4290E" w:rsidRPr="006F2FFB" w:rsidRDefault="00A4290E" w:rsidP="00A4290E">
            <w:pPr>
              <w:spacing w:after="0"/>
              <w:rPr>
                <w:sz w:val="22"/>
                <w:szCs w:val="22"/>
              </w:rPr>
            </w:pPr>
            <w:r>
              <w:rPr>
                <w:rFonts w:cs="Calibri"/>
                <w:color w:val="000000"/>
                <w:sz w:val="22"/>
                <w:szCs w:val="22"/>
                <w:lang w:val="ga"/>
              </w:rPr>
              <w:t>An Chomhairle Náisiúnta um Oideachas Speisialta</w:t>
            </w:r>
          </w:p>
        </w:tc>
        <w:tc>
          <w:tcPr>
            <w:tcW w:w="1701" w:type="dxa"/>
          </w:tcPr>
          <w:p w14:paraId="3867E74C" w14:textId="4C9E8F96" w:rsidR="00A4290E" w:rsidRPr="006F2FFB" w:rsidRDefault="00A4290E" w:rsidP="00A4290E">
            <w:pPr>
              <w:spacing w:after="0"/>
              <w:jc w:val="right"/>
              <w:rPr>
                <w:sz w:val="22"/>
                <w:szCs w:val="22"/>
              </w:rPr>
            </w:pPr>
            <w:r>
              <w:rPr>
                <w:rFonts w:cs="Calibri"/>
                <w:color w:val="000000"/>
                <w:sz w:val="22"/>
                <w:szCs w:val="22"/>
                <w:lang w:val="ga"/>
              </w:rPr>
              <w:t>239</w:t>
            </w:r>
          </w:p>
        </w:tc>
        <w:tc>
          <w:tcPr>
            <w:tcW w:w="1418" w:type="dxa"/>
          </w:tcPr>
          <w:p w14:paraId="05211605" w14:textId="1CFA0AC1" w:rsidR="00A4290E" w:rsidRPr="006F2FFB" w:rsidRDefault="00A4290E" w:rsidP="00A4290E">
            <w:pPr>
              <w:spacing w:after="0"/>
              <w:jc w:val="right"/>
              <w:rPr>
                <w:sz w:val="22"/>
                <w:szCs w:val="22"/>
              </w:rPr>
            </w:pPr>
            <w:r>
              <w:rPr>
                <w:rFonts w:cs="Calibri"/>
                <w:color w:val="000000"/>
                <w:sz w:val="22"/>
                <w:szCs w:val="22"/>
                <w:lang w:val="ga"/>
              </w:rPr>
              <w:t>6</w:t>
            </w:r>
          </w:p>
        </w:tc>
        <w:tc>
          <w:tcPr>
            <w:tcW w:w="1559" w:type="dxa"/>
          </w:tcPr>
          <w:p w14:paraId="61567543" w14:textId="78283D29" w:rsidR="00A4290E" w:rsidRPr="006F2FFB" w:rsidRDefault="00A4290E" w:rsidP="00A4290E">
            <w:pPr>
              <w:spacing w:after="0"/>
              <w:jc w:val="right"/>
              <w:rPr>
                <w:sz w:val="22"/>
                <w:szCs w:val="22"/>
              </w:rPr>
            </w:pPr>
            <w:r>
              <w:rPr>
                <w:rFonts w:cs="Calibri"/>
                <w:color w:val="000000"/>
                <w:sz w:val="22"/>
                <w:szCs w:val="22"/>
                <w:lang w:val="ga"/>
              </w:rPr>
              <w:t>2.5%</w:t>
            </w:r>
          </w:p>
        </w:tc>
        <w:tc>
          <w:tcPr>
            <w:tcW w:w="1701" w:type="dxa"/>
          </w:tcPr>
          <w:p w14:paraId="4CDD7510" w14:textId="1E4E7F2D" w:rsidR="00A4290E" w:rsidRPr="006F2FFB" w:rsidRDefault="00A4290E" w:rsidP="00A4290E">
            <w:pPr>
              <w:spacing w:after="0"/>
              <w:jc w:val="right"/>
              <w:rPr>
                <w:rFonts w:cs="Calibri"/>
                <w:color w:val="000000"/>
                <w:sz w:val="22"/>
                <w:szCs w:val="22"/>
              </w:rPr>
            </w:pPr>
            <w:r>
              <w:rPr>
                <w:rFonts w:cs="Calibri"/>
                <w:color w:val="000000"/>
                <w:sz w:val="22"/>
                <w:szCs w:val="22"/>
                <w:lang w:val="ga"/>
              </w:rPr>
              <w:t>243</w:t>
            </w:r>
          </w:p>
        </w:tc>
        <w:tc>
          <w:tcPr>
            <w:tcW w:w="1559" w:type="dxa"/>
          </w:tcPr>
          <w:p w14:paraId="66E0CBF7" w14:textId="449E7903" w:rsidR="00A4290E" w:rsidRPr="006F2FFB" w:rsidRDefault="00A4290E" w:rsidP="00A4290E">
            <w:pPr>
              <w:spacing w:after="0"/>
              <w:jc w:val="right"/>
              <w:rPr>
                <w:rFonts w:cs="Calibri"/>
                <w:color w:val="000000"/>
                <w:sz w:val="22"/>
                <w:szCs w:val="22"/>
              </w:rPr>
            </w:pPr>
            <w:r>
              <w:rPr>
                <w:rFonts w:cs="Calibri"/>
                <w:color w:val="000000"/>
                <w:sz w:val="22"/>
                <w:szCs w:val="22"/>
                <w:lang w:val="ga"/>
              </w:rPr>
              <w:t>21</w:t>
            </w:r>
          </w:p>
        </w:tc>
        <w:tc>
          <w:tcPr>
            <w:tcW w:w="1701" w:type="dxa"/>
          </w:tcPr>
          <w:p w14:paraId="58FDA4CF" w14:textId="72FF631F" w:rsidR="00A4290E" w:rsidRPr="006F2FFB" w:rsidRDefault="00A4290E" w:rsidP="00A4290E">
            <w:pPr>
              <w:spacing w:after="0"/>
              <w:jc w:val="right"/>
              <w:rPr>
                <w:rFonts w:cs="Calibri"/>
                <w:color w:val="000000"/>
                <w:sz w:val="22"/>
                <w:szCs w:val="22"/>
              </w:rPr>
            </w:pPr>
            <w:r>
              <w:rPr>
                <w:rFonts w:cs="Calibri"/>
                <w:color w:val="000000"/>
                <w:sz w:val="22"/>
                <w:szCs w:val="22"/>
                <w:lang w:val="ga"/>
              </w:rPr>
              <w:t>8.6%</w:t>
            </w:r>
          </w:p>
        </w:tc>
      </w:tr>
      <w:tr w:rsidR="00A4290E" w:rsidRPr="006F2FFB" w14:paraId="1272A7CC" w14:textId="77777777" w:rsidTr="000B04F5">
        <w:trPr>
          <w:jc w:val="center"/>
        </w:trPr>
        <w:tc>
          <w:tcPr>
            <w:tcW w:w="1706" w:type="dxa"/>
            <w:vAlign w:val="bottom"/>
          </w:tcPr>
          <w:p w14:paraId="440F23ED" w14:textId="453AF7BF" w:rsidR="00A4290E" w:rsidRPr="006F2FFB" w:rsidRDefault="00A4290E" w:rsidP="00A4290E">
            <w:pPr>
              <w:rPr>
                <w:sz w:val="22"/>
                <w:szCs w:val="22"/>
              </w:rPr>
            </w:pPr>
            <w:r>
              <w:rPr>
                <w:rFonts w:cs="Calibri"/>
                <w:color w:val="000000"/>
                <w:sz w:val="22"/>
                <w:szCs w:val="22"/>
                <w:lang w:val="ga"/>
              </w:rPr>
              <w:t>An Oifig Náisiúnta um Sheirbhísí Comhroinnte</w:t>
            </w:r>
          </w:p>
        </w:tc>
        <w:tc>
          <w:tcPr>
            <w:tcW w:w="1701" w:type="dxa"/>
          </w:tcPr>
          <w:p w14:paraId="13E20A60" w14:textId="569CF86B" w:rsidR="00A4290E" w:rsidRPr="006F2FFB" w:rsidRDefault="00A4290E" w:rsidP="00A4290E">
            <w:pPr>
              <w:spacing w:after="0"/>
              <w:jc w:val="right"/>
              <w:rPr>
                <w:sz w:val="22"/>
                <w:szCs w:val="22"/>
              </w:rPr>
            </w:pPr>
            <w:r>
              <w:rPr>
                <w:rFonts w:cs="Calibri"/>
                <w:color w:val="000000"/>
                <w:sz w:val="22"/>
                <w:szCs w:val="22"/>
                <w:lang w:val="ga"/>
              </w:rPr>
              <w:t>758</w:t>
            </w:r>
          </w:p>
        </w:tc>
        <w:tc>
          <w:tcPr>
            <w:tcW w:w="1418" w:type="dxa"/>
          </w:tcPr>
          <w:p w14:paraId="61B4BF18" w14:textId="29441868" w:rsidR="00A4290E" w:rsidRPr="006F2FFB" w:rsidRDefault="00A4290E" w:rsidP="00A4290E">
            <w:pPr>
              <w:spacing w:after="0"/>
              <w:jc w:val="right"/>
              <w:rPr>
                <w:sz w:val="22"/>
                <w:szCs w:val="22"/>
              </w:rPr>
            </w:pPr>
            <w:r>
              <w:rPr>
                <w:rFonts w:cs="Calibri"/>
                <w:color w:val="000000"/>
                <w:sz w:val="22"/>
                <w:szCs w:val="22"/>
                <w:lang w:val="ga"/>
              </w:rPr>
              <w:t>34</w:t>
            </w:r>
          </w:p>
        </w:tc>
        <w:tc>
          <w:tcPr>
            <w:tcW w:w="1559" w:type="dxa"/>
          </w:tcPr>
          <w:p w14:paraId="6E13DABA" w14:textId="3C1CEA3E" w:rsidR="00A4290E" w:rsidRPr="006F2FFB" w:rsidRDefault="00A4290E" w:rsidP="00A4290E">
            <w:pPr>
              <w:spacing w:after="0"/>
              <w:jc w:val="right"/>
              <w:rPr>
                <w:sz w:val="22"/>
                <w:szCs w:val="22"/>
              </w:rPr>
            </w:pPr>
            <w:r>
              <w:rPr>
                <w:rFonts w:cs="Calibri"/>
                <w:color w:val="000000"/>
                <w:sz w:val="22"/>
                <w:szCs w:val="22"/>
                <w:lang w:val="ga"/>
              </w:rPr>
              <w:t>4.5%</w:t>
            </w:r>
          </w:p>
        </w:tc>
        <w:tc>
          <w:tcPr>
            <w:tcW w:w="1701" w:type="dxa"/>
          </w:tcPr>
          <w:p w14:paraId="0ABAF7B3" w14:textId="44719306" w:rsidR="00A4290E" w:rsidRPr="006F2FFB" w:rsidRDefault="00A4290E" w:rsidP="00A4290E">
            <w:pPr>
              <w:spacing w:after="0"/>
              <w:jc w:val="right"/>
              <w:rPr>
                <w:rFonts w:cs="Calibri"/>
                <w:color w:val="000000"/>
                <w:sz w:val="22"/>
                <w:szCs w:val="22"/>
              </w:rPr>
            </w:pPr>
            <w:r>
              <w:rPr>
                <w:rFonts w:cs="Calibri"/>
                <w:color w:val="000000"/>
                <w:sz w:val="22"/>
                <w:szCs w:val="22"/>
                <w:lang w:val="ga"/>
              </w:rPr>
              <w:t>827</w:t>
            </w:r>
          </w:p>
        </w:tc>
        <w:tc>
          <w:tcPr>
            <w:tcW w:w="1559" w:type="dxa"/>
          </w:tcPr>
          <w:p w14:paraId="41BD57AF" w14:textId="0E954142" w:rsidR="00A4290E" w:rsidRPr="006F2FFB" w:rsidRDefault="00A4290E" w:rsidP="00A4290E">
            <w:pPr>
              <w:spacing w:after="0"/>
              <w:jc w:val="right"/>
              <w:rPr>
                <w:rFonts w:cs="Calibri"/>
                <w:color w:val="000000"/>
                <w:sz w:val="22"/>
                <w:szCs w:val="22"/>
              </w:rPr>
            </w:pPr>
            <w:r>
              <w:rPr>
                <w:rFonts w:cs="Calibri"/>
                <w:color w:val="000000"/>
                <w:sz w:val="22"/>
                <w:szCs w:val="22"/>
                <w:lang w:val="ga"/>
              </w:rPr>
              <w:t>54</w:t>
            </w:r>
          </w:p>
        </w:tc>
        <w:tc>
          <w:tcPr>
            <w:tcW w:w="1701" w:type="dxa"/>
          </w:tcPr>
          <w:p w14:paraId="17D99D42" w14:textId="4A8A9F3C" w:rsidR="00A4290E" w:rsidRPr="006F2FFB" w:rsidRDefault="00A4290E" w:rsidP="00A4290E">
            <w:pPr>
              <w:spacing w:after="0"/>
              <w:jc w:val="right"/>
              <w:rPr>
                <w:rFonts w:cs="Calibri"/>
                <w:color w:val="000000"/>
                <w:sz w:val="22"/>
                <w:szCs w:val="22"/>
              </w:rPr>
            </w:pPr>
            <w:r>
              <w:rPr>
                <w:rFonts w:cs="Calibri"/>
                <w:color w:val="000000"/>
                <w:sz w:val="22"/>
                <w:szCs w:val="22"/>
                <w:lang w:val="ga"/>
              </w:rPr>
              <w:t>6.5%</w:t>
            </w:r>
          </w:p>
        </w:tc>
      </w:tr>
      <w:tr w:rsidR="00A4290E" w:rsidRPr="006F2FFB" w14:paraId="52C428F7" w14:textId="77777777" w:rsidTr="000B04F5">
        <w:trPr>
          <w:jc w:val="center"/>
        </w:trPr>
        <w:tc>
          <w:tcPr>
            <w:tcW w:w="1706" w:type="dxa"/>
            <w:vAlign w:val="bottom"/>
          </w:tcPr>
          <w:p w14:paraId="447784C7" w14:textId="023F331B" w:rsidR="00A4290E" w:rsidRPr="006F2FFB" w:rsidRDefault="00A4290E" w:rsidP="00A4290E">
            <w:pPr>
              <w:spacing w:after="0"/>
              <w:rPr>
                <w:sz w:val="22"/>
                <w:szCs w:val="22"/>
              </w:rPr>
            </w:pPr>
            <w:r>
              <w:rPr>
                <w:rFonts w:cs="Calibri"/>
                <w:color w:val="000000"/>
                <w:sz w:val="22"/>
                <w:szCs w:val="22"/>
                <w:lang w:val="ga"/>
              </w:rPr>
              <w:t>An Oifig um Sholáthar Rialtais</w:t>
            </w:r>
          </w:p>
        </w:tc>
        <w:tc>
          <w:tcPr>
            <w:tcW w:w="1701" w:type="dxa"/>
          </w:tcPr>
          <w:p w14:paraId="382D9EEF" w14:textId="5CFC2F11" w:rsidR="00A4290E" w:rsidRPr="006F2FFB" w:rsidRDefault="00A4290E" w:rsidP="00A4290E">
            <w:pPr>
              <w:spacing w:after="0"/>
              <w:jc w:val="right"/>
              <w:rPr>
                <w:sz w:val="22"/>
                <w:szCs w:val="22"/>
              </w:rPr>
            </w:pPr>
            <w:r>
              <w:rPr>
                <w:rFonts w:cs="Calibri"/>
                <w:color w:val="000000"/>
                <w:sz w:val="22"/>
                <w:szCs w:val="22"/>
                <w:lang w:val="ga"/>
              </w:rPr>
              <w:t>243</w:t>
            </w:r>
          </w:p>
        </w:tc>
        <w:tc>
          <w:tcPr>
            <w:tcW w:w="1418" w:type="dxa"/>
          </w:tcPr>
          <w:p w14:paraId="49370C18" w14:textId="7E519405" w:rsidR="00A4290E" w:rsidRPr="006F2FFB" w:rsidRDefault="00A4290E" w:rsidP="00A4290E">
            <w:pPr>
              <w:spacing w:after="0"/>
              <w:jc w:val="right"/>
              <w:rPr>
                <w:sz w:val="22"/>
                <w:szCs w:val="22"/>
              </w:rPr>
            </w:pPr>
            <w:r>
              <w:rPr>
                <w:rFonts w:cs="Calibri"/>
                <w:color w:val="000000"/>
                <w:sz w:val="22"/>
                <w:szCs w:val="22"/>
                <w:lang w:val="ga"/>
              </w:rPr>
              <w:t>19</w:t>
            </w:r>
          </w:p>
        </w:tc>
        <w:tc>
          <w:tcPr>
            <w:tcW w:w="1559" w:type="dxa"/>
          </w:tcPr>
          <w:p w14:paraId="5FD7C351" w14:textId="4FEB8DF9" w:rsidR="00A4290E" w:rsidRPr="006F2FFB" w:rsidRDefault="00A4290E" w:rsidP="00A4290E">
            <w:pPr>
              <w:spacing w:after="0"/>
              <w:jc w:val="right"/>
              <w:rPr>
                <w:sz w:val="22"/>
                <w:szCs w:val="22"/>
              </w:rPr>
            </w:pPr>
            <w:r>
              <w:rPr>
                <w:rFonts w:cs="Calibri"/>
                <w:color w:val="000000"/>
                <w:sz w:val="22"/>
                <w:szCs w:val="22"/>
                <w:lang w:val="ga"/>
              </w:rPr>
              <w:t>7.8%</w:t>
            </w:r>
          </w:p>
        </w:tc>
        <w:tc>
          <w:tcPr>
            <w:tcW w:w="1701" w:type="dxa"/>
          </w:tcPr>
          <w:p w14:paraId="736CE904" w14:textId="5422376D" w:rsidR="00A4290E" w:rsidRPr="006F2FFB" w:rsidRDefault="00A4290E" w:rsidP="00A4290E">
            <w:pPr>
              <w:spacing w:after="0"/>
              <w:jc w:val="right"/>
              <w:rPr>
                <w:rFonts w:cs="Calibri"/>
                <w:color w:val="000000"/>
                <w:sz w:val="22"/>
                <w:szCs w:val="22"/>
              </w:rPr>
            </w:pPr>
            <w:r>
              <w:rPr>
                <w:rFonts w:cs="Calibri"/>
                <w:color w:val="000000"/>
                <w:sz w:val="22"/>
                <w:szCs w:val="22"/>
                <w:lang w:val="ga"/>
              </w:rPr>
              <w:t>232</w:t>
            </w:r>
          </w:p>
        </w:tc>
        <w:tc>
          <w:tcPr>
            <w:tcW w:w="1559" w:type="dxa"/>
          </w:tcPr>
          <w:p w14:paraId="3434428E" w14:textId="0EF53A4D" w:rsidR="00A4290E" w:rsidRPr="006F2FFB" w:rsidRDefault="00A4290E" w:rsidP="00A4290E">
            <w:pPr>
              <w:spacing w:after="0"/>
              <w:jc w:val="right"/>
              <w:rPr>
                <w:rFonts w:cs="Calibri"/>
                <w:color w:val="000000"/>
                <w:sz w:val="22"/>
                <w:szCs w:val="22"/>
              </w:rPr>
            </w:pPr>
            <w:r>
              <w:rPr>
                <w:rFonts w:cs="Calibri"/>
                <w:color w:val="000000"/>
                <w:sz w:val="22"/>
                <w:szCs w:val="22"/>
                <w:lang w:val="ga"/>
              </w:rPr>
              <w:t>15</w:t>
            </w:r>
          </w:p>
        </w:tc>
        <w:tc>
          <w:tcPr>
            <w:tcW w:w="1701" w:type="dxa"/>
          </w:tcPr>
          <w:p w14:paraId="53E9FE0D" w14:textId="430BAE1E" w:rsidR="00A4290E" w:rsidRPr="006F2FFB" w:rsidRDefault="00A4290E" w:rsidP="00A4290E">
            <w:pPr>
              <w:spacing w:after="0"/>
              <w:jc w:val="right"/>
              <w:rPr>
                <w:rFonts w:cs="Calibri"/>
                <w:color w:val="000000"/>
                <w:sz w:val="22"/>
                <w:szCs w:val="22"/>
              </w:rPr>
            </w:pPr>
            <w:r>
              <w:rPr>
                <w:rFonts w:cs="Calibri"/>
                <w:color w:val="000000"/>
                <w:sz w:val="22"/>
                <w:szCs w:val="22"/>
                <w:lang w:val="ga"/>
              </w:rPr>
              <w:t>6.5%</w:t>
            </w:r>
          </w:p>
        </w:tc>
      </w:tr>
      <w:tr w:rsidR="00A4290E" w:rsidRPr="006F2FFB" w14:paraId="0C1DECEB" w14:textId="77777777" w:rsidTr="000B04F5">
        <w:trPr>
          <w:jc w:val="center"/>
        </w:trPr>
        <w:tc>
          <w:tcPr>
            <w:tcW w:w="1706" w:type="dxa"/>
            <w:vAlign w:val="bottom"/>
          </w:tcPr>
          <w:p w14:paraId="6474DB74" w14:textId="4D9848AE" w:rsidR="00A4290E" w:rsidRPr="006F2FFB" w:rsidRDefault="00A4290E" w:rsidP="00A4290E">
            <w:pPr>
              <w:rPr>
                <w:sz w:val="22"/>
                <w:szCs w:val="22"/>
              </w:rPr>
            </w:pPr>
            <w:r>
              <w:rPr>
                <w:rFonts w:cs="Calibri"/>
                <w:color w:val="000000"/>
                <w:sz w:val="22"/>
                <w:szCs w:val="22"/>
                <w:lang w:val="ga"/>
              </w:rPr>
              <w:t>Oifig na nOibreacha Poiblí</w:t>
            </w:r>
          </w:p>
        </w:tc>
        <w:tc>
          <w:tcPr>
            <w:tcW w:w="1701" w:type="dxa"/>
          </w:tcPr>
          <w:p w14:paraId="7213DC10" w14:textId="46D4E096" w:rsidR="00A4290E" w:rsidRPr="006F2FFB" w:rsidRDefault="00A4290E" w:rsidP="00A4290E">
            <w:pPr>
              <w:spacing w:after="0"/>
              <w:jc w:val="right"/>
              <w:rPr>
                <w:sz w:val="22"/>
                <w:szCs w:val="22"/>
              </w:rPr>
            </w:pPr>
            <w:r>
              <w:rPr>
                <w:rFonts w:cs="Calibri"/>
                <w:color w:val="000000"/>
                <w:sz w:val="22"/>
                <w:szCs w:val="22"/>
                <w:lang w:val="ga"/>
              </w:rPr>
              <w:t>2,110</w:t>
            </w:r>
          </w:p>
        </w:tc>
        <w:tc>
          <w:tcPr>
            <w:tcW w:w="1418" w:type="dxa"/>
          </w:tcPr>
          <w:p w14:paraId="7EEE335E" w14:textId="1B135C41" w:rsidR="00A4290E" w:rsidRPr="006F2FFB" w:rsidRDefault="00A4290E" w:rsidP="00A4290E">
            <w:pPr>
              <w:spacing w:after="0"/>
              <w:jc w:val="right"/>
              <w:rPr>
                <w:sz w:val="22"/>
                <w:szCs w:val="22"/>
              </w:rPr>
            </w:pPr>
            <w:r>
              <w:rPr>
                <w:rFonts w:cs="Calibri"/>
                <w:color w:val="000000"/>
                <w:sz w:val="22"/>
                <w:szCs w:val="22"/>
                <w:lang w:val="ga"/>
              </w:rPr>
              <w:t>69</w:t>
            </w:r>
          </w:p>
        </w:tc>
        <w:tc>
          <w:tcPr>
            <w:tcW w:w="1559" w:type="dxa"/>
          </w:tcPr>
          <w:p w14:paraId="13358A2C" w14:textId="786189EC" w:rsidR="00A4290E" w:rsidRPr="006F2FFB" w:rsidRDefault="00A4290E" w:rsidP="00A4290E">
            <w:pPr>
              <w:spacing w:after="0"/>
              <w:jc w:val="right"/>
              <w:rPr>
                <w:sz w:val="22"/>
                <w:szCs w:val="22"/>
              </w:rPr>
            </w:pPr>
            <w:r>
              <w:rPr>
                <w:rFonts w:cs="Calibri"/>
                <w:color w:val="000000"/>
                <w:sz w:val="22"/>
                <w:szCs w:val="22"/>
                <w:lang w:val="ga"/>
              </w:rPr>
              <w:t>3.3%</w:t>
            </w:r>
          </w:p>
        </w:tc>
        <w:tc>
          <w:tcPr>
            <w:tcW w:w="1701" w:type="dxa"/>
          </w:tcPr>
          <w:p w14:paraId="0802788E" w14:textId="3FB5402B" w:rsidR="00A4290E" w:rsidRPr="006F2FFB" w:rsidRDefault="00A4290E" w:rsidP="00A4290E">
            <w:pPr>
              <w:spacing w:after="0"/>
              <w:jc w:val="right"/>
              <w:rPr>
                <w:rFonts w:cs="Calibri"/>
                <w:color w:val="000000"/>
                <w:sz w:val="22"/>
                <w:szCs w:val="22"/>
              </w:rPr>
            </w:pPr>
            <w:r>
              <w:rPr>
                <w:rFonts w:cs="Calibri"/>
                <w:color w:val="000000"/>
                <w:sz w:val="22"/>
                <w:szCs w:val="22"/>
                <w:lang w:val="ga"/>
              </w:rPr>
              <w:t>2124</w:t>
            </w:r>
          </w:p>
        </w:tc>
        <w:tc>
          <w:tcPr>
            <w:tcW w:w="1559" w:type="dxa"/>
          </w:tcPr>
          <w:p w14:paraId="61D78666" w14:textId="70CA4DB9" w:rsidR="00A4290E" w:rsidRPr="006F2FFB" w:rsidRDefault="00A4290E" w:rsidP="00A4290E">
            <w:pPr>
              <w:spacing w:after="0"/>
              <w:jc w:val="right"/>
              <w:rPr>
                <w:rFonts w:cs="Calibri"/>
                <w:color w:val="000000"/>
                <w:sz w:val="22"/>
                <w:szCs w:val="22"/>
              </w:rPr>
            </w:pPr>
            <w:r>
              <w:rPr>
                <w:rFonts w:cs="Calibri"/>
                <w:color w:val="000000"/>
                <w:sz w:val="22"/>
                <w:szCs w:val="22"/>
                <w:lang w:val="ga"/>
              </w:rPr>
              <w:t>71</w:t>
            </w:r>
          </w:p>
        </w:tc>
        <w:tc>
          <w:tcPr>
            <w:tcW w:w="1701" w:type="dxa"/>
          </w:tcPr>
          <w:p w14:paraId="244BD458" w14:textId="32238F43" w:rsidR="00A4290E" w:rsidRPr="006F2FFB" w:rsidRDefault="00A4290E" w:rsidP="00A4290E">
            <w:pPr>
              <w:spacing w:after="0"/>
              <w:jc w:val="right"/>
              <w:rPr>
                <w:rFonts w:cs="Calibri"/>
                <w:color w:val="000000"/>
                <w:sz w:val="22"/>
                <w:szCs w:val="22"/>
              </w:rPr>
            </w:pPr>
            <w:r>
              <w:rPr>
                <w:rFonts w:cs="Calibri"/>
                <w:color w:val="000000"/>
                <w:sz w:val="22"/>
                <w:szCs w:val="22"/>
                <w:lang w:val="ga"/>
              </w:rPr>
              <w:t>3.3%</w:t>
            </w:r>
          </w:p>
        </w:tc>
      </w:tr>
      <w:tr w:rsidR="00A4290E" w:rsidRPr="006F2FFB" w14:paraId="5CBD22B0" w14:textId="77777777" w:rsidTr="000B04F5">
        <w:trPr>
          <w:jc w:val="center"/>
        </w:trPr>
        <w:tc>
          <w:tcPr>
            <w:tcW w:w="1706" w:type="dxa"/>
            <w:vAlign w:val="bottom"/>
          </w:tcPr>
          <w:p w14:paraId="6E37116D" w14:textId="66292C0E" w:rsidR="00A4290E" w:rsidRPr="006F2FFB" w:rsidRDefault="00A4290E" w:rsidP="00A4290E">
            <w:pPr>
              <w:rPr>
                <w:sz w:val="22"/>
                <w:szCs w:val="22"/>
              </w:rPr>
            </w:pPr>
            <w:r>
              <w:rPr>
                <w:rFonts w:cs="Calibri"/>
                <w:color w:val="000000"/>
                <w:sz w:val="22"/>
                <w:szCs w:val="22"/>
                <w:lang w:val="ga"/>
              </w:rPr>
              <w:t>Oifig an Ard-Aighne</w:t>
            </w:r>
          </w:p>
        </w:tc>
        <w:tc>
          <w:tcPr>
            <w:tcW w:w="1701" w:type="dxa"/>
          </w:tcPr>
          <w:p w14:paraId="51A48220" w14:textId="63E609FD" w:rsidR="00A4290E" w:rsidRPr="006F2FFB" w:rsidRDefault="00A4290E" w:rsidP="00A4290E">
            <w:pPr>
              <w:spacing w:after="0"/>
              <w:jc w:val="right"/>
              <w:rPr>
                <w:sz w:val="22"/>
                <w:szCs w:val="22"/>
              </w:rPr>
            </w:pPr>
            <w:r>
              <w:rPr>
                <w:rFonts w:cs="Calibri"/>
                <w:color w:val="000000"/>
                <w:sz w:val="22"/>
                <w:szCs w:val="22"/>
                <w:lang w:val="ga"/>
              </w:rPr>
              <w:t>148</w:t>
            </w:r>
          </w:p>
        </w:tc>
        <w:tc>
          <w:tcPr>
            <w:tcW w:w="1418" w:type="dxa"/>
          </w:tcPr>
          <w:p w14:paraId="2F20E576" w14:textId="045236F2" w:rsidR="00A4290E" w:rsidRPr="006F2FFB" w:rsidRDefault="00A4290E" w:rsidP="00A4290E">
            <w:pPr>
              <w:spacing w:after="0"/>
              <w:jc w:val="right"/>
              <w:rPr>
                <w:sz w:val="22"/>
                <w:szCs w:val="22"/>
              </w:rPr>
            </w:pPr>
            <w:r>
              <w:rPr>
                <w:rFonts w:cs="Calibri"/>
                <w:color w:val="000000"/>
                <w:sz w:val="22"/>
                <w:szCs w:val="22"/>
                <w:lang w:val="ga"/>
              </w:rPr>
              <w:t>6</w:t>
            </w:r>
          </w:p>
        </w:tc>
        <w:tc>
          <w:tcPr>
            <w:tcW w:w="1559" w:type="dxa"/>
          </w:tcPr>
          <w:p w14:paraId="1C0F9F8F" w14:textId="231376D1" w:rsidR="00A4290E" w:rsidRPr="006F2FFB" w:rsidRDefault="00A4290E" w:rsidP="00A4290E">
            <w:pPr>
              <w:spacing w:after="0"/>
              <w:jc w:val="right"/>
              <w:rPr>
                <w:sz w:val="22"/>
                <w:szCs w:val="22"/>
              </w:rPr>
            </w:pPr>
            <w:r>
              <w:rPr>
                <w:rFonts w:cs="Calibri"/>
                <w:color w:val="000000"/>
                <w:sz w:val="22"/>
                <w:szCs w:val="22"/>
                <w:lang w:val="ga"/>
              </w:rPr>
              <w:t>4.1%</w:t>
            </w:r>
          </w:p>
        </w:tc>
        <w:tc>
          <w:tcPr>
            <w:tcW w:w="1701" w:type="dxa"/>
          </w:tcPr>
          <w:p w14:paraId="1E68F390" w14:textId="276B76DB" w:rsidR="00A4290E" w:rsidRPr="006F2FFB" w:rsidRDefault="00A4290E" w:rsidP="00A4290E">
            <w:pPr>
              <w:spacing w:after="0"/>
              <w:jc w:val="right"/>
              <w:rPr>
                <w:rFonts w:cs="Calibri"/>
                <w:color w:val="000000"/>
                <w:sz w:val="22"/>
                <w:szCs w:val="22"/>
              </w:rPr>
            </w:pPr>
            <w:r>
              <w:rPr>
                <w:rFonts w:cs="Calibri"/>
                <w:color w:val="000000"/>
                <w:sz w:val="22"/>
                <w:szCs w:val="22"/>
                <w:lang w:val="ga"/>
              </w:rPr>
              <w:t>138</w:t>
            </w:r>
          </w:p>
        </w:tc>
        <w:tc>
          <w:tcPr>
            <w:tcW w:w="1559" w:type="dxa"/>
          </w:tcPr>
          <w:p w14:paraId="3B54A125" w14:textId="1C14A36D" w:rsidR="00A4290E" w:rsidRPr="006F2FFB" w:rsidRDefault="00A4290E" w:rsidP="00A4290E">
            <w:pPr>
              <w:spacing w:after="0"/>
              <w:jc w:val="right"/>
              <w:rPr>
                <w:rFonts w:cs="Calibri"/>
                <w:color w:val="000000"/>
                <w:sz w:val="22"/>
                <w:szCs w:val="22"/>
              </w:rPr>
            </w:pPr>
            <w:r>
              <w:rPr>
                <w:rFonts w:cs="Calibri"/>
                <w:color w:val="000000"/>
                <w:sz w:val="22"/>
                <w:szCs w:val="22"/>
                <w:lang w:val="ga"/>
              </w:rPr>
              <w:t>5</w:t>
            </w:r>
          </w:p>
        </w:tc>
        <w:tc>
          <w:tcPr>
            <w:tcW w:w="1701" w:type="dxa"/>
          </w:tcPr>
          <w:p w14:paraId="38B6ED5F" w14:textId="193BD96E" w:rsidR="00A4290E" w:rsidRPr="006F2FFB" w:rsidRDefault="00A4290E" w:rsidP="00A4290E">
            <w:pPr>
              <w:spacing w:after="0"/>
              <w:jc w:val="right"/>
              <w:rPr>
                <w:rFonts w:cs="Calibri"/>
                <w:color w:val="000000"/>
                <w:sz w:val="22"/>
                <w:szCs w:val="22"/>
              </w:rPr>
            </w:pPr>
            <w:r>
              <w:rPr>
                <w:rFonts w:cs="Calibri"/>
                <w:color w:val="000000"/>
                <w:sz w:val="22"/>
                <w:szCs w:val="22"/>
                <w:lang w:val="ga"/>
              </w:rPr>
              <w:t>3.6%</w:t>
            </w:r>
          </w:p>
        </w:tc>
      </w:tr>
      <w:tr w:rsidR="00A4290E" w:rsidRPr="006F2FFB" w14:paraId="089BD6CB" w14:textId="77777777" w:rsidTr="000B04F5">
        <w:trPr>
          <w:jc w:val="center"/>
        </w:trPr>
        <w:tc>
          <w:tcPr>
            <w:tcW w:w="1706" w:type="dxa"/>
            <w:vAlign w:val="bottom"/>
          </w:tcPr>
          <w:p w14:paraId="135B94DE" w14:textId="548BF4B2" w:rsidR="00A4290E" w:rsidRPr="006F2FFB" w:rsidRDefault="00A4290E" w:rsidP="00A4290E">
            <w:pPr>
              <w:rPr>
                <w:sz w:val="22"/>
                <w:szCs w:val="22"/>
              </w:rPr>
            </w:pPr>
            <w:r>
              <w:rPr>
                <w:rFonts w:cs="Calibri"/>
                <w:color w:val="000000"/>
                <w:sz w:val="22"/>
                <w:szCs w:val="22"/>
                <w:lang w:val="ga"/>
              </w:rPr>
              <w:t>Oifig an Ard-Reachtaire Cuntas agus Ciste</w:t>
            </w:r>
          </w:p>
        </w:tc>
        <w:tc>
          <w:tcPr>
            <w:tcW w:w="1701" w:type="dxa"/>
          </w:tcPr>
          <w:p w14:paraId="3B6AD321" w14:textId="7A6ADC78" w:rsidR="00A4290E" w:rsidRPr="006F2FFB" w:rsidRDefault="00A4290E" w:rsidP="00A4290E">
            <w:pPr>
              <w:spacing w:after="0"/>
              <w:jc w:val="right"/>
              <w:rPr>
                <w:sz w:val="22"/>
                <w:szCs w:val="22"/>
              </w:rPr>
            </w:pPr>
            <w:r>
              <w:rPr>
                <w:rFonts w:cs="Calibri"/>
                <w:color w:val="000000"/>
                <w:sz w:val="22"/>
                <w:szCs w:val="22"/>
                <w:lang w:val="ga"/>
              </w:rPr>
              <w:t>178</w:t>
            </w:r>
          </w:p>
        </w:tc>
        <w:tc>
          <w:tcPr>
            <w:tcW w:w="1418" w:type="dxa"/>
          </w:tcPr>
          <w:p w14:paraId="0C326199" w14:textId="31F0923D" w:rsidR="00A4290E" w:rsidRPr="006F2FFB" w:rsidRDefault="00A4290E" w:rsidP="00A4290E">
            <w:pPr>
              <w:spacing w:after="0"/>
              <w:jc w:val="right"/>
              <w:rPr>
                <w:sz w:val="22"/>
                <w:szCs w:val="22"/>
              </w:rPr>
            </w:pPr>
            <w:r>
              <w:rPr>
                <w:rFonts w:cs="Calibri"/>
                <w:color w:val="000000"/>
                <w:sz w:val="22"/>
                <w:szCs w:val="22"/>
                <w:lang w:val="ga"/>
              </w:rPr>
              <w:t>15</w:t>
            </w:r>
          </w:p>
        </w:tc>
        <w:tc>
          <w:tcPr>
            <w:tcW w:w="1559" w:type="dxa"/>
          </w:tcPr>
          <w:p w14:paraId="03D6DE70" w14:textId="73934EE1" w:rsidR="00A4290E" w:rsidRPr="006F2FFB" w:rsidRDefault="00A4290E" w:rsidP="00A4290E">
            <w:pPr>
              <w:spacing w:after="0"/>
              <w:jc w:val="right"/>
              <w:rPr>
                <w:sz w:val="22"/>
                <w:szCs w:val="22"/>
              </w:rPr>
            </w:pPr>
            <w:r>
              <w:rPr>
                <w:rFonts w:cs="Calibri"/>
                <w:color w:val="000000"/>
                <w:sz w:val="22"/>
                <w:szCs w:val="22"/>
                <w:lang w:val="ga"/>
              </w:rPr>
              <w:t>8.4%</w:t>
            </w:r>
          </w:p>
        </w:tc>
        <w:tc>
          <w:tcPr>
            <w:tcW w:w="1701" w:type="dxa"/>
          </w:tcPr>
          <w:p w14:paraId="65201679" w14:textId="60BB831A" w:rsidR="00A4290E" w:rsidRPr="006F2FFB" w:rsidRDefault="00A4290E" w:rsidP="00A4290E">
            <w:pPr>
              <w:spacing w:after="0"/>
              <w:jc w:val="right"/>
              <w:rPr>
                <w:rFonts w:cs="Calibri"/>
                <w:color w:val="000000"/>
                <w:sz w:val="22"/>
                <w:szCs w:val="22"/>
              </w:rPr>
            </w:pPr>
            <w:r>
              <w:rPr>
                <w:rFonts w:cs="Calibri"/>
                <w:color w:val="000000"/>
                <w:sz w:val="22"/>
                <w:szCs w:val="22"/>
                <w:lang w:val="ga"/>
              </w:rPr>
              <w:t>203</w:t>
            </w:r>
          </w:p>
        </w:tc>
        <w:tc>
          <w:tcPr>
            <w:tcW w:w="1559" w:type="dxa"/>
          </w:tcPr>
          <w:p w14:paraId="1B0B0B1B" w14:textId="5ECE51C1" w:rsidR="00A4290E" w:rsidRPr="006F2FFB" w:rsidRDefault="00A4290E" w:rsidP="00A4290E">
            <w:pPr>
              <w:spacing w:after="0"/>
              <w:jc w:val="right"/>
              <w:rPr>
                <w:rFonts w:cs="Calibri"/>
                <w:color w:val="000000"/>
                <w:sz w:val="22"/>
                <w:szCs w:val="22"/>
              </w:rPr>
            </w:pPr>
            <w:r>
              <w:rPr>
                <w:rFonts w:cs="Calibri"/>
                <w:color w:val="000000"/>
                <w:sz w:val="22"/>
                <w:szCs w:val="22"/>
                <w:lang w:val="ga"/>
              </w:rPr>
              <w:t>13</w:t>
            </w:r>
          </w:p>
        </w:tc>
        <w:tc>
          <w:tcPr>
            <w:tcW w:w="1701" w:type="dxa"/>
          </w:tcPr>
          <w:p w14:paraId="11B5DAE9" w14:textId="28110D81" w:rsidR="00A4290E" w:rsidRPr="006F2FFB" w:rsidRDefault="00A4290E" w:rsidP="00A4290E">
            <w:pPr>
              <w:spacing w:after="0"/>
              <w:jc w:val="right"/>
              <w:rPr>
                <w:rFonts w:cs="Calibri"/>
                <w:color w:val="000000"/>
                <w:sz w:val="22"/>
                <w:szCs w:val="22"/>
              </w:rPr>
            </w:pPr>
            <w:r>
              <w:rPr>
                <w:rFonts w:cs="Calibri"/>
                <w:color w:val="000000"/>
                <w:sz w:val="22"/>
                <w:szCs w:val="22"/>
                <w:lang w:val="ga"/>
              </w:rPr>
              <w:t>6.4%</w:t>
            </w:r>
          </w:p>
        </w:tc>
      </w:tr>
      <w:tr w:rsidR="00A4290E" w:rsidRPr="006F2FFB" w14:paraId="569881A9" w14:textId="77777777" w:rsidTr="000B04F5">
        <w:trPr>
          <w:jc w:val="center"/>
        </w:trPr>
        <w:tc>
          <w:tcPr>
            <w:tcW w:w="1706" w:type="dxa"/>
            <w:vAlign w:val="bottom"/>
          </w:tcPr>
          <w:p w14:paraId="0BFADED1" w14:textId="55D285C2" w:rsidR="00A4290E" w:rsidRPr="006F2FFB" w:rsidRDefault="00A4290E" w:rsidP="00A4290E">
            <w:pPr>
              <w:rPr>
                <w:sz w:val="22"/>
                <w:szCs w:val="22"/>
              </w:rPr>
            </w:pPr>
            <w:r>
              <w:rPr>
                <w:rFonts w:cs="Calibri"/>
                <w:color w:val="000000"/>
                <w:sz w:val="22"/>
                <w:szCs w:val="22"/>
                <w:lang w:val="ga"/>
              </w:rPr>
              <w:t xml:space="preserve">Oifig an Choimisinéara Cosanta Sonraí </w:t>
            </w:r>
          </w:p>
        </w:tc>
        <w:tc>
          <w:tcPr>
            <w:tcW w:w="1701" w:type="dxa"/>
          </w:tcPr>
          <w:p w14:paraId="3242B166" w14:textId="1952C22A" w:rsidR="00A4290E" w:rsidRPr="006F2FFB" w:rsidRDefault="00A4290E" w:rsidP="00A4290E">
            <w:pPr>
              <w:spacing w:after="0"/>
              <w:jc w:val="right"/>
              <w:rPr>
                <w:sz w:val="22"/>
                <w:szCs w:val="22"/>
              </w:rPr>
            </w:pPr>
            <w:r>
              <w:rPr>
                <w:rFonts w:cs="Calibri"/>
                <w:color w:val="000000"/>
                <w:sz w:val="22"/>
                <w:szCs w:val="22"/>
                <w:lang w:val="ga"/>
              </w:rPr>
              <w:t>190</w:t>
            </w:r>
          </w:p>
        </w:tc>
        <w:tc>
          <w:tcPr>
            <w:tcW w:w="1418" w:type="dxa"/>
          </w:tcPr>
          <w:p w14:paraId="439C55BE" w14:textId="7FBD6A83" w:rsidR="00A4290E" w:rsidRPr="006F2FFB" w:rsidRDefault="00A4290E" w:rsidP="00A4290E">
            <w:pPr>
              <w:spacing w:after="0"/>
              <w:jc w:val="right"/>
              <w:rPr>
                <w:sz w:val="22"/>
                <w:szCs w:val="22"/>
              </w:rPr>
            </w:pPr>
            <w:r>
              <w:rPr>
                <w:rFonts w:cs="Calibri"/>
                <w:color w:val="000000"/>
                <w:sz w:val="22"/>
                <w:szCs w:val="22"/>
                <w:lang w:val="ga"/>
              </w:rPr>
              <w:t>13</w:t>
            </w:r>
          </w:p>
        </w:tc>
        <w:tc>
          <w:tcPr>
            <w:tcW w:w="1559" w:type="dxa"/>
          </w:tcPr>
          <w:p w14:paraId="5F9242FF" w14:textId="064ABB7B" w:rsidR="00A4290E" w:rsidRPr="006F2FFB" w:rsidRDefault="00A4290E" w:rsidP="00A4290E">
            <w:pPr>
              <w:spacing w:after="0"/>
              <w:jc w:val="right"/>
              <w:rPr>
                <w:sz w:val="22"/>
                <w:szCs w:val="22"/>
              </w:rPr>
            </w:pPr>
            <w:r>
              <w:rPr>
                <w:rFonts w:cs="Calibri"/>
                <w:color w:val="000000"/>
                <w:sz w:val="22"/>
                <w:szCs w:val="22"/>
                <w:lang w:val="ga"/>
              </w:rPr>
              <w:t>6.8%</w:t>
            </w:r>
          </w:p>
        </w:tc>
        <w:tc>
          <w:tcPr>
            <w:tcW w:w="1701" w:type="dxa"/>
          </w:tcPr>
          <w:p w14:paraId="09211CD6" w14:textId="14A16A98" w:rsidR="00A4290E" w:rsidRPr="006F2FFB" w:rsidRDefault="00A4290E" w:rsidP="00A4290E">
            <w:pPr>
              <w:spacing w:after="0"/>
              <w:jc w:val="right"/>
              <w:rPr>
                <w:rFonts w:cs="Calibri"/>
                <w:color w:val="000000"/>
                <w:sz w:val="22"/>
                <w:szCs w:val="22"/>
              </w:rPr>
            </w:pPr>
            <w:r>
              <w:rPr>
                <w:rFonts w:cs="Calibri"/>
                <w:color w:val="000000"/>
                <w:sz w:val="22"/>
                <w:szCs w:val="22"/>
                <w:lang w:val="ga"/>
              </w:rPr>
              <w:t>195</w:t>
            </w:r>
          </w:p>
        </w:tc>
        <w:tc>
          <w:tcPr>
            <w:tcW w:w="1559" w:type="dxa"/>
          </w:tcPr>
          <w:p w14:paraId="565BFC4E" w14:textId="2C234C0E" w:rsidR="00A4290E" w:rsidRPr="006F2FFB" w:rsidRDefault="00A4290E" w:rsidP="00A4290E">
            <w:pPr>
              <w:spacing w:after="0"/>
              <w:jc w:val="right"/>
              <w:rPr>
                <w:rFonts w:cs="Calibri"/>
                <w:color w:val="000000"/>
                <w:sz w:val="22"/>
                <w:szCs w:val="22"/>
              </w:rPr>
            </w:pPr>
            <w:r>
              <w:rPr>
                <w:rFonts w:cs="Calibri"/>
                <w:color w:val="000000"/>
                <w:sz w:val="22"/>
                <w:szCs w:val="22"/>
                <w:lang w:val="ga"/>
              </w:rPr>
              <w:t>25</w:t>
            </w:r>
          </w:p>
        </w:tc>
        <w:tc>
          <w:tcPr>
            <w:tcW w:w="1701" w:type="dxa"/>
          </w:tcPr>
          <w:p w14:paraId="21EB2FE1" w14:textId="313FDEB6" w:rsidR="00A4290E" w:rsidRPr="006F2FFB" w:rsidRDefault="00A4290E" w:rsidP="00A4290E">
            <w:pPr>
              <w:spacing w:after="0"/>
              <w:jc w:val="right"/>
              <w:rPr>
                <w:rFonts w:cs="Calibri"/>
                <w:color w:val="000000"/>
                <w:sz w:val="22"/>
                <w:szCs w:val="22"/>
              </w:rPr>
            </w:pPr>
            <w:r>
              <w:rPr>
                <w:rFonts w:cs="Calibri"/>
                <w:color w:val="000000"/>
                <w:sz w:val="22"/>
                <w:szCs w:val="22"/>
                <w:lang w:val="ga"/>
              </w:rPr>
              <w:t>12.8%</w:t>
            </w:r>
          </w:p>
        </w:tc>
      </w:tr>
      <w:tr w:rsidR="00A4290E" w:rsidRPr="006F2FFB" w14:paraId="3FB9DC11" w14:textId="77777777" w:rsidTr="000B04F5">
        <w:trPr>
          <w:jc w:val="center"/>
        </w:trPr>
        <w:tc>
          <w:tcPr>
            <w:tcW w:w="1706" w:type="dxa"/>
            <w:vAlign w:val="bottom"/>
          </w:tcPr>
          <w:p w14:paraId="1A91BFD8" w14:textId="1618F78A" w:rsidR="00A4290E" w:rsidRPr="006F2FFB" w:rsidRDefault="00A4290E" w:rsidP="00A4290E">
            <w:pPr>
              <w:rPr>
                <w:sz w:val="22"/>
                <w:szCs w:val="22"/>
              </w:rPr>
            </w:pPr>
            <w:r>
              <w:rPr>
                <w:rFonts w:cs="Calibri"/>
                <w:color w:val="000000"/>
                <w:sz w:val="22"/>
                <w:szCs w:val="22"/>
                <w:lang w:val="ga"/>
              </w:rPr>
              <w:t>Oifig an Stiúrthóra Ionchúiseamh Poiblí</w:t>
            </w:r>
          </w:p>
        </w:tc>
        <w:tc>
          <w:tcPr>
            <w:tcW w:w="1701" w:type="dxa"/>
          </w:tcPr>
          <w:p w14:paraId="647978EA" w14:textId="35FF0582" w:rsidR="00A4290E" w:rsidRPr="006F2FFB" w:rsidRDefault="00A4290E" w:rsidP="00A4290E">
            <w:pPr>
              <w:spacing w:after="0"/>
              <w:jc w:val="right"/>
              <w:rPr>
                <w:sz w:val="22"/>
                <w:szCs w:val="22"/>
              </w:rPr>
            </w:pPr>
            <w:r>
              <w:rPr>
                <w:rFonts w:cs="Calibri"/>
                <w:color w:val="000000"/>
                <w:sz w:val="22"/>
                <w:szCs w:val="22"/>
                <w:lang w:val="ga"/>
              </w:rPr>
              <w:t>226</w:t>
            </w:r>
          </w:p>
        </w:tc>
        <w:tc>
          <w:tcPr>
            <w:tcW w:w="1418" w:type="dxa"/>
          </w:tcPr>
          <w:p w14:paraId="232092BC" w14:textId="270DC63B" w:rsidR="00A4290E" w:rsidRPr="006F2FFB" w:rsidRDefault="00A4290E" w:rsidP="00A4290E">
            <w:pPr>
              <w:spacing w:after="0"/>
              <w:jc w:val="right"/>
              <w:rPr>
                <w:sz w:val="22"/>
                <w:szCs w:val="22"/>
              </w:rPr>
            </w:pPr>
            <w:r>
              <w:rPr>
                <w:rFonts w:cs="Calibri"/>
                <w:color w:val="000000"/>
                <w:sz w:val="22"/>
                <w:szCs w:val="22"/>
                <w:lang w:val="ga"/>
              </w:rPr>
              <w:t>7</w:t>
            </w:r>
          </w:p>
        </w:tc>
        <w:tc>
          <w:tcPr>
            <w:tcW w:w="1559" w:type="dxa"/>
          </w:tcPr>
          <w:p w14:paraId="33A9F516" w14:textId="38AD5892" w:rsidR="00A4290E" w:rsidRPr="006F2FFB" w:rsidRDefault="00A4290E" w:rsidP="00A4290E">
            <w:pPr>
              <w:spacing w:after="0"/>
              <w:jc w:val="right"/>
              <w:rPr>
                <w:sz w:val="22"/>
                <w:szCs w:val="22"/>
              </w:rPr>
            </w:pPr>
            <w:r>
              <w:rPr>
                <w:rFonts w:cs="Calibri"/>
                <w:color w:val="000000"/>
                <w:sz w:val="22"/>
                <w:szCs w:val="22"/>
                <w:lang w:val="ga"/>
              </w:rPr>
              <w:t>3.1%</w:t>
            </w:r>
          </w:p>
        </w:tc>
        <w:tc>
          <w:tcPr>
            <w:tcW w:w="1701" w:type="dxa"/>
          </w:tcPr>
          <w:p w14:paraId="1A2C2F13" w14:textId="0F82FD26" w:rsidR="00A4290E" w:rsidRPr="006F2FFB" w:rsidRDefault="00A4290E" w:rsidP="00A4290E">
            <w:pPr>
              <w:spacing w:after="0"/>
              <w:jc w:val="right"/>
              <w:rPr>
                <w:rFonts w:cs="Calibri"/>
                <w:color w:val="000000"/>
                <w:sz w:val="22"/>
                <w:szCs w:val="22"/>
              </w:rPr>
            </w:pPr>
            <w:r>
              <w:rPr>
                <w:rFonts w:cs="Calibri"/>
                <w:color w:val="000000"/>
                <w:sz w:val="22"/>
                <w:szCs w:val="22"/>
                <w:lang w:val="ga"/>
              </w:rPr>
              <w:t>233</w:t>
            </w:r>
          </w:p>
        </w:tc>
        <w:tc>
          <w:tcPr>
            <w:tcW w:w="1559" w:type="dxa"/>
          </w:tcPr>
          <w:p w14:paraId="2C16BCD4" w14:textId="612980FD" w:rsidR="00A4290E" w:rsidRPr="006F2FFB" w:rsidRDefault="00A4290E" w:rsidP="00A4290E">
            <w:pPr>
              <w:spacing w:after="0"/>
              <w:jc w:val="right"/>
              <w:rPr>
                <w:rFonts w:cs="Calibri"/>
                <w:color w:val="000000"/>
                <w:sz w:val="22"/>
                <w:szCs w:val="22"/>
              </w:rPr>
            </w:pPr>
            <w:r>
              <w:rPr>
                <w:rFonts w:cs="Calibri"/>
                <w:color w:val="000000"/>
                <w:sz w:val="22"/>
                <w:szCs w:val="22"/>
                <w:lang w:val="ga"/>
              </w:rPr>
              <w:t>8</w:t>
            </w:r>
          </w:p>
        </w:tc>
        <w:tc>
          <w:tcPr>
            <w:tcW w:w="1701" w:type="dxa"/>
          </w:tcPr>
          <w:p w14:paraId="7F56CB15" w14:textId="7A4FC594" w:rsidR="00A4290E" w:rsidRPr="006F2FFB" w:rsidRDefault="00A4290E" w:rsidP="00A4290E">
            <w:pPr>
              <w:spacing w:after="0"/>
              <w:jc w:val="right"/>
              <w:rPr>
                <w:rFonts w:cs="Calibri"/>
                <w:color w:val="000000"/>
                <w:sz w:val="22"/>
                <w:szCs w:val="22"/>
              </w:rPr>
            </w:pPr>
            <w:r>
              <w:rPr>
                <w:rFonts w:cs="Calibri"/>
                <w:color w:val="000000"/>
                <w:sz w:val="22"/>
                <w:szCs w:val="22"/>
                <w:lang w:val="ga"/>
              </w:rPr>
              <w:t>3.4%</w:t>
            </w:r>
          </w:p>
        </w:tc>
      </w:tr>
      <w:tr w:rsidR="00A4290E" w:rsidRPr="006F2FFB" w14:paraId="73BFE836" w14:textId="77777777" w:rsidTr="000B04F5">
        <w:trPr>
          <w:jc w:val="center"/>
        </w:trPr>
        <w:tc>
          <w:tcPr>
            <w:tcW w:w="1706" w:type="dxa"/>
            <w:vAlign w:val="bottom"/>
          </w:tcPr>
          <w:p w14:paraId="6901E4EC" w14:textId="56DD2DD7" w:rsidR="00A4290E" w:rsidRPr="006F2FFB" w:rsidRDefault="00A4290E" w:rsidP="00A4290E">
            <w:pPr>
              <w:rPr>
                <w:sz w:val="22"/>
                <w:szCs w:val="22"/>
              </w:rPr>
            </w:pPr>
            <w:r>
              <w:rPr>
                <w:rFonts w:cs="Calibri"/>
                <w:color w:val="000000"/>
                <w:sz w:val="22"/>
                <w:szCs w:val="22"/>
                <w:lang w:val="ga"/>
              </w:rPr>
              <w:t>Oifig an Ombudsman</w:t>
            </w:r>
          </w:p>
        </w:tc>
        <w:tc>
          <w:tcPr>
            <w:tcW w:w="1701" w:type="dxa"/>
          </w:tcPr>
          <w:p w14:paraId="08B831A4" w14:textId="3CCB5DD4" w:rsidR="00A4290E" w:rsidRPr="006F2FFB" w:rsidRDefault="00A4290E" w:rsidP="00A4290E">
            <w:pPr>
              <w:spacing w:after="0"/>
              <w:jc w:val="right"/>
              <w:rPr>
                <w:sz w:val="22"/>
                <w:szCs w:val="22"/>
              </w:rPr>
            </w:pPr>
            <w:r>
              <w:rPr>
                <w:rFonts w:cs="Calibri"/>
                <w:color w:val="000000"/>
                <w:sz w:val="22"/>
                <w:szCs w:val="22"/>
                <w:lang w:val="ga"/>
              </w:rPr>
              <w:t>140</w:t>
            </w:r>
          </w:p>
        </w:tc>
        <w:tc>
          <w:tcPr>
            <w:tcW w:w="1418" w:type="dxa"/>
          </w:tcPr>
          <w:p w14:paraId="1D551661" w14:textId="5D797F3A" w:rsidR="00A4290E" w:rsidRPr="006F2FFB" w:rsidRDefault="00A4290E" w:rsidP="00A4290E">
            <w:pPr>
              <w:spacing w:after="0"/>
              <w:jc w:val="right"/>
              <w:rPr>
                <w:sz w:val="22"/>
                <w:szCs w:val="22"/>
              </w:rPr>
            </w:pPr>
            <w:r>
              <w:rPr>
                <w:rFonts w:cs="Calibri"/>
                <w:color w:val="000000"/>
                <w:sz w:val="22"/>
                <w:szCs w:val="22"/>
                <w:lang w:val="ga"/>
              </w:rPr>
              <w:t>15</w:t>
            </w:r>
          </w:p>
        </w:tc>
        <w:tc>
          <w:tcPr>
            <w:tcW w:w="1559" w:type="dxa"/>
          </w:tcPr>
          <w:p w14:paraId="64484ABF" w14:textId="7FAEB265" w:rsidR="00A4290E" w:rsidRPr="006F2FFB" w:rsidRDefault="00A4290E" w:rsidP="00A4290E">
            <w:pPr>
              <w:spacing w:after="0"/>
              <w:jc w:val="right"/>
              <w:rPr>
                <w:sz w:val="22"/>
                <w:szCs w:val="22"/>
              </w:rPr>
            </w:pPr>
            <w:r>
              <w:rPr>
                <w:rFonts w:cs="Calibri"/>
                <w:color w:val="000000"/>
                <w:sz w:val="22"/>
                <w:szCs w:val="22"/>
                <w:lang w:val="ga"/>
              </w:rPr>
              <w:t>10.7%</w:t>
            </w:r>
          </w:p>
        </w:tc>
        <w:tc>
          <w:tcPr>
            <w:tcW w:w="1701" w:type="dxa"/>
          </w:tcPr>
          <w:p w14:paraId="4468747A" w14:textId="2F364990" w:rsidR="00A4290E" w:rsidRPr="006F2FFB" w:rsidRDefault="00A4290E" w:rsidP="00A4290E">
            <w:pPr>
              <w:spacing w:after="0"/>
              <w:jc w:val="right"/>
              <w:rPr>
                <w:rFonts w:cs="Calibri"/>
                <w:color w:val="000000"/>
                <w:sz w:val="22"/>
                <w:szCs w:val="22"/>
              </w:rPr>
            </w:pPr>
            <w:r>
              <w:rPr>
                <w:rFonts w:cs="Calibri"/>
                <w:color w:val="000000"/>
                <w:sz w:val="22"/>
                <w:szCs w:val="22"/>
                <w:lang w:val="ga"/>
              </w:rPr>
              <w:t>149</w:t>
            </w:r>
          </w:p>
        </w:tc>
        <w:tc>
          <w:tcPr>
            <w:tcW w:w="1559" w:type="dxa"/>
          </w:tcPr>
          <w:p w14:paraId="76494628" w14:textId="104643D4" w:rsidR="00A4290E" w:rsidRPr="006F2FFB" w:rsidRDefault="00A4290E" w:rsidP="00A4290E">
            <w:pPr>
              <w:spacing w:after="0"/>
              <w:jc w:val="right"/>
              <w:rPr>
                <w:rFonts w:cs="Calibri"/>
                <w:color w:val="000000"/>
                <w:sz w:val="22"/>
                <w:szCs w:val="22"/>
              </w:rPr>
            </w:pPr>
            <w:r>
              <w:rPr>
                <w:rFonts w:cs="Calibri"/>
                <w:color w:val="000000"/>
                <w:sz w:val="22"/>
                <w:szCs w:val="22"/>
                <w:lang w:val="ga"/>
              </w:rPr>
              <w:t>12</w:t>
            </w:r>
          </w:p>
        </w:tc>
        <w:tc>
          <w:tcPr>
            <w:tcW w:w="1701" w:type="dxa"/>
          </w:tcPr>
          <w:p w14:paraId="74156490" w14:textId="615BBA52" w:rsidR="00A4290E" w:rsidRPr="006F2FFB" w:rsidRDefault="00A4290E" w:rsidP="00A4290E">
            <w:pPr>
              <w:spacing w:after="0"/>
              <w:jc w:val="right"/>
              <w:rPr>
                <w:rFonts w:cs="Calibri"/>
                <w:color w:val="000000"/>
                <w:sz w:val="22"/>
                <w:szCs w:val="22"/>
              </w:rPr>
            </w:pPr>
            <w:r>
              <w:rPr>
                <w:rFonts w:cs="Calibri"/>
                <w:color w:val="000000"/>
                <w:sz w:val="22"/>
                <w:szCs w:val="22"/>
                <w:lang w:val="ga"/>
              </w:rPr>
              <w:t>8.1%</w:t>
            </w:r>
          </w:p>
        </w:tc>
      </w:tr>
      <w:tr w:rsidR="00A4290E" w:rsidRPr="006F2FFB" w14:paraId="19AEC64C" w14:textId="77777777" w:rsidTr="000B04F5">
        <w:trPr>
          <w:jc w:val="center"/>
        </w:trPr>
        <w:tc>
          <w:tcPr>
            <w:tcW w:w="1706" w:type="dxa"/>
            <w:vAlign w:val="bottom"/>
          </w:tcPr>
          <w:p w14:paraId="191DC7EE" w14:textId="7E348098" w:rsidR="00A4290E" w:rsidRPr="006F2FFB" w:rsidRDefault="00A4290E" w:rsidP="00A4290E">
            <w:pPr>
              <w:rPr>
                <w:sz w:val="22"/>
                <w:szCs w:val="22"/>
              </w:rPr>
            </w:pPr>
            <w:r>
              <w:rPr>
                <w:rFonts w:cs="Calibri"/>
                <w:color w:val="000000"/>
                <w:sz w:val="22"/>
                <w:szCs w:val="22"/>
                <w:lang w:val="ga"/>
              </w:rPr>
              <w:t>Oifig an Rialálaí Pleanála</w:t>
            </w:r>
          </w:p>
        </w:tc>
        <w:tc>
          <w:tcPr>
            <w:tcW w:w="1701" w:type="dxa"/>
          </w:tcPr>
          <w:p w14:paraId="268BA844" w14:textId="28F03FF9" w:rsidR="00A4290E" w:rsidRPr="006F2FFB" w:rsidRDefault="00A4290E" w:rsidP="00A4290E">
            <w:pPr>
              <w:spacing w:after="0"/>
              <w:jc w:val="right"/>
              <w:rPr>
                <w:sz w:val="22"/>
                <w:szCs w:val="22"/>
              </w:rPr>
            </w:pPr>
            <w:r>
              <w:rPr>
                <w:rFonts w:cs="Calibri"/>
                <w:color w:val="000000"/>
                <w:sz w:val="22"/>
                <w:szCs w:val="22"/>
                <w:lang w:val="ga"/>
              </w:rPr>
              <w:t>24</w:t>
            </w:r>
          </w:p>
        </w:tc>
        <w:tc>
          <w:tcPr>
            <w:tcW w:w="1418" w:type="dxa"/>
          </w:tcPr>
          <w:p w14:paraId="56C2F206" w14:textId="72DFEC36" w:rsidR="00A4290E" w:rsidRPr="006F2FFB" w:rsidRDefault="00A4290E" w:rsidP="00A4290E">
            <w:pPr>
              <w:spacing w:after="0"/>
              <w:jc w:val="right"/>
              <w:rPr>
                <w:sz w:val="22"/>
                <w:szCs w:val="22"/>
              </w:rPr>
            </w:pPr>
            <w:r>
              <w:rPr>
                <w:rFonts w:cs="Calibri"/>
                <w:color w:val="000000"/>
                <w:sz w:val="22"/>
                <w:szCs w:val="22"/>
                <w:lang w:val="ga"/>
              </w:rPr>
              <w:t>1</w:t>
            </w:r>
          </w:p>
        </w:tc>
        <w:tc>
          <w:tcPr>
            <w:tcW w:w="1559" w:type="dxa"/>
          </w:tcPr>
          <w:p w14:paraId="0FCBA84C" w14:textId="2618E168" w:rsidR="00A4290E" w:rsidRPr="006F2FFB" w:rsidRDefault="00A4290E" w:rsidP="00A4290E">
            <w:pPr>
              <w:spacing w:after="0"/>
              <w:jc w:val="right"/>
              <w:rPr>
                <w:sz w:val="22"/>
                <w:szCs w:val="22"/>
              </w:rPr>
            </w:pPr>
            <w:r>
              <w:rPr>
                <w:rFonts w:cs="Calibri"/>
                <w:color w:val="000000"/>
                <w:sz w:val="22"/>
                <w:szCs w:val="22"/>
                <w:lang w:val="ga"/>
              </w:rPr>
              <w:t>4.2%</w:t>
            </w:r>
          </w:p>
        </w:tc>
        <w:tc>
          <w:tcPr>
            <w:tcW w:w="1701" w:type="dxa"/>
          </w:tcPr>
          <w:p w14:paraId="13043677" w14:textId="50B0D9FA" w:rsidR="00A4290E" w:rsidRPr="006F2FFB" w:rsidRDefault="00A4290E" w:rsidP="00A4290E">
            <w:pPr>
              <w:spacing w:after="0"/>
              <w:jc w:val="right"/>
              <w:rPr>
                <w:rFonts w:cs="Calibri"/>
                <w:color w:val="000000"/>
                <w:sz w:val="22"/>
                <w:szCs w:val="22"/>
              </w:rPr>
            </w:pPr>
            <w:r>
              <w:rPr>
                <w:rFonts w:cs="Calibri"/>
                <w:color w:val="000000"/>
                <w:sz w:val="22"/>
                <w:szCs w:val="22"/>
                <w:lang w:val="ga"/>
              </w:rPr>
              <w:t>28</w:t>
            </w:r>
          </w:p>
        </w:tc>
        <w:tc>
          <w:tcPr>
            <w:tcW w:w="1559" w:type="dxa"/>
          </w:tcPr>
          <w:p w14:paraId="23AA3851" w14:textId="72A4CE4A" w:rsidR="00A4290E" w:rsidRPr="006F2FFB" w:rsidRDefault="00A4290E" w:rsidP="00A4290E">
            <w:pPr>
              <w:spacing w:after="0"/>
              <w:jc w:val="right"/>
              <w:rPr>
                <w:rFonts w:cs="Calibri"/>
                <w:color w:val="000000"/>
                <w:sz w:val="22"/>
                <w:szCs w:val="22"/>
              </w:rPr>
            </w:pPr>
            <w:r>
              <w:rPr>
                <w:rFonts w:cs="Calibri"/>
                <w:color w:val="000000"/>
                <w:sz w:val="22"/>
                <w:szCs w:val="22"/>
                <w:lang w:val="ga"/>
              </w:rPr>
              <w:t>0</w:t>
            </w:r>
          </w:p>
        </w:tc>
        <w:tc>
          <w:tcPr>
            <w:tcW w:w="1701" w:type="dxa"/>
          </w:tcPr>
          <w:p w14:paraId="543F4109" w14:textId="1707C9DD" w:rsidR="00A4290E" w:rsidRPr="006F2FFB" w:rsidRDefault="00A4290E" w:rsidP="00A4290E">
            <w:pPr>
              <w:spacing w:after="0"/>
              <w:jc w:val="right"/>
              <w:rPr>
                <w:rFonts w:cs="Calibri"/>
                <w:color w:val="000000"/>
                <w:sz w:val="22"/>
                <w:szCs w:val="22"/>
              </w:rPr>
            </w:pPr>
            <w:r>
              <w:rPr>
                <w:rFonts w:cs="Calibri"/>
                <w:color w:val="000000"/>
                <w:sz w:val="22"/>
                <w:szCs w:val="22"/>
                <w:lang w:val="ga"/>
              </w:rPr>
              <w:t>0.0%</w:t>
            </w:r>
          </w:p>
        </w:tc>
      </w:tr>
      <w:tr w:rsidR="00A4290E" w:rsidRPr="006F2FFB" w14:paraId="4D4993B0" w14:textId="77777777" w:rsidTr="000B04F5">
        <w:trPr>
          <w:jc w:val="center"/>
        </w:trPr>
        <w:tc>
          <w:tcPr>
            <w:tcW w:w="1706" w:type="dxa"/>
            <w:vAlign w:val="bottom"/>
          </w:tcPr>
          <w:p w14:paraId="3DF8CE6E" w14:textId="713D18E2" w:rsidR="00A4290E" w:rsidRPr="006F2FFB" w:rsidRDefault="00A4290E" w:rsidP="00A4290E">
            <w:pPr>
              <w:rPr>
                <w:sz w:val="22"/>
                <w:szCs w:val="22"/>
              </w:rPr>
            </w:pPr>
            <w:r>
              <w:rPr>
                <w:rFonts w:cs="Calibri"/>
                <w:color w:val="000000"/>
                <w:sz w:val="22"/>
                <w:szCs w:val="22"/>
                <w:lang w:val="ga"/>
              </w:rPr>
              <w:t>Oifig na gCoimisinéirí Ioncaim</w:t>
            </w:r>
          </w:p>
        </w:tc>
        <w:tc>
          <w:tcPr>
            <w:tcW w:w="1701" w:type="dxa"/>
          </w:tcPr>
          <w:p w14:paraId="0D143A0A" w14:textId="4FD5ACC2" w:rsidR="00A4290E" w:rsidRPr="006F2FFB" w:rsidRDefault="00A4290E" w:rsidP="00A4290E">
            <w:pPr>
              <w:jc w:val="right"/>
              <w:rPr>
                <w:sz w:val="22"/>
                <w:szCs w:val="22"/>
              </w:rPr>
            </w:pPr>
            <w:r>
              <w:rPr>
                <w:rFonts w:cs="Calibri"/>
                <w:color w:val="000000"/>
                <w:sz w:val="22"/>
                <w:szCs w:val="22"/>
                <w:lang w:val="ga"/>
              </w:rPr>
              <w:t>6,783</w:t>
            </w:r>
          </w:p>
        </w:tc>
        <w:tc>
          <w:tcPr>
            <w:tcW w:w="1418" w:type="dxa"/>
          </w:tcPr>
          <w:p w14:paraId="5C035092" w14:textId="74F65EC7" w:rsidR="00A4290E" w:rsidRPr="006F2FFB" w:rsidRDefault="00A4290E" w:rsidP="00A4290E">
            <w:pPr>
              <w:spacing w:after="0"/>
              <w:jc w:val="right"/>
              <w:rPr>
                <w:sz w:val="22"/>
                <w:szCs w:val="22"/>
              </w:rPr>
            </w:pPr>
            <w:r>
              <w:rPr>
                <w:rFonts w:cs="Calibri"/>
                <w:color w:val="000000"/>
                <w:sz w:val="22"/>
                <w:szCs w:val="22"/>
                <w:lang w:val="ga"/>
              </w:rPr>
              <w:t>280</w:t>
            </w:r>
          </w:p>
        </w:tc>
        <w:tc>
          <w:tcPr>
            <w:tcW w:w="1559" w:type="dxa"/>
          </w:tcPr>
          <w:p w14:paraId="0636E110" w14:textId="2C267A8C" w:rsidR="00A4290E" w:rsidRPr="006F2FFB" w:rsidRDefault="00A4290E" w:rsidP="00A4290E">
            <w:pPr>
              <w:jc w:val="right"/>
              <w:rPr>
                <w:sz w:val="22"/>
                <w:szCs w:val="22"/>
              </w:rPr>
            </w:pPr>
            <w:r>
              <w:rPr>
                <w:rFonts w:cs="Calibri"/>
                <w:color w:val="000000"/>
                <w:sz w:val="22"/>
                <w:szCs w:val="22"/>
                <w:lang w:val="ga"/>
              </w:rPr>
              <w:t>4.1%</w:t>
            </w:r>
          </w:p>
        </w:tc>
        <w:tc>
          <w:tcPr>
            <w:tcW w:w="1701" w:type="dxa"/>
          </w:tcPr>
          <w:p w14:paraId="0264C522" w14:textId="2BA71C4B" w:rsidR="00A4290E" w:rsidRPr="006F2FFB" w:rsidRDefault="00A4290E" w:rsidP="00A4290E">
            <w:pPr>
              <w:jc w:val="right"/>
              <w:rPr>
                <w:sz w:val="22"/>
                <w:szCs w:val="22"/>
              </w:rPr>
            </w:pPr>
            <w:r>
              <w:rPr>
                <w:rFonts w:cs="Calibri"/>
                <w:color w:val="000000"/>
                <w:sz w:val="22"/>
                <w:szCs w:val="22"/>
                <w:lang w:val="ga"/>
              </w:rPr>
              <w:t>6851</w:t>
            </w:r>
          </w:p>
        </w:tc>
        <w:tc>
          <w:tcPr>
            <w:tcW w:w="1559" w:type="dxa"/>
          </w:tcPr>
          <w:p w14:paraId="6EEB642B" w14:textId="378AE884" w:rsidR="00A4290E" w:rsidRPr="006F2FFB" w:rsidRDefault="00A4290E" w:rsidP="00A4290E">
            <w:pPr>
              <w:jc w:val="right"/>
              <w:rPr>
                <w:sz w:val="22"/>
                <w:szCs w:val="22"/>
              </w:rPr>
            </w:pPr>
            <w:r>
              <w:rPr>
                <w:rFonts w:cs="Calibri"/>
                <w:color w:val="000000"/>
                <w:sz w:val="22"/>
                <w:szCs w:val="22"/>
                <w:lang w:val="ga"/>
              </w:rPr>
              <w:t>266</w:t>
            </w:r>
          </w:p>
        </w:tc>
        <w:tc>
          <w:tcPr>
            <w:tcW w:w="1701" w:type="dxa"/>
          </w:tcPr>
          <w:p w14:paraId="576EB604" w14:textId="20D7D03F" w:rsidR="00A4290E" w:rsidRPr="006F2FFB" w:rsidRDefault="00A4290E" w:rsidP="00A4290E">
            <w:pPr>
              <w:jc w:val="right"/>
              <w:rPr>
                <w:sz w:val="22"/>
                <w:szCs w:val="22"/>
              </w:rPr>
            </w:pPr>
            <w:r>
              <w:rPr>
                <w:rFonts w:cs="Calibri"/>
                <w:color w:val="000000"/>
                <w:sz w:val="22"/>
                <w:szCs w:val="22"/>
                <w:lang w:val="ga"/>
              </w:rPr>
              <w:t>3.9%</w:t>
            </w:r>
          </w:p>
        </w:tc>
      </w:tr>
      <w:tr w:rsidR="00A4290E" w:rsidRPr="006F2FFB" w14:paraId="27466A63" w14:textId="77777777" w:rsidTr="000B04F5">
        <w:trPr>
          <w:jc w:val="center"/>
        </w:trPr>
        <w:tc>
          <w:tcPr>
            <w:tcW w:w="1706" w:type="dxa"/>
            <w:vAlign w:val="bottom"/>
          </w:tcPr>
          <w:p w14:paraId="2D6BB2ED" w14:textId="21FCB95C" w:rsidR="00A4290E" w:rsidRPr="006F2FFB" w:rsidRDefault="00A4290E" w:rsidP="00A4290E">
            <w:pPr>
              <w:rPr>
                <w:sz w:val="22"/>
                <w:szCs w:val="22"/>
              </w:rPr>
            </w:pPr>
            <w:r>
              <w:rPr>
                <w:rFonts w:cs="Calibri"/>
                <w:color w:val="000000"/>
                <w:sz w:val="22"/>
                <w:szCs w:val="22"/>
                <w:lang w:val="ga"/>
              </w:rPr>
              <w:t>Oifig an Ombudsman do Leanaí</w:t>
            </w:r>
          </w:p>
        </w:tc>
        <w:tc>
          <w:tcPr>
            <w:tcW w:w="1701" w:type="dxa"/>
          </w:tcPr>
          <w:p w14:paraId="17BBF655" w14:textId="13319E36" w:rsidR="00A4290E" w:rsidRPr="006F2FFB" w:rsidRDefault="00A4290E" w:rsidP="00A4290E">
            <w:pPr>
              <w:jc w:val="right"/>
              <w:rPr>
                <w:sz w:val="22"/>
                <w:szCs w:val="22"/>
              </w:rPr>
            </w:pPr>
            <w:r>
              <w:rPr>
                <w:rFonts w:cs="Calibri"/>
                <w:color w:val="000000"/>
                <w:sz w:val="22"/>
                <w:szCs w:val="22"/>
                <w:lang w:val="ga"/>
              </w:rPr>
              <w:t>30</w:t>
            </w:r>
          </w:p>
        </w:tc>
        <w:tc>
          <w:tcPr>
            <w:tcW w:w="1418" w:type="dxa"/>
          </w:tcPr>
          <w:p w14:paraId="20E5D241" w14:textId="2082F30D" w:rsidR="00A4290E" w:rsidRPr="006F2FFB" w:rsidRDefault="00A4290E" w:rsidP="00A4290E">
            <w:pPr>
              <w:spacing w:after="0"/>
              <w:jc w:val="right"/>
              <w:rPr>
                <w:sz w:val="22"/>
                <w:szCs w:val="22"/>
              </w:rPr>
            </w:pPr>
            <w:r>
              <w:rPr>
                <w:rFonts w:cs="Calibri"/>
                <w:color w:val="000000"/>
                <w:sz w:val="22"/>
                <w:szCs w:val="22"/>
                <w:lang w:val="ga"/>
              </w:rPr>
              <w:t>2</w:t>
            </w:r>
          </w:p>
        </w:tc>
        <w:tc>
          <w:tcPr>
            <w:tcW w:w="1559" w:type="dxa"/>
          </w:tcPr>
          <w:p w14:paraId="2BBFC402" w14:textId="21E2D9EB" w:rsidR="00A4290E" w:rsidRPr="006F2FFB" w:rsidRDefault="00A4290E" w:rsidP="00A4290E">
            <w:pPr>
              <w:jc w:val="right"/>
              <w:rPr>
                <w:sz w:val="22"/>
                <w:szCs w:val="22"/>
              </w:rPr>
            </w:pPr>
            <w:r>
              <w:rPr>
                <w:rFonts w:cs="Calibri"/>
                <w:color w:val="000000"/>
                <w:sz w:val="22"/>
                <w:szCs w:val="22"/>
                <w:lang w:val="ga"/>
              </w:rPr>
              <w:t>6.7%</w:t>
            </w:r>
          </w:p>
        </w:tc>
        <w:tc>
          <w:tcPr>
            <w:tcW w:w="1701" w:type="dxa"/>
          </w:tcPr>
          <w:p w14:paraId="76CF43A2" w14:textId="44F5463B" w:rsidR="00A4290E" w:rsidRPr="006F2FFB" w:rsidRDefault="00A4290E" w:rsidP="00A4290E">
            <w:pPr>
              <w:jc w:val="right"/>
              <w:rPr>
                <w:sz w:val="22"/>
                <w:szCs w:val="22"/>
              </w:rPr>
            </w:pPr>
            <w:r>
              <w:rPr>
                <w:rFonts w:cs="Calibri"/>
                <w:color w:val="000000"/>
                <w:sz w:val="22"/>
                <w:szCs w:val="22"/>
                <w:lang w:val="ga"/>
              </w:rPr>
              <w:t>39</w:t>
            </w:r>
          </w:p>
        </w:tc>
        <w:tc>
          <w:tcPr>
            <w:tcW w:w="1559" w:type="dxa"/>
          </w:tcPr>
          <w:p w14:paraId="0862A5ED" w14:textId="6706DEB3" w:rsidR="00A4290E" w:rsidRPr="006F2FFB" w:rsidRDefault="00A4290E" w:rsidP="00A4290E">
            <w:pPr>
              <w:jc w:val="right"/>
              <w:rPr>
                <w:sz w:val="22"/>
                <w:szCs w:val="22"/>
              </w:rPr>
            </w:pPr>
            <w:r>
              <w:rPr>
                <w:rFonts w:cs="Calibri"/>
                <w:color w:val="000000"/>
                <w:sz w:val="22"/>
                <w:szCs w:val="22"/>
                <w:lang w:val="ga"/>
              </w:rPr>
              <w:t>2</w:t>
            </w:r>
          </w:p>
        </w:tc>
        <w:tc>
          <w:tcPr>
            <w:tcW w:w="1701" w:type="dxa"/>
          </w:tcPr>
          <w:p w14:paraId="4B84232E" w14:textId="125CB3C4" w:rsidR="00A4290E" w:rsidRPr="006F2FFB" w:rsidRDefault="00A4290E" w:rsidP="00A4290E">
            <w:pPr>
              <w:jc w:val="right"/>
              <w:rPr>
                <w:sz w:val="22"/>
                <w:szCs w:val="22"/>
              </w:rPr>
            </w:pPr>
            <w:r>
              <w:rPr>
                <w:rFonts w:cs="Calibri"/>
                <w:color w:val="000000"/>
                <w:sz w:val="22"/>
                <w:szCs w:val="22"/>
                <w:lang w:val="ga"/>
              </w:rPr>
              <w:t>5.1%</w:t>
            </w:r>
          </w:p>
        </w:tc>
      </w:tr>
      <w:tr w:rsidR="00A4290E" w:rsidRPr="006F2FFB" w14:paraId="010599AB" w14:textId="77777777" w:rsidTr="000B04F5">
        <w:trPr>
          <w:jc w:val="center"/>
        </w:trPr>
        <w:tc>
          <w:tcPr>
            <w:tcW w:w="1706" w:type="dxa"/>
            <w:vAlign w:val="bottom"/>
          </w:tcPr>
          <w:p w14:paraId="38A2B03C" w14:textId="18A0132A" w:rsidR="00A4290E" w:rsidRPr="006F2FFB" w:rsidRDefault="0056603B" w:rsidP="00A4290E">
            <w:pPr>
              <w:rPr>
                <w:sz w:val="22"/>
                <w:szCs w:val="22"/>
              </w:rPr>
            </w:pPr>
            <w:r>
              <w:rPr>
                <w:rFonts w:cs="Calibri"/>
                <w:b/>
                <w:bCs/>
                <w:color w:val="000000"/>
                <w:sz w:val="22"/>
                <w:szCs w:val="22"/>
                <w:lang w:val="ga"/>
              </w:rPr>
              <w:t>*</w:t>
            </w:r>
            <w:r>
              <w:rPr>
                <w:rFonts w:cs="Calibri"/>
                <w:color w:val="000000"/>
                <w:sz w:val="22"/>
                <w:szCs w:val="22"/>
                <w:lang w:val="ga"/>
              </w:rPr>
              <w:t>An tÚdarás Póilíneachta</w:t>
            </w:r>
          </w:p>
        </w:tc>
        <w:tc>
          <w:tcPr>
            <w:tcW w:w="1701" w:type="dxa"/>
          </w:tcPr>
          <w:p w14:paraId="544FB953" w14:textId="18D5C924" w:rsidR="00A4290E" w:rsidRPr="006F2FFB" w:rsidRDefault="00A4290E" w:rsidP="00A4290E">
            <w:pPr>
              <w:jc w:val="right"/>
              <w:rPr>
                <w:sz w:val="22"/>
                <w:szCs w:val="22"/>
              </w:rPr>
            </w:pPr>
            <w:r>
              <w:rPr>
                <w:rFonts w:cs="Calibri"/>
                <w:color w:val="000000"/>
                <w:sz w:val="22"/>
                <w:szCs w:val="22"/>
                <w:lang w:val="ga"/>
              </w:rPr>
              <w:t>38</w:t>
            </w:r>
          </w:p>
        </w:tc>
        <w:tc>
          <w:tcPr>
            <w:tcW w:w="1418" w:type="dxa"/>
          </w:tcPr>
          <w:p w14:paraId="11858297" w14:textId="6B70AEAC" w:rsidR="00A4290E" w:rsidRPr="006F2FFB" w:rsidRDefault="00A4290E" w:rsidP="00A4290E">
            <w:pPr>
              <w:spacing w:after="0"/>
              <w:jc w:val="right"/>
              <w:rPr>
                <w:sz w:val="22"/>
                <w:szCs w:val="22"/>
              </w:rPr>
            </w:pPr>
            <w:r>
              <w:rPr>
                <w:rFonts w:cs="Calibri"/>
                <w:color w:val="000000"/>
                <w:sz w:val="22"/>
                <w:szCs w:val="22"/>
                <w:lang w:val="ga"/>
              </w:rPr>
              <w:t>3</w:t>
            </w:r>
          </w:p>
        </w:tc>
        <w:tc>
          <w:tcPr>
            <w:tcW w:w="1559" w:type="dxa"/>
          </w:tcPr>
          <w:p w14:paraId="49EFA1BD" w14:textId="138AABFC" w:rsidR="00A4290E" w:rsidRPr="006F2FFB" w:rsidRDefault="00A4290E" w:rsidP="00A4290E">
            <w:pPr>
              <w:jc w:val="right"/>
              <w:rPr>
                <w:sz w:val="22"/>
                <w:szCs w:val="22"/>
              </w:rPr>
            </w:pPr>
            <w:r>
              <w:rPr>
                <w:rFonts w:cs="Calibri"/>
                <w:color w:val="000000"/>
                <w:sz w:val="22"/>
                <w:szCs w:val="22"/>
                <w:lang w:val="ga"/>
              </w:rPr>
              <w:t>7.9%</w:t>
            </w:r>
          </w:p>
        </w:tc>
        <w:tc>
          <w:tcPr>
            <w:tcW w:w="1701" w:type="dxa"/>
          </w:tcPr>
          <w:p w14:paraId="091CA30F" w14:textId="10942F3C" w:rsidR="00A4290E" w:rsidRPr="006F2FFB" w:rsidRDefault="00A4290E" w:rsidP="00A4290E">
            <w:pPr>
              <w:jc w:val="right"/>
              <w:rPr>
                <w:sz w:val="22"/>
                <w:szCs w:val="22"/>
              </w:rPr>
            </w:pPr>
            <w:r>
              <w:rPr>
                <w:rFonts w:cs="Calibri"/>
                <w:color w:val="000000"/>
                <w:sz w:val="22"/>
                <w:szCs w:val="22"/>
                <w:lang w:val="ga"/>
              </w:rPr>
              <w:t>38</w:t>
            </w:r>
          </w:p>
        </w:tc>
        <w:tc>
          <w:tcPr>
            <w:tcW w:w="1559" w:type="dxa"/>
          </w:tcPr>
          <w:p w14:paraId="2AA8304C" w14:textId="0D9A7590" w:rsidR="00A4290E" w:rsidRPr="006F2FFB" w:rsidRDefault="00A4290E" w:rsidP="00A4290E">
            <w:pPr>
              <w:jc w:val="right"/>
              <w:rPr>
                <w:sz w:val="22"/>
                <w:szCs w:val="22"/>
              </w:rPr>
            </w:pPr>
            <w:r>
              <w:rPr>
                <w:rFonts w:cs="Calibri"/>
                <w:color w:val="000000"/>
                <w:sz w:val="22"/>
                <w:szCs w:val="22"/>
                <w:lang w:val="ga"/>
              </w:rPr>
              <w:t>4</w:t>
            </w:r>
          </w:p>
        </w:tc>
        <w:tc>
          <w:tcPr>
            <w:tcW w:w="1701" w:type="dxa"/>
          </w:tcPr>
          <w:p w14:paraId="11518FC8" w14:textId="0969267F" w:rsidR="00A4290E" w:rsidRPr="006F2FFB" w:rsidRDefault="00A4290E" w:rsidP="00A4290E">
            <w:pPr>
              <w:jc w:val="right"/>
              <w:rPr>
                <w:sz w:val="22"/>
                <w:szCs w:val="22"/>
              </w:rPr>
            </w:pPr>
            <w:r>
              <w:rPr>
                <w:rFonts w:cs="Calibri"/>
                <w:color w:val="000000"/>
                <w:sz w:val="22"/>
                <w:szCs w:val="22"/>
                <w:lang w:val="ga"/>
              </w:rPr>
              <w:t>10.5%</w:t>
            </w:r>
          </w:p>
        </w:tc>
      </w:tr>
      <w:tr w:rsidR="00A4290E" w:rsidRPr="006F2FFB" w14:paraId="1A53B0C7" w14:textId="77777777" w:rsidTr="000B04F5">
        <w:trPr>
          <w:jc w:val="center"/>
        </w:trPr>
        <w:tc>
          <w:tcPr>
            <w:tcW w:w="1706" w:type="dxa"/>
            <w:vAlign w:val="bottom"/>
          </w:tcPr>
          <w:p w14:paraId="0E005FC4" w14:textId="2C74FB3F" w:rsidR="00A4290E" w:rsidRPr="006F2FFB" w:rsidRDefault="00A4290E" w:rsidP="00A4290E">
            <w:pPr>
              <w:spacing w:after="0"/>
              <w:rPr>
                <w:sz w:val="22"/>
                <w:szCs w:val="22"/>
              </w:rPr>
            </w:pPr>
            <w:r>
              <w:rPr>
                <w:color w:val="000000"/>
                <w:sz w:val="22"/>
                <w:szCs w:val="22"/>
                <w:lang w:val="ga"/>
              </w:rPr>
              <w:t>Teaghlachas an Uachtaráin</w:t>
            </w:r>
            <w:r>
              <w:rPr>
                <w:sz w:val="22"/>
                <w:szCs w:val="22"/>
                <w:lang w:val="ga"/>
              </w:rPr>
              <w:t xml:space="preserve"> </w:t>
            </w:r>
          </w:p>
          <w:p w14:paraId="14449FE8" w14:textId="4FF086DE" w:rsidR="00A4290E" w:rsidRPr="006F2FFB" w:rsidRDefault="00A4290E" w:rsidP="00A4290E">
            <w:pPr>
              <w:rPr>
                <w:sz w:val="22"/>
                <w:szCs w:val="22"/>
              </w:rPr>
            </w:pPr>
          </w:p>
        </w:tc>
        <w:tc>
          <w:tcPr>
            <w:tcW w:w="1701" w:type="dxa"/>
          </w:tcPr>
          <w:p w14:paraId="27B74061" w14:textId="4AC6EC56" w:rsidR="00A4290E" w:rsidRPr="006F2FFB" w:rsidRDefault="00A4290E" w:rsidP="00A4290E">
            <w:pPr>
              <w:jc w:val="right"/>
              <w:rPr>
                <w:sz w:val="22"/>
                <w:szCs w:val="22"/>
              </w:rPr>
            </w:pPr>
            <w:r>
              <w:rPr>
                <w:rFonts w:cs="Calibri"/>
                <w:color w:val="000000"/>
                <w:sz w:val="22"/>
                <w:szCs w:val="22"/>
                <w:lang w:val="ga"/>
              </w:rPr>
              <w:t>23</w:t>
            </w:r>
          </w:p>
        </w:tc>
        <w:tc>
          <w:tcPr>
            <w:tcW w:w="1418" w:type="dxa"/>
          </w:tcPr>
          <w:p w14:paraId="3C2D8C73" w14:textId="6ECB6ACE" w:rsidR="00A4290E" w:rsidRPr="006F2FFB" w:rsidRDefault="00A4290E" w:rsidP="00A4290E">
            <w:pPr>
              <w:spacing w:after="0"/>
              <w:jc w:val="right"/>
              <w:rPr>
                <w:sz w:val="22"/>
                <w:szCs w:val="22"/>
              </w:rPr>
            </w:pPr>
            <w:r>
              <w:rPr>
                <w:rFonts w:cs="Calibri"/>
                <w:color w:val="000000"/>
                <w:sz w:val="22"/>
                <w:szCs w:val="22"/>
                <w:lang w:val="ga"/>
              </w:rPr>
              <w:t>0</w:t>
            </w:r>
          </w:p>
        </w:tc>
        <w:tc>
          <w:tcPr>
            <w:tcW w:w="1559" w:type="dxa"/>
          </w:tcPr>
          <w:p w14:paraId="3A71EEFF" w14:textId="39452587" w:rsidR="00A4290E" w:rsidRPr="006F2FFB" w:rsidRDefault="00A4290E" w:rsidP="00A4290E">
            <w:pPr>
              <w:jc w:val="right"/>
              <w:rPr>
                <w:sz w:val="22"/>
                <w:szCs w:val="22"/>
              </w:rPr>
            </w:pPr>
            <w:r>
              <w:rPr>
                <w:rFonts w:cs="Calibri"/>
                <w:color w:val="000000"/>
                <w:sz w:val="22"/>
                <w:szCs w:val="22"/>
                <w:lang w:val="ga"/>
              </w:rPr>
              <w:t>0.0%</w:t>
            </w:r>
          </w:p>
        </w:tc>
        <w:tc>
          <w:tcPr>
            <w:tcW w:w="1701" w:type="dxa"/>
          </w:tcPr>
          <w:p w14:paraId="3FEA7099" w14:textId="1FE4D68F" w:rsidR="00A4290E" w:rsidRPr="006F2FFB" w:rsidRDefault="00A4290E" w:rsidP="00A4290E">
            <w:pPr>
              <w:jc w:val="right"/>
              <w:rPr>
                <w:sz w:val="22"/>
                <w:szCs w:val="22"/>
              </w:rPr>
            </w:pPr>
            <w:r>
              <w:rPr>
                <w:rFonts w:cs="Calibri"/>
                <w:color w:val="000000"/>
                <w:sz w:val="22"/>
                <w:szCs w:val="22"/>
                <w:lang w:val="ga"/>
              </w:rPr>
              <w:t>27</w:t>
            </w:r>
          </w:p>
        </w:tc>
        <w:tc>
          <w:tcPr>
            <w:tcW w:w="1559" w:type="dxa"/>
          </w:tcPr>
          <w:p w14:paraId="1FEE6DC2" w14:textId="799CC470" w:rsidR="00A4290E" w:rsidRPr="006F2FFB" w:rsidRDefault="00A4290E" w:rsidP="00A4290E">
            <w:pPr>
              <w:jc w:val="right"/>
              <w:rPr>
                <w:sz w:val="22"/>
                <w:szCs w:val="22"/>
              </w:rPr>
            </w:pPr>
            <w:r>
              <w:rPr>
                <w:rFonts w:cs="Calibri"/>
                <w:color w:val="000000"/>
                <w:sz w:val="22"/>
                <w:szCs w:val="22"/>
                <w:lang w:val="ga"/>
              </w:rPr>
              <w:t>0</w:t>
            </w:r>
          </w:p>
        </w:tc>
        <w:tc>
          <w:tcPr>
            <w:tcW w:w="1701" w:type="dxa"/>
          </w:tcPr>
          <w:p w14:paraId="18F56C98" w14:textId="21F683C5" w:rsidR="00A4290E" w:rsidRPr="006F2FFB" w:rsidRDefault="00A4290E" w:rsidP="00A4290E">
            <w:pPr>
              <w:jc w:val="right"/>
              <w:rPr>
                <w:sz w:val="22"/>
                <w:szCs w:val="22"/>
              </w:rPr>
            </w:pPr>
            <w:r>
              <w:rPr>
                <w:rFonts w:cs="Calibri"/>
                <w:color w:val="000000"/>
                <w:sz w:val="22"/>
                <w:szCs w:val="22"/>
                <w:lang w:val="ga"/>
              </w:rPr>
              <w:t>0.0%</w:t>
            </w:r>
          </w:p>
        </w:tc>
      </w:tr>
      <w:tr w:rsidR="00A4290E" w:rsidRPr="006F2FFB" w14:paraId="51103D26" w14:textId="77777777" w:rsidTr="000B04F5">
        <w:trPr>
          <w:jc w:val="center"/>
        </w:trPr>
        <w:tc>
          <w:tcPr>
            <w:tcW w:w="1706" w:type="dxa"/>
            <w:vAlign w:val="bottom"/>
          </w:tcPr>
          <w:p w14:paraId="0C33A855" w14:textId="13A68749" w:rsidR="00A4290E" w:rsidRPr="006F2FFB" w:rsidRDefault="00A4290E" w:rsidP="00A4290E">
            <w:pPr>
              <w:rPr>
                <w:sz w:val="22"/>
                <w:szCs w:val="22"/>
              </w:rPr>
            </w:pPr>
            <w:r>
              <w:rPr>
                <w:rFonts w:cs="Calibri"/>
                <w:color w:val="000000"/>
                <w:sz w:val="22"/>
                <w:szCs w:val="22"/>
                <w:lang w:val="ga"/>
              </w:rPr>
              <w:t>An tÚdarás Clárúcháin Maoine</w:t>
            </w:r>
          </w:p>
        </w:tc>
        <w:tc>
          <w:tcPr>
            <w:tcW w:w="1701" w:type="dxa"/>
          </w:tcPr>
          <w:p w14:paraId="34CD7A4E" w14:textId="7CF42A36" w:rsidR="00A4290E" w:rsidRPr="006F2FFB" w:rsidRDefault="00A4290E" w:rsidP="00A4290E">
            <w:pPr>
              <w:jc w:val="right"/>
              <w:rPr>
                <w:sz w:val="22"/>
                <w:szCs w:val="22"/>
              </w:rPr>
            </w:pPr>
            <w:r>
              <w:rPr>
                <w:rFonts w:cs="Calibri"/>
                <w:color w:val="000000"/>
                <w:sz w:val="22"/>
                <w:szCs w:val="22"/>
                <w:lang w:val="ga"/>
              </w:rPr>
              <w:t>531</w:t>
            </w:r>
          </w:p>
        </w:tc>
        <w:tc>
          <w:tcPr>
            <w:tcW w:w="1418" w:type="dxa"/>
          </w:tcPr>
          <w:p w14:paraId="49D9C95E" w14:textId="46FC8A36" w:rsidR="00A4290E" w:rsidRPr="006F2FFB" w:rsidRDefault="00A4290E" w:rsidP="00A4290E">
            <w:pPr>
              <w:spacing w:after="0"/>
              <w:jc w:val="right"/>
              <w:rPr>
                <w:sz w:val="22"/>
                <w:szCs w:val="22"/>
              </w:rPr>
            </w:pPr>
            <w:r>
              <w:rPr>
                <w:rFonts w:cs="Calibri"/>
                <w:color w:val="000000"/>
                <w:sz w:val="22"/>
                <w:szCs w:val="22"/>
                <w:lang w:val="ga"/>
              </w:rPr>
              <w:t>39</w:t>
            </w:r>
          </w:p>
        </w:tc>
        <w:tc>
          <w:tcPr>
            <w:tcW w:w="1559" w:type="dxa"/>
          </w:tcPr>
          <w:p w14:paraId="430EFC7B" w14:textId="3395CB10" w:rsidR="00A4290E" w:rsidRPr="006F2FFB" w:rsidRDefault="00A4290E" w:rsidP="00A4290E">
            <w:pPr>
              <w:jc w:val="right"/>
              <w:rPr>
                <w:sz w:val="22"/>
                <w:szCs w:val="22"/>
              </w:rPr>
            </w:pPr>
            <w:r>
              <w:rPr>
                <w:rFonts w:cs="Calibri"/>
                <w:color w:val="000000"/>
                <w:sz w:val="22"/>
                <w:szCs w:val="22"/>
                <w:lang w:val="ga"/>
              </w:rPr>
              <w:t>7.3%</w:t>
            </w:r>
          </w:p>
        </w:tc>
        <w:tc>
          <w:tcPr>
            <w:tcW w:w="1701" w:type="dxa"/>
          </w:tcPr>
          <w:p w14:paraId="30F8D2A7" w14:textId="2907E38C" w:rsidR="00A4290E" w:rsidRPr="006F2FFB" w:rsidRDefault="00A4290E" w:rsidP="00A4290E">
            <w:pPr>
              <w:jc w:val="right"/>
              <w:rPr>
                <w:sz w:val="22"/>
                <w:szCs w:val="22"/>
              </w:rPr>
            </w:pPr>
            <w:r>
              <w:rPr>
                <w:rFonts w:cs="Calibri"/>
                <w:color w:val="000000"/>
                <w:sz w:val="22"/>
                <w:szCs w:val="22"/>
                <w:lang w:val="ga"/>
              </w:rPr>
              <w:t>538</w:t>
            </w:r>
          </w:p>
        </w:tc>
        <w:tc>
          <w:tcPr>
            <w:tcW w:w="1559" w:type="dxa"/>
          </w:tcPr>
          <w:p w14:paraId="54B60D95" w14:textId="0E29068F" w:rsidR="00A4290E" w:rsidRPr="006F2FFB" w:rsidRDefault="00A4290E" w:rsidP="00A4290E">
            <w:pPr>
              <w:jc w:val="right"/>
              <w:rPr>
                <w:sz w:val="22"/>
                <w:szCs w:val="22"/>
              </w:rPr>
            </w:pPr>
            <w:r>
              <w:rPr>
                <w:rFonts w:cs="Calibri"/>
                <w:color w:val="000000"/>
                <w:sz w:val="22"/>
                <w:szCs w:val="22"/>
                <w:lang w:val="ga"/>
              </w:rPr>
              <w:t>39</w:t>
            </w:r>
          </w:p>
        </w:tc>
        <w:tc>
          <w:tcPr>
            <w:tcW w:w="1701" w:type="dxa"/>
          </w:tcPr>
          <w:p w14:paraId="673400D1" w14:textId="0929E7CC" w:rsidR="00A4290E" w:rsidRPr="006F2FFB" w:rsidRDefault="00A4290E" w:rsidP="00A4290E">
            <w:pPr>
              <w:jc w:val="right"/>
              <w:rPr>
                <w:sz w:val="22"/>
                <w:szCs w:val="22"/>
              </w:rPr>
            </w:pPr>
            <w:r>
              <w:rPr>
                <w:rFonts w:cs="Calibri"/>
                <w:color w:val="000000"/>
                <w:sz w:val="22"/>
                <w:szCs w:val="22"/>
                <w:lang w:val="ga"/>
              </w:rPr>
              <w:t>7.2%</w:t>
            </w:r>
          </w:p>
        </w:tc>
      </w:tr>
      <w:tr w:rsidR="00A4290E" w:rsidRPr="006F2FFB" w14:paraId="06541099" w14:textId="77777777" w:rsidTr="000B04F5">
        <w:trPr>
          <w:jc w:val="center"/>
        </w:trPr>
        <w:tc>
          <w:tcPr>
            <w:tcW w:w="1706" w:type="dxa"/>
            <w:vAlign w:val="bottom"/>
          </w:tcPr>
          <w:p w14:paraId="378D8A02" w14:textId="2CF518B4" w:rsidR="00A4290E" w:rsidRPr="006F2FFB" w:rsidRDefault="008363FF" w:rsidP="00A4290E">
            <w:pPr>
              <w:spacing w:after="0"/>
              <w:rPr>
                <w:sz w:val="22"/>
                <w:szCs w:val="22"/>
              </w:rPr>
            </w:pPr>
            <w:r>
              <w:rPr>
                <w:rFonts w:cs="Calibri"/>
                <w:b/>
                <w:bCs/>
                <w:color w:val="000000"/>
                <w:sz w:val="22"/>
                <w:szCs w:val="22"/>
                <w:lang w:val="ga"/>
              </w:rPr>
              <w:t>*</w:t>
            </w:r>
            <w:r>
              <w:rPr>
                <w:rFonts w:cs="Calibri"/>
                <w:color w:val="000000"/>
                <w:sz w:val="22"/>
                <w:szCs w:val="22"/>
                <w:lang w:val="ga"/>
              </w:rPr>
              <w:t>An tÚdarás Rialála Seirbhísí Maoine</w:t>
            </w:r>
          </w:p>
        </w:tc>
        <w:tc>
          <w:tcPr>
            <w:tcW w:w="1701" w:type="dxa"/>
          </w:tcPr>
          <w:p w14:paraId="4BF43A1B" w14:textId="3D54978F" w:rsidR="00A4290E" w:rsidRPr="006F2FFB" w:rsidRDefault="00A4290E" w:rsidP="00A4290E">
            <w:pPr>
              <w:jc w:val="right"/>
              <w:rPr>
                <w:sz w:val="22"/>
                <w:szCs w:val="22"/>
              </w:rPr>
            </w:pPr>
            <w:r>
              <w:rPr>
                <w:rFonts w:cs="Calibri"/>
                <w:color w:val="000000"/>
                <w:sz w:val="22"/>
                <w:szCs w:val="22"/>
                <w:lang w:val="ga"/>
              </w:rPr>
              <w:t>38</w:t>
            </w:r>
          </w:p>
        </w:tc>
        <w:tc>
          <w:tcPr>
            <w:tcW w:w="1418" w:type="dxa"/>
          </w:tcPr>
          <w:p w14:paraId="7365ED4E" w14:textId="50AF9552" w:rsidR="00A4290E" w:rsidRPr="006F2FFB" w:rsidRDefault="00A4290E" w:rsidP="00A4290E">
            <w:pPr>
              <w:spacing w:after="0"/>
              <w:jc w:val="right"/>
              <w:rPr>
                <w:sz w:val="22"/>
                <w:szCs w:val="22"/>
              </w:rPr>
            </w:pPr>
            <w:r>
              <w:rPr>
                <w:rFonts w:cs="Calibri"/>
                <w:color w:val="000000"/>
                <w:sz w:val="22"/>
                <w:szCs w:val="22"/>
                <w:lang w:val="ga"/>
              </w:rPr>
              <w:t>4</w:t>
            </w:r>
          </w:p>
        </w:tc>
        <w:tc>
          <w:tcPr>
            <w:tcW w:w="1559" w:type="dxa"/>
          </w:tcPr>
          <w:p w14:paraId="284DBED3" w14:textId="576942B9" w:rsidR="00A4290E" w:rsidRPr="006F2FFB" w:rsidRDefault="00A4290E" w:rsidP="00A4290E">
            <w:pPr>
              <w:jc w:val="right"/>
              <w:rPr>
                <w:sz w:val="22"/>
                <w:szCs w:val="22"/>
              </w:rPr>
            </w:pPr>
            <w:r>
              <w:rPr>
                <w:rFonts w:cs="Calibri"/>
                <w:color w:val="000000"/>
                <w:sz w:val="22"/>
                <w:szCs w:val="22"/>
                <w:lang w:val="ga"/>
              </w:rPr>
              <w:t>10.5%</w:t>
            </w:r>
          </w:p>
        </w:tc>
        <w:tc>
          <w:tcPr>
            <w:tcW w:w="1701" w:type="dxa"/>
          </w:tcPr>
          <w:p w14:paraId="499E774C" w14:textId="2EB14328" w:rsidR="00A4290E" w:rsidRPr="006F2FFB" w:rsidRDefault="00A4290E" w:rsidP="00A4290E">
            <w:pPr>
              <w:jc w:val="right"/>
              <w:rPr>
                <w:sz w:val="22"/>
                <w:szCs w:val="22"/>
              </w:rPr>
            </w:pPr>
            <w:r>
              <w:rPr>
                <w:rFonts w:cs="Calibri"/>
                <w:color w:val="000000"/>
                <w:sz w:val="22"/>
                <w:szCs w:val="22"/>
                <w:lang w:val="ga"/>
              </w:rPr>
              <w:t>41</w:t>
            </w:r>
          </w:p>
        </w:tc>
        <w:tc>
          <w:tcPr>
            <w:tcW w:w="1559" w:type="dxa"/>
          </w:tcPr>
          <w:p w14:paraId="5F5385DC" w14:textId="56ED57D1" w:rsidR="00A4290E" w:rsidRPr="006F2FFB" w:rsidRDefault="00A4290E" w:rsidP="00A4290E">
            <w:pPr>
              <w:jc w:val="right"/>
              <w:rPr>
                <w:sz w:val="22"/>
                <w:szCs w:val="22"/>
              </w:rPr>
            </w:pPr>
            <w:r>
              <w:rPr>
                <w:rFonts w:cs="Calibri"/>
                <w:color w:val="000000"/>
                <w:sz w:val="22"/>
                <w:szCs w:val="22"/>
                <w:lang w:val="ga"/>
              </w:rPr>
              <w:t>4</w:t>
            </w:r>
          </w:p>
        </w:tc>
        <w:tc>
          <w:tcPr>
            <w:tcW w:w="1701" w:type="dxa"/>
          </w:tcPr>
          <w:p w14:paraId="22432E4D" w14:textId="27AE3EAC" w:rsidR="00A4290E" w:rsidRPr="006F2FFB" w:rsidRDefault="00A4290E" w:rsidP="00A4290E">
            <w:pPr>
              <w:jc w:val="right"/>
              <w:rPr>
                <w:sz w:val="22"/>
                <w:szCs w:val="22"/>
              </w:rPr>
            </w:pPr>
            <w:r>
              <w:rPr>
                <w:rFonts w:cs="Calibri"/>
                <w:color w:val="000000"/>
                <w:sz w:val="22"/>
                <w:szCs w:val="22"/>
                <w:lang w:val="ga"/>
              </w:rPr>
              <w:t>9.8%</w:t>
            </w:r>
          </w:p>
        </w:tc>
      </w:tr>
      <w:tr w:rsidR="00A4290E" w:rsidRPr="006F2FFB" w14:paraId="7A61C7A8" w14:textId="77777777" w:rsidTr="000B04F5">
        <w:trPr>
          <w:jc w:val="center"/>
        </w:trPr>
        <w:tc>
          <w:tcPr>
            <w:tcW w:w="1706" w:type="dxa"/>
            <w:vAlign w:val="bottom"/>
          </w:tcPr>
          <w:p w14:paraId="72BA67FD" w14:textId="0F9C84D6" w:rsidR="00A4290E" w:rsidRPr="006F2FFB" w:rsidRDefault="00A4290E" w:rsidP="00A4290E">
            <w:pPr>
              <w:rPr>
                <w:sz w:val="22"/>
                <w:szCs w:val="22"/>
              </w:rPr>
            </w:pPr>
            <w:r>
              <w:rPr>
                <w:rFonts w:cs="Calibri"/>
                <w:color w:val="000000"/>
                <w:sz w:val="22"/>
                <w:szCs w:val="22"/>
                <w:lang w:val="ga"/>
              </w:rPr>
              <w:t>An tSeirbhís um Cheapacháin Phoiblí</w:t>
            </w:r>
          </w:p>
        </w:tc>
        <w:tc>
          <w:tcPr>
            <w:tcW w:w="1701" w:type="dxa"/>
          </w:tcPr>
          <w:p w14:paraId="743438A3" w14:textId="172D324E" w:rsidR="00A4290E" w:rsidRPr="006F2FFB" w:rsidRDefault="00A4290E" w:rsidP="00A4290E">
            <w:pPr>
              <w:jc w:val="right"/>
              <w:rPr>
                <w:sz w:val="22"/>
                <w:szCs w:val="22"/>
              </w:rPr>
            </w:pPr>
            <w:r>
              <w:rPr>
                <w:rFonts w:cs="Calibri"/>
                <w:color w:val="000000"/>
                <w:sz w:val="22"/>
                <w:szCs w:val="22"/>
                <w:lang w:val="ga"/>
              </w:rPr>
              <w:t>225</w:t>
            </w:r>
          </w:p>
        </w:tc>
        <w:tc>
          <w:tcPr>
            <w:tcW w:w="1418" w:type="dxa"/>
          </w:tcPr>
          <w:p w14:paraId="126DBC6E" w14:textId="72E91629" w:rsidR="00A4290E" w:rsidRPr="006F2FFB" w:rsidRDefault="00A4290E" w:rsidP="00A4290E">
            <w:pPr>
              <w:spacing w:after="0"/>
              <w:jc w:val="right"/>
              <w:rPr>
                <w:sz w:val="22"/>
                <w:szCs w:val="22"/>
              </w:rPr>
            </w:pPr>
            <w:r>
              <w:rPr>
                <w:rFonts w:cs="Calibri"/>
                <w:color w:val="000000"/>
                <w:sz w:val="22"/>
                <w:szCs w:val="22"/>
                <w:lang w:val="ga"/>
              </w:rPr>
              <w:t>16</w:t>
            </w:r>
          </w:p>
        </w:tc>
        <w:tc>
          <w:tcPr>
            <w:tcW w:w="1559" w:type="dxa"/>
          </w:tcPr>
          <w:p w14:paraId="16E27B24" w14:textId="7D033305" w:rsidR="00A4290E" w:rsidRPr="006F2FFB" w:rsidRDefault="00A4290E" w:rsidP="00A4290E">
            <w:pPr>
              <w:jc w:val="right"/>
              <w:rPr>
                <w:sz w:val="22"/>
                <w:szCs w:val="22"/>
              </w:rPr>
            </w:pPr>
            <w:r>
              <w:rPr>
                <w:rFonts w:cs="Calibri"/>
                <w:color w:val="000000"/>
                <w:sz w:val="22"/>
                <w:szCs w:val="22"/>
                <w:lang w:val="ga"/>
              </w:rPr>
              <w:t>7.1%</w:t>
            </w:r>
          </w:p>
        </w:tc>
        <w:tc>
          <w:tcPr>
            <w:tcW w:w="1701" w:type="dxa"/>
          </w:tcPr>
          <w:p w14:paraId="099AC9E1" w14:textId="616A3271" w:rsidR="00A4290E" w:rsidRPr="006F2FFB" w:rsidRDefault="00A4290E" w:rsidP="00A4290E">
            <w:pPr>
              <w:jc w:val="right"/>
              <w:rPr>
                <w:sz w:val="22"/>
                <w:szCs w:val="22"/>
              </w:rPr>
            </w:pPr>
            <w:r>
              <w:rPr>
                <w:rFonts w:cs="Calibri"/>
                <w:color w:val="000000"/>
                <w:sz w:val="22"/>
                <w:szCs w:val="22"/>
                <w:lang w:val="ga"/>
              </w:rPr>
              <w:t>283</w:t>
            </w:r>
          </w:p>
        </w:tc>
        <w:tc>
          <w:tcPr>
            <w:tcW w:w="1559" w:type="dxa"/>
          </w:tcPr>
          <w:p w14:paraId="123F8040" w14:textId="6A4ECBC8" w:rsidR="00A4290E" w:rsidRPr="006F2FFB" w:rsidRDefault="00A4290E" w:rsidP="00A4290E">
            <w:pPr>
              <w:jc w:val="right"/>
              <w:rPr>
                <w:sz w:val="22"/>
                <w:szCs w:val="22"/>
              </w:rPr>
            </w:pPr>
            <w:r>
              <w:rPr>
                <w:rFonts w:cs="Calibri"/>
                <w:color w:val="000000"/>
                <w:sz w:val="22"/>
                <w:szCs w:val="22"/>
                <w:lang w:val="ga"/>
              </w:rPr>
              <w:t>21</w:t>
            </w:r>
          </w:p>
        </w:tc>
        <w:tc>
          <w:tcPr>
            <w:tcW w:w="1701" w:type="dxa"/>
          </w:tcPr>
          <w:p w14:paraId="2927E3FA" w14:textId="62A723D9" w:rsidR="00A4290E" w:rsidRPr="006F2FFB" w:rsidRDefault="00A4290E" w:rsidP="00A4290E">
            <w:pPr>
              <w:jc w:val="right"/>
              <w:rPr>
                <w:sz w:val="22"/>
                <w:szCs w:val="22"/>
              </w:rPr>
            </w:pPr>
            <w:r>
              <w:rPr>
                <w:rFonts w:cs="Calibri"/>
                <w:color w:val="000000"/>
                <w:sz w:val="22"/>
                <w:szCs w:val="22"/>
                <w:lang w:val="ga"/>
              </w:rPr>
              <w:t>7.4%</w:t>
            </w:r>
          </w:p>
        </w:tc>
      </w:tr>
      <w:tr w:rsidR="00A4290E" w:rsidRPr="006F2FFB" w14:paraId="1E819B3C" w14:textId="77777777" w:rsidTr="000B04F5">
        <w:trPr>
          <w:jc w:val="center"/>
        </w:trPr>
        <w:tc>
          <w:tcPr>
            <w:tcW w:w="1706" w:type="dxa"/>
            <w:vAlign w:val="bottom"/>
          </w:tcPr>
          <w:p w14:paraId="697CD81D" w14:textId="02A0B2A1" w:rsidR="00A4290E" w:rsidRPr="006F2FFB" w:rsidRDefault="00A4290E" w:rsidP="00A4290E">
            <w:pPr>
              <w:rPr>
                <w:sz w:val="22"/>
                <w:szCs w:val="22"/>
              </w:rPr>
            </w:pPr>
            <w:r>
              <w:rPr>
                <w:rFonts w:cs="Calibri"/>
                <w:color w:val="000000"/>
                <w:sz w:val="22"/>
                <w:szCs w:val="22"/>
                <w:lang w:val="ga"/>
              </w:rPr>
              <w:t>Coimisiún na Scrúduithe Stáit</w:t>
            </w:r>
          </w:p>
        </w:tc>
        <w:tc>
          <w:tcPr>
            <w:tcW w:w="1701" w:type="dxa"/>
          </w:tcPr>
          <w:p w14:paraId="757BC9D7" w14:textId="0B011934" w:rsidR="00A4290E" w:rsidRPr="006F2FFB" w:rsidRDefault="00A4290E" w:rsidP="00A4290E">
            <w:pPr>
              <w:jc w:val="right"/>
              <w:rPr>
                <w:sz w:val="22"/>
                <w:szCs w:val="22"/>
              </w:rPr>
            </w:pPr>
            <w:r>
              <w:rPr>
                <w:rFonts w:cs="Calibri"/>
                <w:color w:val="000000"/>
                <w:sz w:val="22"/>
                <w:szCs w:val="22"/>
                <w:lang w:val="ga"/>
              </w:rPr>
              <w:t>181</w:t>
            </w:r>
          </w:p>
        </w:tc>
        <w:tc>
          <w:tcPr>
            <w:tcW w:w="1418" w:type="dxa"/>
          </w:tcPr>
          <w:p w14:paraId="28FB403B" w14:textId="18BFF5BC" w:rsidR="00A4290E" w:rsidRPr="006F2FFB" w:rsidRDefault="00A4290E" w:rsidP="00A4290E">
            <w:pPr>
              <w:spacing w:after="0"/>
              <w:jc w:val="right"/>
              <w:rPr>
                <w:sz w:val="22"/>
                <w:szCs w:val="22"/>
              </w:rPr>
            </w:pPr>
            <w:r>
              <w:rPr>
                <w:rFonts w:cs="Calibri"/>
                <w:color w:val="000000"/>
                <w:sz w:val="22"/>
                <w:szCs w:val="22"/>
                <w:lang w:val="ga"/>
              </w:rPr>
              <w:t>9</w:t>
            </w:r>
          </w:p>
        </w:tc>
        <w:tc>
          <w:tcPr>
            <w:tcW w:w="1559" w:type="dxa"/>
          </w:tcPr>
          <w:p w14:paraId="49DBEC7A" w14:textId="7C9053C5" w:rsidR="00A4290E" w:rsidRPr="006F2FFB" w:rsidRDefault="00A4290E" w:rsidP="00A4290E">
            <w:pPr>
              <w:jc w:val="right"/>
              <w:rPr>
                <w:sz w:val="22"/>
                <w:szCs w:val="22"/>
              </w:rPr>
            </w:pPr>
            <w:r>
              <w:rPr>
                <w:rFonts w:cs="Calibri"/>
                <w:color w:val="000000"/>
                <w:sz w:val="22"/>
                <w:szCs w:val="22"/>
                <w:lang w:val="ga"/>
              </w:rPr>
              <w:t>5.0%</w:t>
            </w:r>
          </w:p>
        </w:tc>
        <w:tc>
          <w:tcPr>
            <w:tcW w:w="1701" w:type="dxa"/>
          </w:tcPr>
          <w:p w14:paraId="150BE462" w14:textId="421DFBE2" w:rsidR="00A4290E" w:rsidRPr="006F2FFB" w:rsidRDefault="00A4290E" w:rsidP="00A4290E">
            <w:pPr>
              <w:jc w:val="right"/>
              <w:rPr>
                <w:sz w:val="22"/>
                <w:szCs w:val="22"/>
              </w:rPr>
            </w:pPr>
            <w:r>
              <w:rPr>
                <w:rFonts w:cs="Calibri"/>
                <w:color w:val="000000"/>
                <w:sz w:val="22"/>
                <w:szCs w:val="22"/>
                <w:lang w:val="ga"/>
              </w:rPr>
              <w:t>185</w:t>
            </w:r>
          </w:p>
        </w:tc>
        <w:tc>
          <w:tcPr>
            <w:tcW w:w="1559" w:type="dxa"/>
          </w:tcPr>
          <w:p w14:paraId="044531D6" w14:textId="6BECB635" w:rsidR="00A4290E" w:rsidRPr="006F2FFB" w:rsidRDefault="00A4290E" w:rsidP="00A4290E">
            <w:pPr>
              <w:jc w:val="right"/>
              <w:rPr>
                <w:sz w:val="22"/>
                <w:szCs w:val="22"/>
              </w:rPr>
            </w:pPr>
            <w:r>
              <w:rPr>
                <w:rFonts w:cs="Calibri"/>
                <w:color w:val="000000"/>
                <w:sz w:val="22"/>
                <w:szCs w:val="22"/>
                <w:lang w:val="ga"/>
              </w:rPr>
              <w:t>8</w:t>
            </w:r>
          </w:p>
        </w:tc>
        <w:tc>
          <w:tcPr>
            <w:tcW w:w="1701" w:type="dxa"/>
          </w:tcPr>
          <w:p w14:paraId="6D9594FD" w14:textId="41173418" w:rsidR="00A4290E" w:rsidRPr="006F2FFB" w:rsidRDefault="00A4290E" w:rsidP="00A4290E">
            <w:pPr>
              <w:jc w:val="right"/>
              <w:rPr>
                <w:sz w:val="22"/>
                <w:szCs w:val="22"/>
              </w:rPr>
            </w:pPr>
            <w:r>
              <w:rPr>
                <w:rFonts w:cs="Calibri"/>
                <w:color w:val="000000"/>
                <w:sz w:val="22"/>
                <w:szCs w:val="22"/>
                <w:lang w:val="ga"/>
              </w:rPr>
              <w:t>4.3%</w:t>
            </w:r>
          </w:p>
        </w:tc>
      </w:tr>
      <w:tr w:rsidR="00A4290E" w:rsidRPr="006F2FFB" w14:paraId="5343307C" w14:textId="77777777" w:rsidTr="000B04F5">
        <w:trPr>
          <w:jc w:val="center"/>
        </w:trPr>
        <w:tc>
          <w:tcPr>
            <w:tcW w:w="1706" w:type="dxa"/>
            <w:vAlign w:val="bottom"/>
          </w:tcPr>
          <w:p w14:paraId="3BEA2E84" w14:textId="69F17665" w:rsidR="00A4290E" w:rsidRPr="006F2FFB" w:rsidRDefault="00A4290E" w:rsidP="00A4290E">
            <w:pPr>
              <w:rPr>
                <w:sz w:val="22"/>
                <w:szCs w:val="22"/>
              </w:rPr>
            </w:pPr>
            <w:r>
              <w:rPr>
                <w:rFonts w:cs="Calibri"/>
                <w:color w:val="000000"/>
                <w:sz w:val="22"/>
                <w:szCs w:val="22"/>
                <w:lang w:val="ga"/>
              </w:rPr>
              <w:t>An Coimisiún um Achomhairc Chánach</w:t>
            </w:r>
          </w:p>
        </w:tc>
        <w:tc>
          <w:tcPr>
            <w:tcW w:w="1701" w:type="dxa"/>
          </w:tcPr>
          <w:p w14:paraId="2207559F" w14:textId="0FF01EF5" w:rsidR="00A4290E" w:rsidRPr="006F2FFB" w:rsidRDefault="00A4290E" w:rsidP="00A4290E">
            <w:pPr>
              <w:jc w:val="right"/>
              <w:rPr>
                <w:sz w:val="22"/>
                <w:szCs w:val="22"/>
              </w:rPr>
            </w:pPr>
            <w:r>
              <w:rPr>
                <w:rFonts w:cs="Calibri"/>
                <w:color w:val="000000"/>
                <w:sz w:val="22"/>
                <w:szCs w:val="22"/>
                <w:lang w:val="ga"/>
              </w:rPr>
              <w:t>29</w:t>
            </w:r>
          </w:p>
        </w:tc>
        <w:tc>
          <w:tcPr>
            <w:tcW w:w="1418" w:type="dxa"/>
          </w:tcPr>
          <w:p w14:paraId="0E6C7C2C" w14:textId="7C8DBB16" w:rsidR="00A4290E" w:rsidRPr="006F2FFB" w:rsidRDefault="00A4290E" w:rsidP="00A4290E">
            <w:pPr>
              <w:spacing w:after="0"/>
              <w:jc w:val="right"/>
              <w:rPr>
                <w:sz w:val="22"/>
                <w:szCs w:val="22"/>
              </w:rPr>
            </w:pPr>
            <w:r>
              <w:rPr>
                <w:rFonts w:cs="Calibri"/>
                <w:color w:val="000000"/>
                <w:sz w:val="22"/>
                <w:szCs w:val="22"/>
                <w:lang w:val="ga"/>
              </w:rPr>
              <w:t>2</w:t>
            </w:r>
          </w:p>
        </w:tc>
        <w:tc>
          <w:tcPr>
            <w:tcW w:w="1559" w:type="dxa"/>
          </w:tcPr>
          <w:p w14:paraId="72E45B6E" w14:textId="4E11E552" w:rsidR="00A4290E" w:rsidRPr="006F2FFB" w:rsidRDefault="00A4290E" w:rsidP="00A4290E">
            <w:pPr>
              <w:jc w:val="right"/>
              <w:rPr>
                <w:sz w:val="22"/>
                <w:szCs w:val="22"/>
              </w:rPr>
            </w:pPr>
            <w:r>
              <w:rPr>
                <w:rFonts w:cs="Calibri"/>
                <w:color w:val="000000"/>
                <w:sz w:val="22"/>
                <w:szCs w:val="22"/>
                <w:lang w:val="ga"/>
              </w:rPr>
              <w:t>6.9%</w:t>
            </w:r>
          </w:p>
        </w:tc>
        <w:tc>
          <w:tcPr>
            <w:tcW w:w="1701" w:type="dxa"/>
          </w:tcPr>
          <w:p w14:paraId="3D9474AF" w14:textId="1354D6FC" w:rsidR="00A4290E" w:rsidRPr="006F2FFB" w:rsidRDefault="00A4290E" w:rsidP="00A4290E">
            <w:pPr>
              <w:jc w:val="right"/>
              <w:rPr>
                <w:sz w:val="22"/>
                <w:szCs w:val="22"/>
              </w:rPr>
            </w:pPr>
            <w:r>
              <w:rPr>
                <w:rFonts w:cs="Calibri"/>
                <w:color w:val="000000"/>
                <w:sz w:val="22"/>
                <w:szCs w:val="22"/>
                <w:lang w:val="ga"/>
              </w:rPr>
              <w:t>34</w:t>
            </w:r>
          </w:p>
        </w:tc>
        <w:tc>
          <w:tcPr>
            <w:tcW w:w="1559" w:type="dxa"/>
          </w:tcPr>
          <w:p w14:paraId="034D42CE" w14:textId="73170770" w:rsidR="00A4290E" w:rsidRPr="006F2FFB" w:rsidRDefault="00A4290E" w:rsidP="00A4290E">
            <w:pPr>
              <w:jc w:val="right"/>
              <w:rPr>
                <w:sz w:val="22"/>
                <w:szCs w:val="22"/>
              </w:rPr>
            </w:pPr>
            <w:r>
              <w:rPr>
                <w:rFonts w:cs="Calibri"/>
                <w:color w:val="000000"/>
                <w:sz w:val="22"/>
                <w:szCs w:val="22"/>
                <w:lang w:val="ga"/>
              </w:rPr>
              <w:t>2</w:t>
            </w:r>
          </w:p>
        </w:tc>
        <w:tc>
          <w:tcPr>
            <w:tcW w:w="1701" w:type="dxa"/>
          </w:tcPr>
          <w:p w14:paraId="46089B86" w14:textId="323644A7" w:rsidR="00A4290E" w:rsidRPr="006F2FFB" w:rsidRDefault="00A4290E" w:rsidP="00A4290E">
            <w:pPr>
              <w:jc w:val="right"/>
              <w:rPr>
                <w:sz w:val="22"/>
                <w:szCs w:val="22"/>
              </w:rPr>
            </w:pPr>
            <w:r>
              <w:rPr>
                <w:rFonts w:cs="Calibri"/>
                <w:color w:val="000000"/>
                <w:sz w:val="22"/>
                <w:szCs w:val="22"/>
                <w:lang w:val="ga"/>
              </w:rPr>
              <w:t>5.9%</w:t>
            </w:r>
          </w:p>
        </w:tc>
      </w:tr>
      <w:tr w:rsidR="00A4290E" w:rsidRPr="006F2FFB" w14:paraId="53E9FDA5" w14:textId="77777777" w:rsidTr="000B04F5">
        <w:trPr>
          <w:jc w:val="center"/>
        </w:trPr>
        <w:tc>
          <w:tcPr>
            <w:tcW w:w="1706" w:type="dxa"/>
            <w:vAlign w:val="bottom"/>
          </w:tcPr>
          <w:p w14:paraId="354A72CE" w14:textId="7C7466FE" w:rsidR="00A4290E" w:rsidRPr="006F2FFB" w:rsidRDefault="0056603B" w:rsidP="00A4290E">
            <w:pPr>
              <w:rPr>
                <w:sz w:val="22"/>
                <w:szCs w:val="22"/>
              </w:rPr>
            </w:pPr>
            <w:r>
              <w:rPr>
                <w:rFonts w:cs="Calibri"/>
                <w:b/>
                <w:bCs/>
                <w:color w:val="000000"/>
                <w:sz w:val="22"/>
                <w:szCs w:val="22"/>
                <w:lang w:val="ga"/>
              </w:rPr>
              <w:t>*</w:t>
            </w:r>
            <w:r>
              <w:rPr>
                <w:rFonts w:cs="Calibri"/>
                <w:color w:val="000000"/>
                <w:sz w:val="22"/>
                <w:szCs w:val="22"/>
                <w:lang w:val="ga"/>
              </w:rPr>
              <w:t>An tÚdarás Slándála Príobháidí</w:t>
            </w:r>
          </w:p>
        </w:tc>
        <w:tc>
          <w:tcPr>
            <w:tcW w:w="1701" w:type="dxa"/>
          </w:tcPr>
          <w:p w14:paraId="04230F92" w14:textId="0F1FED6D" w:rsidR="00A4290E" w:rsidRPr="006F2FFB" w:rsidRDefault="00A4290E" w:rsidP="00A4290E">
            <w:pPr>
              <w:jc w:val="right"/>
              <w:rPr>
                <w:sz w:val="22"/>
                <w:szCs w:val="22"/>
              </w:rPr>
            </w:pPr>
            <w:r>
              <w:rPr>
                <w:rFonts w:cs="Calibri"/>
                <w:color w:val="000000"/>
                <w:sz w:val="22"/>
                <w:szCs w:val="22"/>
                <w:lang w:val="ga"/>
              </w:rPr>
              <w:t>51</w:t>
            </w:r>
          </w:p>
        </w:tc>
        <w:tc>
          <w:tcPr>
            <w:tcW w:w="1418" w:type="dxa"/>
          </w:tcPr>
          <w:p w14:paraId="5019197F" w14:textId="09D95A9F" w:rsidR="00A4290E" w:rsidRPr="006F2FFB" w:rsidRDefault="00A4290E" w:rsidP="00A4290E">
            <w:pPr>
              <w:spacing w:after="0"/>
              <w:jc w:val="right"/>
              <w:rPr>
                <w:sz w:val="22"/>
                <w:szCs w:val="22"/>
              </w:rPr>
            </w:pPr>
            <w:r>
              <w:rPr>
                <w:rFonts w:cs="Calibri"/>
                <w:color w:val="000000"/>
                <w:sz w:val="22"/>
                <w:szCs w:val="22"/>
                <w:lang w:val="ga"/>
              </w:rPr>
              <w:t>2</w:t>
            </w:r>
          </w:p>
        </w:tc>
        <w:tc>
          <w:tcPr>
            <w:tcW w:w="1559" w:type="dxa"/>
          </w:tcPr>
          <w:p w14:paraId="6DF40596" w14:textId="3ADDDD96" w:rsidR="00A4290E" w:rsidRPr="006F2FFB" w:rsidRDefault="00A4290E" w:rsidP="00A4290E">
            <w:pPr>
              <w:jc w:val="right"/>
              <w:rPr>
                <w:sz w:val="22"/>
                <w:szCs w:val="22"/>
              </w:rPr>
            </w:pPr>
            <w:r>
              <w:rPr>
                <w:rFonts w:cs="Calibri"/>
                <w:color w:val="000000"/>
                <w:sz w:val="22"/>
                <w:szCs w:val="22"/>
                <w:lang w:val="ga"/>
              </w:rPr>
              <w:t>3.9%</w:t>
            </w:r>
          </w:p>
        </w:tc>
        <w:tc>
          <w:tcPr>
            <w:tcW w:w="1701" w:type="dxa"/>
          </w:tcPr>
          <w:p w14:paraId="45872D46" w14:textId="38C838C5" w:rsidR="00A4290E" w:rsidRPr="006F2FFB" w:rsidRDefault="00A4290E" w:rsidP="00A4290E">
            <w:pPr>
              <w:jc w:val="right"/>
              <w:rPr>
                <w:sz w:val="22"/>
                <w:szCs w:val="22"/>
              </w:rPr>
            </w:pPr>
            <w:r>
              <w:rPr>
                <w:rFonts w:cs="Calibri"/>
                <w:color w:val="000000"/>
                <w:sz w:val="22"/>
                <w:szCs w:val="22"/>
                <w:lang w:val="ga"/>
              </w:rPr>
              <w:t>51</w:t>
            </w:r>
          </w:p>
        </w:tc>
        <w:tc>
          <w:tcPr>
            <w:tcW w:w="1559" w:type="dxa"/>
          </w:tcPr>
          <w:p w14:paraId="6DE0B1EA" w14:textId="55853B03" w:rsidR="00A4290E" w:rsidRPr="006F2FFB" w:rsidRDefault="00A4290E" w:rsidP="00A4290E">
            <w:pPr>
              <w:jc w:val="right"/>
              <w:rPr>
                <w:sz w:val="22"/>
                <w:szCs w:val="22"/>
              </w:rPr>
            </w:pPr>
            <w:r>
              <w:rPr>
                <w:rFonts w:cs="Calibri"/>
                <w:color w:val="000000"/>
                <w:sz w:val="22"/>
                <w:szCs w:val="22"/>
                <w:lang w:val="ga"/>
              </w:rPr>
              <w:t>0</w:t>
            </w:r>
          </w:p>
        </w:tc>
        <w:tc>
          <w:tcPr>
            <w:tcW w:w="1701" w:type="dxa"/>
          </w:tcPr>
          <w:p w14:paraId="601655E4" w14:textId="66F47C87" w:rsidR="00A4290E" w:rsidRPr="006F2FFB" w:rsidRDefault="00A4290E" w:rsidP="00A4290E">
            <w:pPr>
              <w:jc w:val="right"/>
              <w:rPr>
                <w:sz w:val="22"/>
                <w:szCs w:val="22"/>
              </w:rPr>
            </w:pPr>
            <w:r>
              <w:rPr>
                <w:rFonts w:cs="Calibri"/>
                <w:color w:val="000000"/>
                <w:sz w:val="22"/>
                <w:szCs w:val="22"/>
                <w:lang w:val="ga"/>
              </w:rPr>
              <w:t>0.0%</w:t>
            </w:r>
          </w:p>
        </w:tc>
      </w:tr>
      <w:tr w:rsidR="00A4290E" w:rsidRPr="006F2FFB" w14:paraId="153848EE" w14:textId="77777777" w:rsidTr="000B04F5">
        <w:trPr>
          <w:jc w:val="center"/>
        </w:trPr>
        <w:tc>
          <w:tcPr>
            <w:tcW w:w="1706" w:type="dxa"/>
            <w:vAlign w:val="bottom"/>
          </w:tcPr>
          <w:p w14:paraId="0591F5C0" w14:textId="1AF11EDB" w:rsidR="00A4290E" w:rsidRPr="006F2FFB" w:rsidRDefault="00A4290E" w:rsidP="00A4290E">
            <w:pPr>
              <w:rPr>
                <w:sz w:val="22"/>
                <w:szCs w:val="22"/>
              </w:rPr>
            </w:pPr>
            <w:r>
              <w:rPr>
                <w:rFonts w:cs="Calibri"/>
                <w:color w:val="000000"/>
                <w:sz w:val="22"/>
                <w:szCs w:val="22"/>
                <w:lang w:val="ga"/>
              </w:rPr>
              <w:t>An tSaotharlann Stáit</w:t>
            </w:r>
          </w:p>
        </w:tc>
        <w:tc>
          <w:tcPr>
            <w:tcW w:w="1701" w:type="dxa"/>
          </w:tcPr>
          <w:p w14:paraId="4B8D72F5" w14:textId="1A447444" w:rsidR="00A4290E" w:rsidRPr="006F2FFB" w:rsidRDefault="00A4290E" w:rsidP="00A4290E">
            <w:pPr>
              <w:jc w:val="right"/>
              <w:rPr>
                <w:sz w:val="22"/>
                <w:szCs w:val="22"/>
              </w:rPr>
            </w:pPr>
            <w:r>
              <w:rPr>
                <w:rFonts w:cs="Calibri"/>
                <w:color w:val="000000"/>
                <w:sz w:val="22"/>
                <w:szCs w:val="22"/>
                <w:lang w:val="ga"/>
              </w:rPr>
              <w:t>104</w:t>
            </w:r>
          </w:p>
        </w:tc>
        <w:tc>
          <w:tcPr>
            <w:tcW w:w="1418" w:type="dxa"/>
          </w:tcPr>
          <w:p w14:paraId="0C80014A" w14:textId="0CAE2940" w:rsidR="00A4290E" w:rsidRPr="006F2FFB" w:rsidRDefault="00A4290E" w:rsidP="00A4290E">
            <w:pPr>
              <w:spacing w:after="0"/>
              <w:jc w:val="right"/>
              <w:rPr>
                <w:sz w:val="22"/>
                <w:szCs w:val="22"/>
              </w:rPr>
            </w:pPr>
            <w:r>
              <w:rPr>
                <w:rFonts w:cs="Calibri"/>
                <w:color w:val="000000"/>
                <w:sz w:val="22"/>
                <w:szCs w:val="22"/>
                <w:lang w:val="ga"/>
              </w:rPr>
              <w:t>4</w:t>
            </w:r>
          </w:p>
        </w:tc>
        <w:tc>
          <w:tcPr>
            <w:tcW w:w="1559" w:type="dxa"/>
          </w:tcPr>
          <w:p w14:paraId="25BE3705" w14:textId="61520377" w:rsidR="00A4290E" w:rsidRPr="006F2FFB" w:rsidRDefault="00A4290E" w:rsidP="00A4290E">
            <w:pPr>
              <w:jc w:val="right"/>
              <w:rPr>
                <w:sz w:val="22"/>
                <w:szCs w:val="22"/>
              </w:rPr>
            </w:pPr>
            <w:r>
              <w:rPr>
                <w:rFonts w:cs="Calibri"/>
                <w:color w:val="000000"/>
                <w:sz w:val="22"/>
                <w:szCs w:val="22"/>
                <w:lang w:val="ga"/>
              </w:rPr>
              <w:t>3.8%</w:t>
            </w:r>
          </w:p>
        </w:tc>
        <w:tc>
          <w:tcPr>
            <w:tcW w:w="1701" w:type="dxa"/>
          </w:tcPr>
          <w:p w14:paraId="0D518B11" w14:textId="7436B262" w:rsidR="00A4290E" w:rsidRPr="006F2FFB" w:rsidRDefault="00A4290E" w:rsidP="00A4290E">
            <w:pPr>
              <w:jc w:val="right"/>
              <w:rPr>
                <w:sz w:val="22"/>
                <w:szCs w:val="22"/>
              </w:rPr>
            </w:pPr>
            <w:r>
              <w:rPr>
                <w:rFonts w:cs="Calibri"/>
                <w:color w:val="000000"/>
                <w:sz w:val="22"/>
                <w:szCs w:val="22"/>
                <w:lang w:val="ga"/>
              </w:rPr>
              <w:t>100</w:t>
            </w:r>
          </w:p>
        </w:tc>
        <w:tc>
          <w:tcPr>
            <w:tcW w:w="1559" w:type="dxa"/>
          </w:tcPr>
          <w:p w14:paraId="0C50D343" w14:textId="7335CE82" w:rsidR="00A4290E" w:rsidRPr="006F2FFB" w:rsidRDefault="00A4290E" w:rsidP="00A4290E">
            <w:pPr>
              <w:jc w:val="right"/>
              <w:rPr>
                <w:sz w:val="22"/>
                <w:szCs w:val="22"/>
              </w:rPr>
            </w:pPr>
            <w:r>
              <w:rPr>
                <w:rFonts w:cs="Calibri"/>
                <w:color w:val="000000"/>
                <w:sz w:val="22"/>
                <w:szCs w:val="22"/>
                <w:lang w:val="ga"/>
              </w:rPr>
              <w:t>4</w:t>
            </w:r>
          </w:p>
        </w:tc>
        <w:tc>
          <w:tcPr>
            <w:tcW w:w="1701" w:type="dxa"/>
          </w:tcPr>
          <w:p w14:paraId="13C55AC7" w14:textId="4C5A3A48" w:rsidR="00A4290E" w:rsidRPr="006F2FFB" w:rsidRDefault="00A4290E" w:rsidP="00A4290E">
            <w:pPr>
              <w:jc w:val="right"/>
              <w:rPr>
                <w:sz w:val="22"/>
                <w:szCs w:val="22"/>
              </w:rPr>
            </w:pPr>
            <w:r>
              <w:rPr>
                <w:rFonts w:cs="Calibri"/>
                <w:color w:val="000000"/>
                <w:sz w:val="22"/>
                <w:szCs w:val="22"/>
                <w:lang w:val="ga"/>
              </w:rPr>
              <w:t>4.0%</w:t>
            </w:r>
          </w:p>
        </w:tc>
      </w:tr>
      <w:tr w:rsidR="00A4290E" w:rsidRPr="006F2FFB" w14:paraId="54FCAD58" w14:textId="77777777" w:rsidTr="000B04F5">
        <w:trPr>
          <w:jc w:val="center"/>
        </w:trPr>
        <w:tc>
          <w:tcPr>
            <w:tcW w:w="1706" w:type="dxa"/>
            <w:vAlign w:val="bottom"/>
          </w:tcPr>
          <w:p w14:paraId="605B0DEF" w14:textId="2F397D51" w:rsidR="00A4290E" w:rsidRPr="006F2FFB" w:rsidRDefault="00A4290E" w:rsidP="00A4290E">
            <w:pPr>
              <w:rPr>
                <w:sz w:val="22"/>
                <w:szCs w:val="22"/>
              </w:rPr>
            </w:pPr>
            <w:r>
              <w:rPr>
                <w:rFonts w:cs="Calibri"/>
                <w:color w:val="000000"/>
                <w:sz w:val="22"/>
                <w:szCs w:val="22"/>
                <w:lang w:val="ga"/>
              </w:rPr>
              <w:t>An Oifig Luachála</w:t>
            </w:r>
          </w:p>
        </w:tc>
        <w:tc>
          <w:tcPr>
            <w:tcW w:w="1701" w:type="dxa"/>
          </w:tcPr>
          <w:p w14:paraId="2032683C" w14:textId="37C45B73" w:rsidR="00A4290E" w:rsidRPr="006F2FFB" w:rsidRDefault="00A4290E" w:rsidP="00A4290E">
            <w:pPr>
              <w:jc w:val="right"/>
              <w:rPr>
                <w:sz w:val="22"/>
                <w:szCs w:val="22"/>
              </w:rPr>
            </w:pPr>
            <w:r>
              <w:rPr>
                <w:rFonts w:cs="Calibri"/>
                <w:color w:val="000000"/>
                <w:sz w:val="22"/>
                <w:szCs w:val="22"/>
                <w:lang w:val="ga"/>
              </w:rPr>
              <w:t>139</w:t>
            </w:r>
          </w:p>
        </w:tc>
        <w:tc>
          <w:tcPr>
            <w:tcW w:w="1418" w:type="dxa"/>
          </w:tcPr>
          <w:p w14:paraId="48D59A8A" w14:textId="12034DA4" w:rsidR="00A4290E" w:rsidRPr="006F2FFB" w:rsidRDefault="00A4290E" w:rsidP="00A4290E">
            <w:pPr>
              <w:spacing w:after="0"/>
              <w:jc w:val="right"/>
              <w:rPr>
                <w:sz w:val="22"/>
                <w:szCs w:val="22"/>
              </w:rPr>
            </w:pPr>
            <w:r>
              <w:rPr>
                <w:rFonts w:cs="Calibri"/>
                <w:color w:val="000000"/>
                <w:sz w:val="22"/>
                <w:szCs w:val="22"/>
                <w:lang w:val="ga"/>
              </w:rPr>
              <w:t>11</w:t>
            </w:r>
          </w:p>
        </w:tc>
        <w:tc>
          <w:tcPr>
            <w:tcW w:w="1559" w:type="dxa"/>
          </w:tcPr>
          <w:p w14:paraId="45968AAE" w14:textId="0A51A235" w:rsidR="00A4290E" w:rsidRPr="006F2FFB" w:rsidRDefault="00A4290E" w:rsidP="00A4290E">
            <w:pPr>
              <w:jc w:val="right"/>
              <w:rPr>
                <w:sz w:val="22"/>
                <w:szCs w:val="22"/>
              </w:rPr>
            </w:pPr>
            <w:r>
              <w:rPr>
                <w:rFonts w:cs="Calibri"/>
                <w:color w:val="000000"/>
                <w:sz w:val="22"/>
                <w:szCs w:val="22"/>
                <w:lang w:val="ga"/>
              </w:rPr>
              <w:t>7.9%</w:t>
            </w:r>
          </w:p>
        </w:tc>
        <w:tc>
          <w:tcPr>
            <w:tcW w:w="1701" w:type="dxa"/>
          </w:tcPr>
          <w:p w14:paraId="3B531A4A" w14:textId="71664B1E" w:rsidR="00A4290E" w:rsidRPr="006F2FFB" w:rsidRDefault="00A4290E" w:rsidP="00A4290E">
            <w:pPr>
              <w:jc w:val="right"/>
              <w:rPr>
                <w:sz w:val="22"/>
                <w:szCs w:val="22"/>
              </w:rPr>
            </w:pPr>
            <w:r>
              <w:rPr>
                <w:rFonts w:cs="Calibri"/>
                <w:color w:val="000000"/>
                <w:sz w:val="22"/>
                <w:szCs w:val="22"/>
                <w:lang w:val="ga"/>
              </w:rPr>
              <w:t>128</w:t>
            </w:r>
          </w:p>
        </w:tc>
        <w:tc>
          <w:tcPr>
            <w:tcW w:w="1559" w:type="dxa"/>
          </w:tcPr>
          <w:p w14:paraId="7E2463FE" w14:textId="72404B0F" w:rsidR="00A4290E" w:rsidRPr="006F2FFB" w:rsidRDefault="00A4290E" w:rsidP="00A4290E">
            <w:pPr>
              <w:jc w:val="right"/>
              <w:rPr>
                <w:sz w:val="22"/>
                <w:szCs w:val="22"/>
              </w:rPr>
            </w:pPr>
            <w:r>
              <w:rPr>
                <w:rFonts w:cs="Calibri"/>
                <w:color w:val="000000"/>
                <w:sz w:val="22"/>
                <w:szCs w:val="22"/>
                <w:lang w:val="ga"/>
              </w:rPr>
              <w:t>7</w:t>
            </w:r>
          </w:p>
        </w:tc>
        <w:tc>
          <w:tcPr>
            <w:tcW w:w="1701" w:type="dxa"/>
          </w:tcPr>
          <w:p w14:paraId="551D02AE" w14:textId="3C7AC3EF" w:rsidR="00A4290E" w:rsidRPr="006F2FFB" w:rsidRDefault="00A4290E" w:rsidP="00A4290E">
            <w:pPr>
              <w:jc w:val="right"/>
              <w:rPr>
                <w:sz w:val="22"/>
                <w:szCs w:val="22"/>
              </w:rPr>
            </w:pPr>
            <w:r>
              <w:rPr>
                <w:rFonts w:cs="Calibri"/>
                <w:color w:val="000000"/>
                <w:sz w:val="22"/>
                <w:szCs w:val="22"/>
                <w:lang w:val="ga"/>
              </w:rPr>
              <w:t>5.5%</w:t>
            </w:r>
          </w:p>
        </w:tc>
      </w:tr>
      <w:tr w:rsidR="00A4290E" w:rsidRPr="006F2FFB" w14:paraId="50CA84D0" w14:textId="77777777" w:rsidTr="000B04F5">
        <w:trPr>
          <w:jc w:val="center"/>
        </w:trPr>
        <w:tc>
          <w:tcPr>
            <w:tcW w:w="1706" w:type="dxa"/>
          </w:tcPr>
          <w:p w14:paraId="081116C3" w14:textId="77110E74" w:rsidR="00A4290E" w:rsidRPr="006F2FFB" w:rsidRDefault="00A4290E" w:rsidP="00A4290E">
            <w:pPr>
              <w:spacing w:after="0"/>
              <w:rPr>
                <w:b/>
                <w:sz w:val="22"/>
                <w:szCs w:val="22"/>
              </w:rPr>
            </w:pPr>
            <w:r>
              <w:rPr>
                <w:b/>
                <w:bCs/>
                <w:sz w:val="22"/>
                <w:szCs w:val="22"/>
                <w:lang w:val="ga"/>
              </w:rPr>
              <w:t>Mór-Iomlán</w:t>
            </w:r>
          </w:p>
        </w:tc>
        <w:tc>
          <w:tcPr>
            <w:tcW w:w="1701" w:type="dxa"/>
          </w:tcPr>
          <w:p w14:paraId="12A2EF7D" w14:textId="78C8937B" w:rsidR="00A4290E" w:rsidRPr="006F2FFB" w:rsidRDefault="00A4290E" w:rsidP="00A4290E">
            <w:pPr>
              <w:spacing w:after="0"/>
              <w:jc w:val="right"/>
              <w:rPr>
                <w:rFonts w:cs="Calibri"/>
                <w:b/>
                <w:color w:val="000000"/>
                <w:sz w:val="22"/>
                <w:szCs w:val="22"/>
              </w:rPr>
            </w:pPr>
            <w:r>
              <w:rPr>
                <w:rFonts w:cs="Calibri"/>
                <w:b/>
                <w:bCs/>
                <w:color w:val="000000"/>
                <w:sz w:val="22"/>
                <w:szCs w:val="22"/>
                <w:lang w:val="ga"/>
              </w:rPr>
              <w:t>16,479</w:t>
            </w:r>
          </w:p>
        </w:tc>
        <w:tc>
          <w:tcPr>
            <w:tcW w:w="1418" w:type="dxa"/>
          </w:tcPr>
          <w:p w14:paraId="41CED9C8" w14:textId="77777777" w:rsidR="00A4290E" w:rsidRPr="006F2FFB" w:rsidRDefault="00A4290E" w:rsidP="00A4290E">
            <w:pPr>
              <w:spacing w:after="0"/>
              <w:jc w:val="right"/>
              <w:rPr>
                <w:rFonts w:cs="Calibri"/>
                <w:b/>
                <w:bCs/>
                <w:color w:val="000000"/>
                <w:sz w:val="22"/>
                <w:szCs w:val="22"/>
              </w:rPr>
            </w:pPr>
            <w:r>
              <w:rPr>
                <w:rFonts w:cs="Calibri"/>
                <w:b/>
                <w:bCs/>
                <w:color w:val="000000"/>
                <w:sz w:val="22"/>
                <w:szCs w:val="22"/>
                <w:lang w:val="ga"/>
              </w:rPr>
              <w:t>755</w:t>
            </w:r>
          </w:p>
          <w:p w14:paraId="0FCA4E2D" w14:textId="34C4519C" w:rsidR="00A4290E" w:rsidRPr="006F2FFB" w:rsidRDefault="00A4290E" w:rsidP="00A4290E">
            <w:pPr>
              <w:spacing w:after="0"/>
              <w:jc w:val="right"/>
              <w:rPr>
                <w:b/>
                <w:sz w:val="22"/>
                <w:szCs w:val="22"/>
              </w:rPr>
            </w:pPr>
          </w:p>
        </w:tc>
        <w:tc>
          <w:tcPr>
            <w:tcW w:w="1559" w:type="dxa"/>
          </w:tcPr>
          <w:p w14:paraId="5F25DDED" w14:textId="1ED0754B" w:rsidR="00A4290E" w:rsidRPr="006F2FFB" w:rsidRDefault="00A4290E" w:rsidP="00A4290E">
            <w:pPr>
              <w:jc w:val="right"/>
              <w:rPr>
                <w:b/>
                <w:sz w:val="22"/>
                <w:szCs w:val="22"/>
              </w:rPr>
            </w:pPr>
            <w:r>
              <w:rPr>
                <w:b/>
                <w:bCs/>
                <w:sz w:val="22"/>
                <w:szCs w:val="22"/>
                <w:lang w:val="ga"/>
              </w:rPr>
              <w:t>4.6%</w:t>
            </w:r>
          </w:p>
        </w:tc>
        <w:tc>
          <w:tcPr>
            <w:tcW w:w="1701" w:type="dxa"/>
          </w:tcPr>
          <w:p w14:paraId="626922D1" w14:textId="1ED76892" w:rsidR="00A4290E" w:rsidRPr="005E399F" w:rsidRDefault="00A4290E" w:rsidP="00A4290E">
            <w:pPr>
              <w:spacing w:after="0"/>
              <w:jc w:val="right"/>
              <w:rPr>
                <w:rFonts w:cs="Calibri"/>
                <w:b/>
                <w:bCs/>
                <w:color w:val="000000"/>
                <w:sz w:val="22"/>
                <w:szCs w:val="22"/>
              </w:rPr>
            </w:pPr>
            <w:r>
              <w:rPr>
                <w:rFonts w:cs="Calibri"/>
                <w:b/>
                <w:bCs/>
                <w:color w:val="000000"/>
                <w:sz w:val="22"/>
                <w:szCs w:val="22"/>
                <w:lang w:val="ga"/>
              </w:rPr>
              <w:t>17,107</w:t>
            </w:r>
          </w:p>
          <w:p w14:paraId="4ABFB52C" w14:textId="36079C30" w:rsidR="00A4290E" w:rsidRPr="005E399F" w:rsidRDefault="00A4290E" w:rsidP="00A4290E">
            <w:pPr>
              <w:spacing w:after="0"/>
              <w:jc w:val="right"/>
              <w:rPr>
                <w:b/>
                <w:bCs/>
                <w:sz w:val="22"/>
                <w:szCs w:val="22"/>
              </w:rPr>
            </w:pPr>
          </w:p>
        </w:tc>
        <w:tc>
          <w:tcPr>
            <w:tcW w:w="1559" w:type="dxa"/>
          </w:tcPr>
          <w:p w14:paraId="67742F61" w14:textId="77777777" w:rsidR="00A4290E" w:rsidRPr="005E399F" w:rsidRDefault="00A4290E" w:rsidP="00A4290E">
            <w:pPr>
              <w:spacing w:after="0"/>
              <w:jc w:val="right"/>
              <w:rPr>
                <w:rFonts w:cs="Calibri"/>
                <w:b/>
                <w:bCs/>
                <w:color w:val="000000"/>
                <w:sz w:val="22"/>
                <w:szCs w:val="22"/>
              </w:rPr>
            </w:pPr>
            <w:r>
              <w:rPr>
                <w:rFonts w:cs="Calibri"/>
                <w:b/>
                <w:bCs/>
                <w:color w:val="000000"/>
                <w:sz w:val="22"/>
                <w:szCs w:val="22"/>
                <w:lang w:val="ga"/>
              </w:rPr>
              <w:t>910</w:t>
            </w:r>
          </w:p>
          <w:p w14:paraId="37963E4A" w14:textId="6883FD74" w:rsidR="00A4290E" w:rsidRPr="005E399F" w:rsidRDefault="00A4290E" w:rsidP="00A4290E">
            <w:pPr>
              <w:jc w:val="right"/>
              <w:rPr>
                <w:b/>
                <w:bCs/>
                <w:sz w:val="22"/>
                <w:szCs w:val="22"/>
              </w:rPr>
            </w:pPr>
          </w:p>
        </w:tc>
        <w:tc>
          <w:tcPr>
            <w:tcW w:w="1701" w:type="dxa"/>
          </w:tcPr>
          <w:p w14:paraId="19E0668A" w14:textId="37E5416D" w:rsidR="00A4290E" w:rsidRPr="005E399F" w:rsidRDefault="00A4290E" w:rsidP="00A4290E">
            <w:pPr>
              <w:jc w:val="right"/>
              <w:rPr>
                <w:b/>
                <w:bCs/>
                <w:sz w:val="22"/>
                <w:szCs w:val="22"/>
              </w:rPr>
            </w:pPr>
            <w:r>
              <w:rPr>
                <w:b/>
                <w:bCs/>
                <w:sz w:val="22"/>
                <w:szCs w:val="22"/>
                <w:lang w:val="ga"/>
              </w:rPr>
              <w:t>5.3%</w:t>
            </w:r>
          </w:p>
        </w:tc>
      </w:tr>
    </w:tbl>
    <w:p w14:paraId="2D821D2D" w14:textId="77777777" w:rsidR="000D5C5D" w:rsidRPr="006F2FFB" w:rsidRDefault="000D5C5D" w:rsidP="00DA2B08"/>
    <w:p w14:paraId="34E73CDB" w14:textId="2619C632" w:rsidR="00E46650" w:rsidRDefault="00E46650">
      <w:pPr>
        <w:spacing w:after="0"/>
        <w:rPr>
          <w:highlight w:val="green"/>
        </w:rPr>
      </w:pPr>
      <w:r>
        <w:rPr>
          <w:highlight w:val="green"/>
          <w:lang w:val="ga"/>
        </w:rPr>
        <w:br w:type="page"/>
      </w:r>
    </w:p>
    <w:p w14:paraId="0D8348EB" w14:textId="77777777" w:rsidR="00C70456" w:rsidRPr="00C70456" w:rsidRDefault="00C70456" w:rsidP="00C70456">
      <w:pPr>
        <w:rPr>
          <w:highlight w:val="green"/>
        </w:rPr>
      </w:pPr>
    </w:p>
    <w:p w14:paraId="3F221EEB" w14:textId="10DB3A53" w:rsidR="000D5C5D" w:rsidRPr="006F2FFB" w:rsidRDefault="00C55ED5" w:rsidP="000D5C5D">
      <w:pPr>
        <w:pStyle w:val="Heading2"/>
        <w:jc w:val="center"/>
        <w:rPr>
          <w:color w:val="000000" w:themeColor="text1"/>
        </w:rPr>
      </w:pPr>
      <w:bookmarkStart w:id="80" w:name="_Toc147910095"/>
      <w:r>
        <w:rPr>
          <w:bCs/>
          <w:color w:val="000000" w:themeColor="text1"/>
          <w:lang w:val="ga"/>
        </w:rPr>
        <w:t>An Roinn Forbartha Tuaithe agus Pobail</w:t>
      </w:r>
      <w:bookmarkEnd w:id="80"/>
    </w:p>
    <w:tbl>
      <w:tblPr>
        <w:tblStyle w:val="TableGrid"/>
        <w:tblpPr w:leftFromText="180" w:rightFromText="180" w:vertAnchor="text" w:horzAnchor="margin" w:tblpXSpec="center" w:tblpY="256"/>
        <w:tblW w:w="11340" w:type="dxa"/>
        <w:tblLayout w:type="fixed"/>
        <w:tblLook w:val="04A0" w:firstRow="1" w:lastRow="0" w:firstColumn="1" w:lastColumn="0" w:noHBand="0" w:noVBand="1"/>
        <w:tblCaption w:val="Department of Rural Community &amp; Development "/>
      </w:tblPr>
      <w:tblGrid>
        <w:gridCol w:w="1701"/>
        <w:gridCol w:w="1701"/>
        <w:gridCol w:w="1418"/>
        <w:gridCol w:w="1559"/>
        <w:gridCol w:w="1701"/>
        <w:gridCol w:w="1559"/>
        <w:gridCol w:w="1701"/>
      </w:tblGrid>
      <w:tr w:rsidR="00031890" w:rsidRPr="006F2FFB" w14:paraId="2638F808" w14:textId="77777777" w:rsidTr="00031890">
        <w:trPr>
          <w:tblHeader/>
        </w:trPr>
        <w:tc>
          <w:tcPr>
            <w:tcW w:w="1701" w:type="dxa"/>
          </w:tcPr>
          <w:p w14:paraId="3516FA5E" w14:textId="77777777" w:rsidR="00031890" w:rsidRPr="006F2FFB" w:rsidRDefault="00031890" w:rsidP="00031890">
            <w:pPr>
              <w:pStyle w:val="TableHead"/>
              <w:rPr>
                <w:sz w:val="22"/>
                <w:szCs w:val="22"/>
              </w:rPr>
            </w:pPr>
            <w:r>
              <w:rPr>
                <w:bCs/>
                <w:sz w:val="22"/>
                <w:szCs w:val="22"/>
                <w:lang w:val="ga"/>
              </w:rPr>
              <w:t>Comhlacht Poiblí</w:t>
            </w:r>
          </w:p>
        </w:tc>
        <w:tc>
          <w:tcPr>
            <w:tcW w:w="1701" w:type="dxa"/>
          </w:tcPr>
          <w:p w14:paraId="30EB75E5" w14:textId="77777777" w:rsidR="008321E1" w:rsidRPr="006F2FFB" w:rsidRDefault="00031890" w:rsidP="00031890">
            <w:pPr>
              <w:pStyle w:val="TableHead"/>
              <w:rPr>
                <w:sz w:val="22"/>
                <w:szCs w:val="22"/>
              </w:rPr>
            </w:pPr>
            <w:r>
              <w:rPr>
                <w:bCs/>
                <w:sz w:val="22"/>
                <w:szCs w:val="22"/>
                <w:lang w:val="ga"/>
              </w:rPr>
              <w:t xml:space="preserve">An líon </w:t>
            </w:r>
          </w:p>
          <w:p w14:paraId="2C486298" w14:textId="77777777" w:rsidR="008321E1" w:rsidRPr="006F2FFB" w:rsidRDefault="00031890" w:rsidP="00031890">
            <w:pPr>
              <w:pStyle w:val="TableHead"/>
              <w:rPr>
                <w:sz w:val="22"/>
                <w:szCs w:val="22"/>
              </w:rPr>
            </w:pPr>
            <w:r>
              <w:rPr>
                <w:bCs/>
                <w:sz w:val="22"/>
                <w:szCs w:val="22"/>
                <w:lang w:val="ga"/>
              </w:rPr>
              <w:t xml:space="preserve">iomlán </w:t>
            </w:r>
          </w:p>
          <w:p w14:paraId="6B52F368" w14:textId="77777777" w:rsidR="008321E1" w:rsidRPr="006F2FFB" w:rsidRDefault="00031890" w:rsidP="00031890">
            <w:pPr>
              <w:pStyle w:val="TableHead"/>
              <w:rPr>
                <w:sz w:val="22"/>
                <w:szCs w:val="22"/>
              </w:rPr>
            </w:pPr>
            <w:r>
              <w:rPr>
                <w:bCs/>
                <w:sz w:val="22"/>
                <w:szCs w:val="22"/>
                <w:lang w:val="ga"/>
              </w:rPr>
              <w:t xml:space="preserve">fostaithe </w:t>
            </w:r>
          </w:p>
          <w:p w14:paraId="4D8FC7AE" w14:textId="0E150D9F" w:rsidR="00031890" w:rsidRPr="006F2FFB" w:rsidRDefault="00031890" w:rsidP="00031890">
            <w:pPr>
              <w:pStyle w:val="TableHead"/>
              <w:rPr>
                <w:sz w:val="22"/>
                <w:szCs w:val="22"/>
              </w:rPr>
            </w:pPr>
            <w:r>
              <w:rPr>
                <w:bCs/>
                <w:sz w:val="22"/>
                <w:szCs w:val="22"/>
                <w:lang w:val="ga"/>
              </w:rPr>
              <w:t>2021</w:t>
            </w:r>
          </w:p>
        </w:tc>
        <w:tc>
          <w:tcPr>
            <w:tcW w:w="1418" w:type="dxa"/>
          </w:tcPr>
          <w:p w14:paraId="1FEC4EC1" w14:textId="77777777" w:rsidR="00031890" w:rsidRPr="006F2FFB" w:rsidRDefault="00031890" w:rsidP="00031890">
            <w:pPr>
              <w:pStyle w:val="TableHead"/>
              <w:rPr>
                <w:sz w:val="22"/>
                <w:szCs w:val="22"/>
              </w:rPr>
            </w:pPr>
            <w:r>
              <w:rPr>
                <w:bCs/>
                <w:sz w:val="22"/>
                <w:szCs w:val="22"/>
                <w:lang w:val="ga"/>
              </w:rPr>
              <w:t xml:space="preserve">An líon fostaithe a thuairiscigh míchumas </w:t>
            </w:r>
          </w:p>
          <w:p w14:paraId="47961535" w14:textId="2E8E00F5" w:rsidR="00031890" w:rsidRPr="006F2FFB" w:rsidRDefault="00031890" w:rsidP="00031890">
            <w:pPr>
              <w:pStyle w:val="TableHead"/>
              <w:rPr>
                <w:sz w:val="22"/>
                <w:szCs w:val="22"/>
              </w:rPr>
            </w:pPr>
            <w:r>
              <w:rPr>
                <w:bCs/>
                <w:sz w:val="22"/>
                <w:szCs w:val="22"/>
                <w:lang w:val="ga"/>
              </w:rPr>
              <w:t>2021</w:t>
            </w:r>
          </w:p>
        </w:tc>
        <w:tc>
          <w:tcPr>
            <w:tcW w:w="1559" w:type="dxa"/>
          </w:tcPr>
          <w:p w14:paraId="63B87CF3" w14:textId="77777777" w:rsidR="00031890" w:rsidRPr="006F2FFB" w:rsidRDefault="00031890" w:rsidP="00031890">
            <w:pPr>
              <w:pStyle w:val="TableHead"/>
              <w:rPr>
                <w:sz w:val="22"/>
                <w:szCs w:val="22"/>
              </w:rPr>
            </w:pPr>
            <w:r>
              <w:rPr>
                <w:bCs/>
                <w:sz w:val="22"/>
                <w:szCs w:val="22"/>
                <w:lang w:val="ga"/>
              </w:rPr>
              <w:t>An % d’fhostaithe a thuairiscigh</w:t>
            </w:r>
          </w:p>
          <w:p w14:paraId="379E694B" w14:textId="369A335B" w:rsidR="00031890" w:rsidRPr="006F2FFB" w:rsidRDefault="00031890" w:rsidP="00031890">
            <w:pPr>
              <w:pStyle w:val="TableHead"/>
              <w:rPr>
                <w:sz w:val="22"/>
                <w:szCs w:val="22"/>
              </w:rPr>
            </w:pPr>
            <w:r>
              <w:rPr>
                <w:bCs/>
                <w:sz w:val="22"/>
                <w:szCs w:val="22"/>
                <w:lang w:val="ga"/>
              </w:rPr>
              <w:t>míchumas 2021</w:t>
            </w:r>
          </w:p>
        </w:tc>
        <w:tc>
          <w:tcPr>
            <w:tcW w:w="1701" w:type="dxa"/>
          </w:tcPr>
          <w:p w14:paraId="2DBD7B56" w14:textId="77777777" w:rsidR="008321E1" w:rsidRPr="006F2FFB" w:rsidRDefault="00031890" w:rsidP="00031890">
            <w:pPr>
              <w:pStyle w:val="TableHead"/>
              <w:rPr>
                <w:sz w:val="22"/>
                <w:szCs w:val="22"/>
              </w:rPr>
            </w:pPr>
            <w:r>
              <w:rPr>
                <w:bCs/>
                <w:sz w:val="22"/>
                <w:szCs w:val="22"/>
                <w:lang w:val="ga"/>
              </w:rPr>
              <w:t xml:space="preserve">An líon </w:t>
            </w:r>
          </w:p>
          <w:p w14:paraId="601B453A" w14:textId="77777777" w:rsidR="008321E1" w:rsidRPr="006F2FFB" w:rsidRDefault="00031890" w:rsidP="00031890">
            <w:pPr>
              <w:pStyle w:val="TableHead"/>
              <w:rPr>
                <w:sz w:val="22"/>
                <w:szCs w:val="22"/>
              </w:rPr>
            </w:pPr>
            <w:r>
              <w:rPr>
                <w:bCs/>
                <w:sz w:val="22"/>
                <w:szCs w:val="22"/>
                <w:lang w:val="ga"/>
              </w:rPr>
              <w:t xml:space="preserve">iomlán </w:t>
            </w:r>
          </w:p>
          <w:p w14:paraId="39B53D1D" w14:textId="77777777" w:rsidR="008321E1" w:rsidRPr="006F2FFB" w:rsidRDefault="00031890" w:rsidP="00031890">
            <w:pPr>
              <w:pStyle w:val="TableHead"/>
              <w:rPr>
                <w:sz w:val="22"/>
                <w:szCs w:val="22"/>
              </w:rPr>
            </w:pPr>
            <w:r>
              <w:rPr>
                <w:bCs/>
                <w:sz w:val="22"/>
                <w:szCs w:val="22"/>
                <w:lang w:val="ga"/>
              </w:rPr>
              <w:t xml:space="preserve">fostaithe </w:t>
            </w:r>
          </w:p>
          <w:p w14:paraId="533A351E" w14:textId="2337BF87" w:rsidR="00031890" w:rsidRPr="006F2FFB" w:rsidRDefault="00031890" w:rsidP="00031890">
            <w:pPr>
              <w:pStyle w:val="TableHead"/>
              <w:rPr>
                <w:sz w:val="22"/>
                <w:szCs w:val="22"/>
              </w:rPr>
            </w:pPr>
            <w:r>
              <w:rPr>
                <w:bCs/>
                <w:sz w:val="22"/>
                <w:szCs w:val="22"/>
                <w:lang w:val="ga"/>
              </w:rPr>
              <w:t>2022</w:t>
            </w:r>
          </w:p>
        </w:tc>
        <w:tc>
          <w:tcPr>
            <w:tcW w:w="1559" w:type="dxa"/>
          </w:tcPr>
          <w:p w14:paraId="7B1495B0" w14:textId="77777777" w:rsidR="00031890" w:rsidRPr="006F2FFB" w:rsidRDefault="00031890" w:rsidP="00031890">
            <w:pPr>
              <w:pStyle w:val="TableHead"/>
              <w:rPr>
                <w:sz w:val="22"/>
                <w:szCs w:val="22"/>
              </w:rPr>
            </w:pPr>
            <w:r>
              <w:rPr>
                <w:bCs/>
                <w:sz w:val="22"/>
                <w:szCs w:val="22"/>
                <w:lang w:val="ga"/>
              </w:rPr>
              <w:t xml:space="preserve">An líon fostaithe a thuairiscigh míchumas </w:t>
            </w:r>
          </w:p>
          <w:p w14:paraId="5FBF8050" w14:textId="291C2E06" w:rsidR="00031890" w:rsidRPr="006F2FFB" w:rsidRDefault="00031890" w:rsidP="00031890">
            <w:pPr>
              <w:pStyle w:val="TableHead"/>
              <w:rPr>
                <w:sz w:val="22"/>
                <w:szCs w:val="22"/>
              </w:rPr>
            </w:pPr>
            <w:r>
              <w:rPr>
                <w:bCs/>
                <w:sz w:val="22"/>
                <w:szCs w:val="22"/>
                <w:lang w:val="ga"/>
              </w:rPr>
              <w:t>2022</w:t>
            </w:r>
          </w:p>
        </w:tc>
        <w:tc>
          <w:tcPr>
            <w:tcW w:w="1701" w:type="dxa"/>
          </w:tcPr>
          <w:p w14:paraId="50AA752C" w14:textId="77777777" w:rsidR="00031890" w:rsidRPr="006F2FFB" w:rsidRDefault="00031890" w:rsidP="00031890">
            <w:pPr>
              <w:pStyle w:val="TableHead"/>
              <w:rPr>
                <w:sz w:val="22"/>
                <w:szCs w:val="22"/>
              </w:rPr>
            </w:pPr>
            <w:r>
              <w:rPr>
                <w:bCs/>
                <w:sz w:val="22"/>
                <w:szCs w:val="22"/>
                <w:lang w:val="ga"/>
              </w:rPr>
              <w:t>An % d’fhostaithe a thuairiscigh</w:t>
            </w:r>
          </w:p>
          <w:p w14:paraId="365DF958" w14:textId="77777777" w:rsidR="00031890" w:rsidRPr="006F2FFB" w:rsidRDefault="00031890" w:rsidP="00031890">
            <w:pPr>
              <w:pStyle w:val="TableHead"/>
              <w:rPr>
                <w:sz w:val="22"/>
                <w:szCs w:val="22"/>
              </w:rPr>
            </w:pPr>
            <w:r>
              <w:rPr>
                <w:bCs/>
                <w:sz w:val="22"/>
                <w:szCs w:val="22"/>
                <w:lang w:val="ga"/>
              </w:rPr>
              <w:t>míchumas</w:t>
            </w:r>
          </w:p>
          <w:p w14:paraId="4E336F13" w14:textId="5FC23993" w:rsidR="00031890" w:rsidRPr="006F2FFB" w:rsidRDefault="00031890" w:rsidP="00031890">
            <w:pPr>
              <w:pStyle w:val="TableHead"/>
              <w:rPr>
                <w:sz w:val="24"/>
              </w:rPr>
            </w:pPr>
            <w:r>
              <w:rPr>
                <w:bCs/>
                <w:sz w:val="22"/>
                <w:szCs w:val="22"/>
                <w:lang w:val="ga"/>
              </w:rPr>
              <w:t xml:space="preserve"> 2022</w:t>
            </w:r>
          </w:p>
        </w:tc>
      </w:tr>
      <w:tr w:rsidR="006B24AA" w:rsidRPr="006F2FFB" w14:paraId="2A785B9E" w14:textId="77777777" w:rsidTr="00031890">
        <w:tc>
          <w:tcPr>
            <w:tcW w:w="1701" w:type="dxa"/>
            <w:vAlign w:val="bottom"/>
          </w:tcPr>
          <w:p w14:paraId="7290135C" w14:textId="4A35DC92" w:rsidR="006B24AA" w:rsidRPr="00C2512E" w:rsidRDefault="006B24AA" w:rsidP="00C2512E">
            <w:pPr>
              <w:spacing w:after="0"/>
              <w:rPr>
                <w:b/>
                <w:bCs/>
                <w:sz w:val="22"/>
                <w:szCs w:val="22"/>
              </w:rPr>
            </w:pPr>
            <w:r>
              <w:rPr>
                <w:rFonts w:cs="Calibri"/>
                <w:color w:val="000000"/>
                <w:sz w:val="22"/>
                <w:szCs w:val="22"/>
                <w:lang w:val="ga"/>
              </w:rPr>
              <w:t xml:space="preserve">An tÚdarás Rialála Carthanas </w:t>
            </w:r>
            <w:r>
              <w:rPr>
                <w:rFonts w:cs="Calibri"/>
                <w:b/>
                <w:bCs/>
                <w:color w:val="000000"/>
                <w:sz w:val="22"/>
                <w:szCs w:val="22"/>
                <w:lang w:val="ga"/>
              </w:rPr>
              <w:t>(Sa bhliain 2022, bhog an comhlacht poiblí seo ón Roinn Caiteachais Phoiblí agus Athchóirithe chuig an Roinn Forbartha Tuaithe agus Pobail)</w:t>
            </w:r>
          </w:p>
        </w:tc>
        <w:tc>
          <w:tcPr>
            <w:tcW w:w="1701" w:type="dxa"/>
          </w:tcPr>
          <w:p w14:paraId="1C43A311" w14:textId="43BC0EEE" w:rsidR="006B24AA" w:rsidRPr="006F2FFB" w:rsidRDefault="006B24AA" w:rsidP="006B24AA">
            <w:pPr>
              <w:jc w:val="right"/>
              <w:rPr>
                <w:sz w:val="22"/>
                <w:szCs w:val="22"/>
              </w:rPr>
            </w:pPr>
            <w:r>
              <w:rPr>
                <w:rFonts w:cs="Calibri"/>
                <w:color w:val="000000"/>
                <w:sz w:val="22"/>
                <w:szCs w:val="22"/>
                <w:lang w:val="ga"/>
              </w:rPr>
              <w:t>-</w:t>
            </w:r>
          </w:p>
        </w:tc>
        <w:tc>
          <w:tcPr>
            <w:tcW w:w="1418" w:type="dxa"/>
          </w:tcPr>
          <w:p w14:paraId="69D3735A" w14:textId="5E2ED8A6" w:rsidR="006B24AA" w:rsidRPr="006F2FFB" w:rsidRDefault="006B24AA" w:rsidP="006B24AA">
            <w:pPr>
              <w:jc w:val="right"/>
              <w:rPr>
                <w:sz w:val="22"/>
                <w:szCs w:val="22"/>
              </w:rPr>
            </w:pPr>
            <w:r>
              <w:rPr>
                <w:rFonts w:cs="Calibri"/>
                <w:color w:val="000000"/>
                <w:sz w:val="22"/>
                <w:szCs w:val="22"/>
                <w:lang w:val="ga"/>
              </w:rPr>
              <w:t>-</w:t>
            </w:r>
          </w:p>
        </w:tc>
        <w:tc>
          <w:tcPr>
            <w:tcW w:w="1559" w:type="dxa"/>
          </w:tcPr>
          <w:p w14:paraId="6FFD3C07" w14:textId="61A3548A" w:rsidR="006B24AA" w:rsidRPr="006F2FFB" w:rsidRDefault="006B24AA" w:rsidP="006B24AA">
            <w:pPr>
              <w:jc w:val="right"/>
              <w:rPr>
                <w:sz w:val="22"/>
                <w:szCs w:val="22"/>
              </w:rPr>
            </w:pPr>
            <w:r>
              <w:rPr>
                <w:rFonts w:cs="Calibri"/>
                <w:color w:val="000000"/>
                <w:sz w:val="22"/>
                <w:szCs w:val="22"/>
                <w:lang w:val="ga"/>
              </w:rPr>
              <w:t>-</w:t>
            </w:r>
          </w:p>
        </w:tc>
        <w:tc>
          <w:tcPr>
            <w:tcW w:w="1701" w:type="dxa"/>
          </w:tcPr>
          <w:p w14:paraId="60F4CDCE" w14:textId="7B7A5F1F" w:rsidR="006B24AA" w:rsidRPr="006F2FFB" w:rsidRDefault="006B24AA" w:rsidP="006B24AA">
            <w:pPr>
              <w:jc w:val="right"/>
              <w:rPr>
                <w:sz w:val="22"/>
                <w:szCs w:val="22"/>
              </w:rPr>
            </w:pPr>
            <w:r>
              <w:rPr>
                <w:rFonts w:cs="Calibri"/>
                <w:color w:val="000000"/>
                <w:sz w:val="22"/>
                <w:szCs w:val="22"/>
                <w:lang w:val="ga"/>
              </w:rPr>
              <w:t>45</w:t>
            </w:r>
          </w:p>
        </w:tc>
        <w:tc>
          <w:tcPr>
            <w:tcW w:w="1559" w:type="dxa"/>
          </w:tcPr>
          <w:p w14:paraId="2A883C04" w14:textId="0AF4ECAF" w:rsidR="006B24AA" w:rsidRPr="006F2FFB" w:rsidRDefault="006B24AA" w:rsidP="006B24AA">
            <w:pPr>
              <w:jc w:val="right"/>
              <w:rPr>
                <w:sz w:val="22"/>
                <w:szCs w:val="22"/>
              </w:rPr>
            </w:pPr>
            <w:r>
              <w:rPr>
                <w:rFonts w:cs="Calibri"/>
                <w:color w:val="000000"/>
                <w:sz w:val="22"/>
                <w:szCs w:val="22"/>
                <w:lang w:val="ga"/>
              </w:rPr>
              <w:t>7</w:t>
            </w:r>
          </w:p>
        </w:tc>
        <w:tc>
          <w:tcPr>
            <w:tcW w:w="1701" w:type="dxa"/>
          </w:tcPr>
          <w:p w14:paraId="477339AC" w14:textId="55E4244B" w:rsidR="006B24AA" w:rsidRPr="006F2FFB" w:rsidRDefault="006B24AA" w:rsidP="006B24AA">
            <w:pPr>
              <w:jc w:val="right"/>
              <w:rPr>
                <w:sz w:val="22"/>
                <w:szCs w:val="22"/>
              </w:rPr>
            </w:pPr>
            <w:r>
              <w:rPr>
                <w:rFonts w:cs="Calibri"/>
                <w:color w:val="000000"/>
                <w:sz w:val="22"/>
                <w:szCs w:val="22"/>
                <w:lang w:val="ga"/>
              </w:rPr>
              <w:t>15.6%</w:t>
            </w:r>
          </w:p>
        </w:tc>
      </w:tr>
      <w:tr w:rsidR="006B24AA" w:rsidRPr="006F2FFB" w14:paraId="529F96E2" w14:textId="77777777" w:rsidTr="00031890">
        <w:tc>
          <w:tcPr>
            <w:tcW w:w="1701" w:type="dxa"/>
            <w:vAlign w:val="bottom"/>
          </w:tcPr>
          <w:p w14:paraId="665F97F5" w14:textId="4B2243C4" w:rsidR="006B24AA" w:rsidRPr="006F2FFB" w:rsidRDefault="006B24AA" w:rsidP="006B24AA">
            <w:pPr>
              <w:rPr>
                <w:sz w:val="22"/>
                <w:szCs w:val="22"/>
              </w:rPr>
            </w:pPr>
            <w:r>
              <w:rPr>
                <w:rFonts w:cs="Calibri"/>
                <w:color w:val="000000"/>
                <w:sz w:val="22"/>
                <w:szCs w:val="22"/>
                <w:lang w:val="ga"/>
              </w:rPr>
              <w:t xml:space="preserve">Sábháilteacht Uisce Éireann </w:t>
            </w:r>
          </w:p>
        </w:tc>
        <w:tc>
          <w:tcPr>
            <w:tcW w:w="1701" w:type="dxa"/>
          </w:tcPr>
          <w:p w14:paraId="7C5590DB" w14:textId="045E25FE" w:rsidR="006B24AA" w:rsidRPr="006F2FFB" w:rsidRDefault="006B24AA" w:rsidP="006B24AA">
            <w:pPr>
              <w:jc w:val="right"/>
              <w:rPr>
                <w:sz w:val="22"/>
                <w:szCs w:val="22"/>
              </w:rPr>
            </w:pPr>
            <w:r>
              <w:rPr>
                <w:rFonts w:cs="Calibri"/>
                <w:color w:val="000000"/>
                <w:sz w:val="22"/>
                <w:szCs w:val="22"/>
                <w:lang w:val="ga"/>
              </w:rPr>
              <w:t>9</w:t>
            </w:r>
          </w:p>
        </w:tc>
        <w:tc>
          <w:tcPr>
            <w:tcW w:w="1418" w:type="dxa"/>
          </w:tcPr>
          <w:p w14:paraId="79A30F40" w14:textId="0D729653" w:rsidR="006B24AA" w:rsidRPr="006F2FFB" w:rsidRDefault="006B24AA" w:rsidP="006B24AA">
            <w:pPr>
              <w:jc w:val="right"/>
              <w:rPr>
                <w:sz w:val="22"/>
                <w:szCs w:val="22"/>
              </w:rPr>
            </w:pPr>
            <w:r>
              <w:rPr>
                <w:rFonts w:cs="Calibri"/>
                <w:color w:val="000000"/>
                <w:sz w:val="22"/>
                <w:szCs w:val="22"/>
                <w:lang w:val="ga"/>
              </w:rPr>
              <w:t>0</w:t>
            </w:r>
          </w:p>
        </w:tc>
        <w:tc>
          <w:tcPr>
            <w:tcW w:w="1559" w:type="dxa"/>
          </w:tcPr>
          <w:p w14:paraId="7F8D0774" w14:textId="4217192D" w:rsidR="006B24AA" w:rsidRPr="006F2FFB" w:rsidRDefault="006B24AA" w:rsidP="006B24AA">
            <w:pPr>
              <w:jc w:val="right"/>
              <w:rPr>
                <w:sz w:val="22"/>
                <w:szCs w:val="22"/>
              </w:rPr>
            </w:pPr>
            <w:r>
              <w:rPr>
                <w:rFonts w:cs="Calibri"/>
                <w:color w:val="000000"/>
                <w:sz w:val="22"/>
                <w:szCs w:val="22"/>
                <w:lang w:val="ga"/>
              </w:rPr>
              <w:t>0.0%</w:t>
            </w:r>
          </w:p>
        </w:tc>
        <w:tc>
          <w:tcPr>
            <w:tcW w:w="1701" w:type="dxa"/>
          </w:tcPr>
          <w:p w14:paraId="6063DB0F" w14:textId="20A01343" w:rsidR="006B24AA" w:rsidRPr="006F2FFB" w:rsidRDefault="006B24AA" w:rsidP="006B24AA">
            <w:pPr>
              <w:jc w:val="right"/>
              <w:rPr>
                <w:sz w:val="22"/>
                <w:szCs w:val="22"/>
              </w:rPr>
            </w:pPr>
            <w:r>
              <w:rPr>
                <w:rFonts w:cs="Calibri"/>
                <w:color w:val="000000"/>
                <w:sz w:val="22"/>
                <w:szCs w:val="22"/>
                <w:lang w:val="ga"/>
              </w:rPr>
              <w:t>10</w:t>
            </w:r>
          </w:p>
        </w:tc>
        <w:tc>
          <w:tcPr>
            <w:tcW w:w="1559" w:type="dxa"/>
          </w:tcPr>
          <w:p w14:paraId="71D7BA45" w14:textId="7128AAD8" w:rsidR="006B24AA" w:rsidRPr="006F2FFB" w:rsidRDefault="006B24AA" w:rsidP="006B24AA">
            <w:pPr>
              <w:jc w:val="right"/>
              <w:rPr>
                <w:sz w:val="22"/>
                <w:szCs w:val="22"/>
              </w:rPr>
            </w:pPr>
            <w:r>
              <w:rPr>
                <w:rFonts w:cs="Calibri"/>
                <w:color w:val="000000"/>
                <w:sz w:val="22"/>
                <w:szCs w:val="22"/>
                <w:lang w:val="ga"/>
              </w:rPr>
              <w:t>2</w:t>
            </w:r>
          </w:p>
        </w:tc>
        <w:tc>
          <w:tcPr>
            <w:tcW w:w="1701" w:type="dxa"/>
          </w:tcPr>
          <w:p w14:paraId="7C11D183" w14:textId="2C513880" w:rsidR="006B24AA" w:rsidRPr="006F2FFB" w:rsidRDefault="006B24AA" w:rsidP="006B24AA">
            <w:pPr>
              <w:jc w:val="right"/>
              <w:rPr>
                <w:sz w:val="22"/>
                <w:szCs w:val="22"/>
              </w:rPr>
            </w:pPr>
            <w:r>
              <w:rPr>
                <w:rFonts w:cs="Calibri"/>
                <w:color w:val="000000"/>
                <w:sz w:val="22"/>
                <w:szCs w:val="22"/>
                <w:lang w:val="ga"/>
              </w:rPr>
              <w:t>20.0%</w:t>
            </w:r>
          </w:p>
        </w:tc>
      </w:tr>
      <w:tr w:rsidR="006B24AA" w:rsidRPr="006F2FFB" w14:paraId="5EE98A7E" w14:textId="77777777" w:rsidTr="007411BA">
        <w:tc>
          <w:tcPr>
            <w:tcW w:w="1701" w:type="dxa"/>
            <w:vAlign w:val="bottom"/>
          </w:tcPr>
          <w:p w14:paraId="4FC2ADA3" w14:textId="0B2DA2B3" w:rsidR="006B24AA" w:rsidRPr="006B24AA" w:rsidRDefault="006B24AA" w:rsidP="006B24AA">
            <w:pPr>
              <w:pStyle w:val="TableHead"/>
              <w:rPr>
                <w:b w:val="0"/>
                <w:bCs/>
                <w:sz w:val="22"/>
                <w:szCs w:val="22"/>
              </w:rPr>
            </w:pPr>
            <w:r>
              <w:rPr>
                <w:rFonts w:cs="Calibri"/>
                <w:b w:val="0"/>
                <w:color w:val="000000"/>
                <w:sz w:val="22"/>
                <w:szCs w:val="22"/>
                <w:lang w:val="ga"/>
              </w:rPr>
              <w:t>Coimisiún Forbartha an Iarthair</w:t>
            </w:r>
          </w:p>
        </w:tc>
        <w:tc>
          <w:tcPr>
            <w:tcW w:w="1701" w:type="dxa"/>
          </w:tcPr>
          <w:p w14:paraId="7A8C370E" w14:textId="70C76E36" w:rsidR="006B24AA" w:rsidRPr="006B24AA" w:rsidRDefault="006B24AA" w:rsidP="006B24AA">
            <w:pPr>
              <w:spacing w:after="0"/>
              <w:jc w:val="right"/>
              <w:rPr>
                <w:rFonts w:cs="Calibri"/>
                <w:bCs/>
                <w:color w:val="000000"/>
                <w:sz w:val="22"/>
                <w:szCs w:val="22"/>
              </w:rPr>
            </w:pPr>
            <w:r>
              <w:rPr>
                <w:rFonts w:cs="Calibri"/>
                <w:color w:val="000000"/>
                <w:sz w:val="22"/>
                <w:szCs w:val="22"/>
                <w:lang w:val="ga"/>
              </w:rPr>
              <w:t>28</w:t>
            </w:r>
          </w:p>
        </w:tc>
        <w:tc>
          <w:tcPr>
            <w:tcW w:w="1418" w:type="dxa"/>
          </w:tcPr>
          <w:p w14:paraId="7029030D" w14:textId="2DDC0EDF" w:rsidR="006B24AA" w:rsidRPr="006B24AA" w:rsidRDefault="006B24AA" w:rsidP="006B24AA">
            <w:pPr>
              <w:spacing w:after="0"/>
              <w:jc w:val="right"/>
              <w:rPr>
                <w:rFonts w:cs="Calibri"/>
                <w:bCs/>
                <w:color w:val="000000"/>
                <w:sz w:val="22"/>
                <w:szCs w:val="22"/>
              </w:rPr>
            </w:pPr>
            <w:r>
              <w:rPr>
                <w:rFonts w:cs="Calibri"/>
                <w:color w:val="000000"/>
                <w:sz w:val="22"/>
                <w:szCs w:val="22"/>
                <w:lang w:val="ga"/>
              </w:rPr>
              <w:t>3</w:t>
            </w:r>
          </w:p>
        </w:tc>
        <w:tc>
          <w:tcPr>
            <w:tcW w:w="1559" w:type="dxa"/>
          </w:tcPr>
          <w:p w14:paraId="70670A5F" w14:textId="6E334139" w:rsidR="006B24AA" w:rsidRPr="006B24AA" w:rsidRDefault="006B24AA" w:rsidP="006B24AA">
            <w:pPr>
              <w:jc w:val="right"/>
              <w:rPr>
                <w:bCs/>
                <w:sz w:val="22"/>
                <w:szCs w:val="22"/>
              </w:rPr>
            </w:pPr>
            <w:r>
              <w:rPr>
                <w:rFonts w:cs="Calibri"/>
                <w:color w:val="000000"/>
                <w:sz w:val="22"/>
                <w:szCs w:val="22"/>
                <w:lang w:val="ga"/>
              </w:rPr>
              <w:t>10.7%</w:t>
            </w:r>
          </w:p>
        </w:tc>
        <w:tc>
          <w:tcPr>
            <w:tcW w:w="1701" w:type="dxa"/>
          </w:tcPr>
          <w:p w14:paraId="3C05DA12" w14:textId="380FB381" w:rsidR="006B24AA" w:rsidRPr="006F2FFB" w:rsidRDefault="006B24AA" w:rsidP="006B24AA">
            <w:pPr>
              <w:jc w:val="right"/>
              <w:rPr>
                <w:b/>
                <w:sz w:val="22"/>
                <w:szCs w:val="22"/>
              </w:rPr>
            </w:pPr>
            <w:r>
              <w:rPr>
                <w:rFonts w:cs="Calibri"/>
                <w:color w:val="000000"/>
                <w:sz w:val="22"/>
                <w:szCs w:val="22"/>
                <w:lang w:val="ga"/>
              </w:rPr>
              <w:t>28</w:t>
            </w:r>
          </w:p>
        </w:tc>
        <w:tc>
          <w:tcPr>
            <w:tcW w:w="1559" w:type="dxa"/>
          </w:tcPr>
          <w:p w14:paraId="478BAC3F" w14:textId="402F264A" w:rsidR="006B24AA" w:rsidRPr="006F2FFB" w:rsidRDefault="006B24AA" w:rsidP="006B24AA">
            <w:pPr>
              <w:jc w:val="right"/>
              <w:rPr>
                <w:b/>
                <w:sz w:val="22"/>
                <w:szCs w:val="22"/>
              </w:rPr>
            </w:pPr>
            <w:r>
              <w:rPr>
                <w:rFonts w:cs="Calibri"/>
                <w:color w:val="000000"/>
                <w:sz w:val="22"/>
                <w:szCs w:val="22"/>
                <w:lang w:val="ga"/>
              </w:rPr>
              <w:t>1</w:t>
            </w:r>
          </w:p>
        </w:tc>
        <w:tc>
          <w:tcPr>
            <w:tcW w:w="1701" w:type="dxa"/>
          </w:tcPr>
          <w:p w14:paraId="545BC035" w14:textId="42F14584" w:rsidR="006B24AA" w:rsidRPr="006F2FFB" w:rsidRDefault="006B24AA" w:rsidP="006B24AA">
            <w:pPr>
              <w:jc w:val="right"/>
              <w:rPr>
                <w:b/>
                <w:sz w:val="22"/>
                <w:szCs w:val="22"/>
              </w:rPr>
            </w:pPr>
            <w:r>
              <w:rPr>
                <w:rFonts w:cs="Calibri"/>
                <w:color w:val="000000"/>
                <w:sz w:val="22"/>
                <w:szCs w:val="22"/>
                <w:lang w:val="ga"/>
              </w:rPr>
              <w:t>3.6%</w:t>
            </w:r>
          </w:p>
        </w:tc>
      </w:tr>
      <w:tr w:rsidR="006B24AA" w:rsidRPr="006F2FFB" w14:paraId="3A58842D" w14:textId="77777777" w:rsidTr="00031890">
        <w:tc>
          <w:tcPr>
            <w:tcW w:w="1701" w:type="dxa"/>
          </w:tcPr>
          <w:p w14:paraId="4F6C4586" w14:textId="77777777" w:rsidR="006B24AA" w:rsidRPr="006F2FFB" w:rsidRDefault="006B24AA" w:rsidP="006B24AA">
            <w:pPr>
              <w:pStyle w:val="TableHead"/>
              <w:rPr>
                <w:sz w:val="22"/>
                <w:szCs w:val="22"/>
              </w:rPr>
            </w:pPr>
            <w:r>
              <w:rPr>
                <w:bCs/>
                <w:sz w:val="22"/>
                <w:szCs w:val="22"/>
                <w:lang w:val="ga"/>
              </w:rPr>
              <w:t xml:space="preserve">Mór-Iomlán </w:t>
            </w:r>
          </w:p>
        </w:tc>
        <w:tc>
          <w:tcPr>
            <w:tcW w:w="1701" w:type="dxa"/>
          </w:tcPr>
          <w:p w14:paraId="7A501B7F" w14:textId="77777777" w:rsidR="006B24AA" w:rsidRPr="006F2FFB" w:rsidRDefault="006B24AA" w:rsidP="006B24AA">
            <w:pPr>
              <w:spacing w:after="0"/>
              <w:jc w:val="right"/>
              <w:rPr>
                <w:rFonts w:cs="Calibri"/>
                <w:b/>
                <w:bCs/>
                <w:color w:val="000000"/>
                <w:sz w:val="22"/>
                <w:szCs w:val="22"/>
              </w:rPr>
            </w:pPr>
            <w:r>
              <w:rPr>
                <w:rFonts w:cs="Calibri"/>
                <w:b/>
                <w:bCs/>
                <w:color w:val="000000"/>
                <w:sz w:val="22"/>
                <w:szCs w:val="22"/>
                <w:lang w:val="ga"/>
              </w:rPr>
              <w:t>37</w:t>
            </w:r>
          </w:p>
          <w:p w14:paraId="22A2DD5B" w14:textId="77777777" w:rsidR="006B24AA" w:rsidRPr="006F2FFB" w:rsidRDefault="006B24AA" w:rsidP="006B24AA">
            <w:pPr>
              <w:jc w:val="right"/>
              <w:rPr>
                <w:b/>
                <w:sz w:val="22"/>
                <w:szCs w:val="22"/>
              </w:rPr>
            </w:pPr>
          </w:p>
        </w:tc>
        <w:tc>
          <w:tcPr>
            <w:tcW w:w="1418" w:type="dxa"/>
          </w:tcPr>
          <w:p w14:paraId="6E3BC97A" w14:textId="77777777" w:rsidR="006B24AA" w:rsidRPr="006F2FFB" w:rsidRDefault="006B24AA" w:rsidP="006B24AA">
            <w:pPr>
              <w:spacing w:after="0"/>
              <w:jc w:val="right"/>
              <w:rPr>
                <w:rFonts w:cs="Calibri"/>
                <w:b/>
                <w:bCs/>
                <w:color w:val="000000"/>
                <w:sz w:val="22"/>
                <w:szCs w:val="22"/>
              </w:rPr>
            </w:pPr>
            <w:r>
              <w:rPr>
                <w:rFonts w:cs="Calibri"/>
                <w:b/>
                <w:bCs/>
                <w:color w:val="000000"/>
                <w:sz w:val="22"/>
                <w:szCs w:val="22"/>
                <w:lang w:val="ga"/>
              </w:rPr>
              <w:t>3</w:t>
            </w:r>
          </w:p>
          <w:p w14:paraId="32AF4C34" w14:textId="77777777" w:rsidR="006B24AA" w:rsidRPr="006F2FFB" w:rsidRDefault="006B24AA" w:rsidP="006B24AA">
            <w:pPr>
              <w:jc w:val="right"/>
              <w:rPr>
                <w:b/>
                <w:sz w:val="22"/>
                <w:szCs w:val="22"/>
              </w:rPr>
            </w:pPr>
          </w:p>
        </w:tc>
        <w:tc>
          <w:tcPr>
            <w:tcW w:w="1559" w:type="dxa"/>
          </w:tcPr>
          <w:p w14:paraId="0A0B3DA9" w14:textId="3CD8153A" w:rsidR="006B24AA" w:rsidRPr="006F2FFB" w:rsidRDefault="006B24AA" w:rsidP="006B24AA">
            <w:pPr>
              <w:jc w:val="right"/>
              <w:rPr>
                <w:b/>
                <w:sz w:val="22"/>
                <w:szCs w:val="22"/>
              </w:rPr>
            </w:pPr>
            <w:r>
              <w:rPr>
                <w:b/>
                <w:bCs/>
                <w:sz w:val="22"/>
                <w:szCs w:val="22"/>
                <w:lang w:val="ga"/>
              </w:rPr>
              <w:t>8.1%</w:t>
            </w:r>
          </w:p>
        </w:tc>
        <w:tc>
          <w:tcPr>
            <w:tcW w:w="1701" w:type="dxa"/>
          </w:tcPr>
          <w:p w14:paraId="5139499C" w14:textId="77777777" w:rsidR="006B24AA" w:rsidRDefault="006B24AA" w:rsidP="006B24AA">
            <w:pPr>
              <w:spacing w:after="0"/>
              <w:jc w:val="right"/>
              <w:rPr>
                <w:rFonts w:cs="Calibri"/>
                <w:b/>
                <w:bCs/>
                <w:color w:val="000000"/>
                <w:sz w:val="22"/>
                <w:szCs w:val="22"/>
              </w:rPr>
            </w:pPr>
            <w:r>
              <w:rPr>
                <w:rFonts w:cs="Calibri"/>
                <w:b/>
                <w:bCs/>
                <w:color w:val="000000"/>
                <w:sz w:val="22"/>
                <w:szCs w:val="22"/>
                <w:lang w:val="ga"/>
              </w:rPr>
              <w:t>83</w:t>
            </w:r>
          </w:p>
          <w:p w14:paraId="50B2792E" w14:textId="77777777" w:rsidR="006B24AA" w:rsidRPr="006F2FFB" w:rsidRDefault="006B24AA" w:rsidP="006B24AA">
            <w:pPr>
              <w:jc w:val="right"/>
              <w:rPr>
                <w:b/>
                <w:sz w:val="22"/>
                <w:szCs w:val="22"/>
              </w:rPr>
            </w:pPr>
          </w:p>
        </w:tc>
        <w:tc>
          <w:tcPr>
            <w:tcW w:w="1559" w:type="dxa"/>
          </w:tcPr>
          <w:p w14:paraId="7601FBA8" w14:textId="77777777" w:rsidR="006B24AA" w:rsidRDefault="006B24AA" w:rsidP="006B24AA">
            <w:pPr>
              <w:spacing w:after="0"/>
              <w:jc w:val="right"/>
              <w:rPr>
                <w:rFonts w:cs="Calibri"/>
                <w:b/>
                <w:bCs/>
                <w:color w:val="000000"/>
                <w:sz w:val="22"/>
                <w:szCs w:val="22"/>
              </w:rPr>
            </w:pPr>
            <w:r>
              <w:rPr>
                <w:rFonts w:cs="Calibri"/>
                <w:b/>
                <w:bCs/>
                <w:color w:val="000000"/>
                <w:sz w:val="22"/>
                <w:szCs w:val="22"/>
                <w:lang w:val="ga"/>
              </w:rPr>
              <w:t>10</w:t>
            </w:r>
          </w:p>
          <w:p w14:paraId="47ACE63D" w14:textId="77777777" w:rsidR="006B24AA" w:rsidRPr="006F2FFB" w:rsidRDefault="006B24AA" w:rsidP="006B24AA">
            <w:pPr>
              <w:jc w:val="right"/>
              <w:rPr>
                <w:b/>
                <w:sz w:val="22"/>
                <w:szCs w:val="22"/>
              </w:rPr>
            </w:pPr>
          </w:p>
        </w:tc>
        <w:tc>
          <w:tcPr>
            <w:tcW w:w="1701" w:type="dxa"/>
          </w:tcPr>
          <w:p w14:paraId="54D963B6" w14:textId="77777777" w:rsidR="006B24AA" w:rsidRDefault="006B24AA" w:rsidP="006B24AA">
            <w:pPr>
              <w:spacing w:after="0"/>
              <w:jc w:val="right"/>
              <w:rPr>
                <w:rFonts w:cs="Calibri"/>
                <w:b/>
                <w:bCs/>
                <w:color w:val="000000"/>
                <w:sz w:val="22"/>
                <w:szCs w:val="22"/>
              </w:rPr>
            </w:pPr>
            <w:r>
              <w:rPr>
                <w:rFonts w:cs="Calibri"/>
                <w:b/>
                <w:bCs/>
                <w:color w:val="000000"/>
                <w:sz w:val="22"/>
                <w:szCs w:val="22"/>
                <w:lang w:val="ga"/>
              </w:rPr>
              <w:t>12.0%</w:t>
            </w:r>
          </w:p>
          <w:p w14:paraId="4F097EF6" w14:textId="3C21D6CD" w:rsidR="006B24AA" w:rsidRPr="006F2FFB" w:rsidRDefault="006B24AA" w:rsidP="006B24AA">
            <w:pPr>
              <w:jc w:val="right"/>
              <w:rPr>
                <w:b/>
                <w:sz w:val="22"/>
                <w:szCs w:val="22"/>
              </w:rPr>
            </w:pPr>
          </w:p>
        </w:tc>
      </w:tr>
    </w:tbl>
    <w:p w14:paraId="6F391ABE" w14:textId="0D1B3651" w:rsidR="00E46650" w:rsidRDefault="00E46650" w:rsidP="00E46650"/>
    <w:p w14:paraId="67FF8934" w14:textId="77777777" w:rsidR="00E46650" w:rsidRDefault="00E46650">
      <w:pPr>
        <w:spacing w:after="0"/>
      </w:pPr>
      <w:r>
        <w:rPr>
          <w:lang w:val="ga"/>
        </w:rPr>
        <w:br w:type="page"/>
      </w:r>
    </w:p>
    <w:p w14:paraId="15BB695F" w14:textId="704BE61C" w:rsidR="00C55ED5" w:rsidRPr="006F2FFB" w:rsidRDefault="00C55ED5" w:rsidP="001624B2">
      <w:pPr>
        <w:pStyle w:val="Heading2"/>
        <w:jc w:val="center"/>
        <w:rPr>
          <w:color w:val="000000" w:themeColor="text1"/>
        </w:rPr>
      </w:pPr>
      <w:bookmarkStart w:id="81" w:name="_Toc147910096"/>
      <w:r>
        <w:rPr>
          <w:bCs/>
          <w:color w:val="000000" w:themeColor="text1"/>
          <w:lang w:val="ga"/>
        </w:rPr>
        <w:t>An Roinn Coimirce Sóisialaí</w:t>
      </w:r>
      <w:bookmarkEnd w:id="81"/>
    </w:p>
    <w:tbl>
      <w:tblPr>
        <w:tblStyle w:val="TableGrid"/>
        <w:tblpPr w:leftFromText="180" w:rightFromText="180" w:vertAnchor="text" w:horzAnchor="margin" w:tblpXSpec="center" w:tblpY="185"/>
        <w:tblW w:w="11340" w:type="dxa"/>
        <w:tblLayout w:type="fixed"/>
        <w:tblLook w:val="04A0" w:firstRow="1" w:lastRow="0" w:firstColumn="1" w:lastColumn="0" w:noHBand="0" w:noVBand="1"/>
        <w:tblCaption w:val="Department of Social Protection "/>
      </w:tblPr>
      <w:tblGrid>
        <w:gridCol w:w="1843"/>
        <w:gridCol w:w="1559"/>
        <w:gridCol w:w="1418"/>
        <w:gridCol w:w="1559"/>
        <w:gridCol w:w="1559"/>
        <w:gridCol w:w="1701"/>
        <w:gridCol w:w="1701"/>
      </w:tblGrid>
      <w:tr w:rsidR="00031890" w:rsidRPr="006F2FFB" w14:paraId="77ACFC3B" w14:textId="77777777" w:rsidTr="00031890">
        <w:trPr>
          <w:tblHeader/>
        </w:trPr>
        <w:tc>
          <w:tcPr>
            <w:tcW w:w="1843" w:type="dxa"/>
          </w:tcPr>
          <w:p w14:paraId="1EAAB95D" w14:textId="77777777" w:rsidR="00031890" w:rsidRPr="006F2FFB" w:rsidRDefault="00031890" w:rsidP="00031890">
            <w:pPr>
              <w:pStyle w:val="TableHead"/>
              <w:rPr>
                <w:sz w:val="22"/>
                <w:szCs w:val="22"/>
              </w:rPr>
            </w:pPr>
            <w:r>
              <w:rPr>
                <w:bCs/>
                <w:sz w:val="22"/>
                <w:szCs w:val="22"/>
                <w:lang w:val="ga"/>
              </w:rPr>
              <w:t>Comhlacht Poiblí</w:t>
            </w:r>
          </w:p>
        </w:tc>
        <w:tc>
          <w:tcPr>
            <w:tcW w:w="1559" w:type="dxa"/>
          </w:tcPr>
          <w:p w14:paraId="57805635" w14:textId="77777777" w:rsidR="008321E1" w:rsidRPr="006F2FFB" w:rsidRDefault="00031890" w:rsidP="00031890">
            <w:pPr>
              <w:pStyle w:val="TableHead"/>
              <w:rPr>
                <w:sz w:val="22"/>
                <w:szCs w:val="22"/>
              </w:rPr>
            </w:pPr>
            <w:r>
              <w:rPr>
                <w:bCs/>
                <w:sz w:val="22"/>
                <w:szCs w:val="22"/>
                <w:lang w:val="ga"/>
              </w:rPr>
              <w:t xml:space="preserve">An líon iomlán </w:t>
            </w:r>
          </w:p>
          <w:p w14:paraId="1695EF1E" w14:textId="7FDDACC4" w:rsidR="00031890" w:rsidRPr="006F2FFB" w:rsidRDefault="00031890" w:rsidP="00031890">
            <w:pPr>
              <w:pStyle w:val="TableHead"/>
              <w:rPr>
                <w:sz w:val="22"/>
                <w:szCs w:val="22"/>
              </w:rPr>
            </w:pPr>
            <w:r>
              <w:rPr>
                <w:bCs/>
                <w:sz w:val="22"/>
                <w:szCs w:val="22"/>
                <w:lang w:val="ga"/>
              </w:rPr>
              <w:t>fostaithe 2021</w:t>
            </w:r>
          </w:p>
        </w:tc>
        <w:tc>
          <w:tcPr>
            <w:tcW w:w="1418" w:type="dxa"/>
          </w:tcPr>
          <w:p w14:paraId="11030C92" w14:textId="77777777" w:rsidR="00031890" w:rsidRPr="006F2FFB" w:rsidRDefault="00031890" w:rsidP="00031890">
            <w:pPr>
              <w:pStyle w:val="TableHead"/>
              <w:rPr>
                <w:sz w:val="22"/>
                <w:szCs w:val="22"/>
              </w:rPr>
            </w:pPr>
            <w:r>
              <w:rPr>
                <w:bCs/>
                <w:sz w:val="22"/>
                <w:szCs w:val="22"/>
                <w:lang w:val="ga"/>
              </w:rPr>
              <w:t xml:space="preserve">An líon fostaithe a thuairiscigh míchumas </w:t>
            </w:r>
          </w:p>
          <w:p w14:paraId="3D05F922" w14:textId="244F9A5B" w:rsidR="00031890" w:rsidRPr="006F2FFB" w:rsidRDefault="00031890" w:rsidP="00031890">
            <w:pPr>
              <w:pStyle w:val="TableHead"/>
              <w:rPr>
                <w:sz w:val="22"/>
                <w:szCs w:val="22"/>
              </w:rPr>
            </w:pPr>
            <w:r>
              <w:rPr>
                <w:bCs/>
                <w:sz w:val="22"/>
                <w:szCs w:val="22"/>
                <w:lang w:val="ga"/>
              </w:rPr>
              <w:t>2021</w:t>
            </w:r>
          </w:p>
        </w:tc>
        <w:tc>
          <w:tcPr>
            <w:tcW w:w="1559" w:type="dxa"/>
          </w:tcPr>
          <w:p w14:paraId="29335AC1" w14:textId="77777777" w:rsidR="00031890" w:rsidRPr="006F2FFB" w:rsidRDefault="00031890" w:rsidP="00031890">
            <w:pPr>
              <w:pStyle w:val="TableHead"/>
              <w:rPr>
                <w:sz w:val="22"/>
                <w:szCs w:val="22"/>
              </w:rPr>
            </w:pPr>
            <w:r>
              <w:rPr>
                <w:bCs/>
                <w:sz w:val="22"/>
                <w:szCs w:val="22"/>
                <w:lang w:val="ga"/>
              </w:rPr>
              <w:t>An % d’fhostaithe a thuairiscigh</w:t>
            </w:r>
          </w:p>
          <w:p w14:paraId="322D69F1" w14:textId="0C5A6268" w:rsidR="00031890" w:rsidRPr="006F2FFB" w:rsidRDefault="00031890" w:rsidP="00031890">
            <w:pPr>
              <w:pStyle w:val="TableHead"/>
              <w:rPr>
                <w:sz w:val="22"/>
                <w:szCs w:val="22"/>
              </w:rPr>
            </w:pPr>
            <w:r>
              <w:rPr>
                <w:bCs/>
                <w:sz w:val="22"/>
                <w:szCs w:val="22"/>
                <w:lang w:val="ga"/>
              </w:rPr>
              <w:t>míchumas 2021</w:t>
            </w:r>
          </w:p>
        </w:tc>
        <w:tc>
          <w:tcPr>
            <w:tcW w:w="1559" w:type="dxa"/>
          </w:tcPr>
          <w:p w14:paraId="73D4EECC" w14:textId="77777777" w:rsidR="008321E1" w:rsidRPr="006F2FFB" w:rsidRDefault="00031890" w:rsidP="00031890">
            <w:pPr>
              <w:pStyle w:val="TableHead"/>
              <w:rPr>
                <w:sz w:val="22"/>
                <w:szCs w:val="22"/>
              </w:rPr>
            </w:pPr>
            <w:r>
              <w:rPr>
                <w:bCs/>
                <w:sz w:val="22"/>
                <w:szCs w:val="22"/>
                <w:lang w:val="ga"/>
              </w:rPr>
              <w:t xml:space="preserve">An líon iomlán </w:t>
            </w:r>
          </w:p>
          <w:p w14:paraId="13461580" w14:textId="33B4DEF1" w:rsidR="00031890" w:rsidRPr="006F2FFB" w:rsidRDefault="00031890" w:rsidP="00031890">
            <w:pPr>
              <w:pStyle w:val="TableHead"/>
              <w:rPr>
                <w:sz w:val="22"/>
                <w:szCs w:val="22"/>
              </w:rPr>
            </w:pPr>
            <w:r>
              <w:rPr>
                <w:bCs/>
                <w:sz w:val="22"/>
                <w:szCs w:val="22"/>
                <w:lang w:val="ga"/>
              </w:rPr>
              <w:t>fostaithe 2022</w:t>
            </w:r>
          </w:p>
        </w:tc>
        <w:tc>
          <w:tcPr>
            <w:tcW w:w="1701" w:type="dxa"/>
          </w:tcPr>
          <w:p w14:paraId="02B385E7" w14:textId="77777777" w:rsidR="00031890" w:rsidRPr="006F2FFB" w:rsidRDefault="00031890" w:rsidP="00031890">
            <w:pPr>
              <w:pStyle w:val="TableHead"/>
              <w:rPr>
                <w:sz w:val="22"/>
                <w:szCs w:val="22"/>
              </w:rPr>
            </w:pPr>
            <w:r>
              <w:rPr>
                <w:bCs/>
                <w:sz w:val="22"/>
                <w:szCs w:val="22"/>
                <w:lang w:val="ga"/>
              </w:rPr>
              <w:t xml:space="preserve">An líon fostaithe a thuairiscigh míchumas </w:t>
            </w:r>
          </w:p>
          <w:p w14:paraId="3C249D73" w14:textId="012D8864" w:rsidR="00031890" w:rsidRPr="006F2FFB" w:rsidRDefault="00031890" w:rsidP="00031890">
            <w:pPr>
              <w:pStyle w:val="TableHead"/>
              <w:rPr>
                <w:sz w:val="22"/>
                <w:szCs w:val="22"/>
              </w:rPr>
            </w:pPr>
            <w:r>
              <w:rPr>
                <w:bCs/>
                <w:sz w:val="22"/>
                <w:szCs w:val="22"/>
                <w:lang w:val="ga"/>
              </w:rPr>
              <w:t>2022</w:t>
            </w:r>
          </w:p>
        </w:tc>
        <w:tc>
          <w:tcPr>
            <w:tcW w:w="1701" w:type="dxa"/>
          </w:tcPr>
          <w:p w14:paraId="63B916E6" w14:textId="77777777" w:rsidR="00031890" w:rsidRPr="006F2FFB" w:rsidRDefault="00031890" w:rsidP="00031890">
            <w:pPr>
              <w:pStyle w:val="TableHead"/>
              <w:rPr>
                <w:sz w:val="22"/>
                <w:szCs w:val="22"/>
              </w:rPr>
            </w:pPr>
            <w:r>
              <w:rPr>
                <w:bCs/>
                <w:sz w:val="22"/>
                <w:szCs w:val="22"/>
                <w:lang w:val="ga"/>
              </w:rPr>
              <w:t>An % d’fhostaithe a thuairiscigh</w:t>
            </w:r>
          </w:p>
          <w:p w14:paraId="4EB06965" w14:textId="77777777" w:rsidR="00031890" w:rsidRPr="006F2FFB" w:rsidRDefault="00031890" w:rsidP="00031890">
            <w:pPr>
              <w:pStyle w:val="TableHead"/>
              <w:rPr>
                <w:sz w:val="22"/>
                <w:szCs w:val="22"/>
              </w:rPr>
            </w:pPr>
            <w:r>
              <w:rPr>
                <w:bCs/>
                <w:sz w:val="22"/>
                <w:szCs w:val="22"/>
                <w:lang w:val="ga"/>
              </w:rPr>
              <w:t xml:space="preserve">míchumas </w:t>
            </w:r>
          </w:p>
          <w:p w14:paraId="60C81A7C" w14:textId="107081A0" w:rsidR="00031890" w:rsidRPr="006F2FFB" w:rsidRDefault="00031890" w:rsidP="00031890">
            <w:pPr>
              <w:pStyle w:val="TableHead"/>
              <w:rPr>
                <w:sz w:val="22"/>
                <w:szCs w:val="22"/>
              </w:rPr>
            </w:pPr>
            <w:r>
              <w:rPr>
                <w:bCs/>
                <w:sz w:val="22"/>
                <w:szCs w:val="22"/>
                <w:lang w:val="ga"/>
              </w:rPr>
              <w:t>2022</w:t>
            </w:r>
          </w:p>
        </w:tc>
      </w:tr>
      <w:tr w:rsidR="00F003C5" w:rsidRPr="006F2FFB" w14:paraId="76436FBF" w14:textId="77777777" w:rsidTr="00031890">
        <w:tc>
          <w:tcPr>
            <w:tcW w:w="1843" w:type="dxa"/>
            <w:vAlign w:val="bottom"/>
          </w:tcPr>
          <w:p w14:paraId="425566EF" w14:textId="77777777" w:rsidR="00F003C5" w:rsidRPr="006F2FFB" w:rsidRDefault="00F003C5" w:rsidP="00F003C5">
            <w:pPr>
              <w:rPr>
                <w:sz w:val="22"/>
                <w:szCs w:val="22"/>
              </w:rPr>
            </w:pPr>
            <w:r>
              <w:rPr>
                <w:rFonts w:cs="Calibri"/>
                <w:color w:val="000000"/>
                <w:sz w:val="22"/>
                <w:szCs w:val="22"/>
                <w:lang w:val="ga"/>
              </w:rPr>
              <w:t>An Bord um Fhaisnéis do Shaoránaigh</w:t>
            </w:r>
          </w:p>
        </w:tc>
        <w:tc>
          <w:tcPr>
            <w:tcW w:w="1559" w:type="dxa"/>
          </w:tcPr>
          <w:p w14:paraId="615AB045" w14:textId="41B13AF0" w:rsidR="00F003C5" w:rsidRPr="006F2FFB" w:rsidRDefault="00F003C5" w:rsidP="00F003C5">
            <w:pPr>
              <w:jc w:val="right"/>
              <w:rPr>
                <w:sz w:val="22"/>
                <w:szCs w:val="22"/>
              </w:rPr>
            </w:pPr>
            <w:r>
              <w:rPr>
                <w:rFonts w:cs="Calibri"/>
                <w:color w:val="000000"/>
                <w:sz w:val="22"/>
                <w:szCs w:val="22"/>
                <w:lang w:val="ga"/>
              </w:rPr>
              <w:t>88</w:t>
            </w:r>
          </w:p>
        </w:tc>
        <w:tc>
          <w:tcPr>
            <w:tcW w:w="1418" w:type="dxa"/>
          </w:tcPr>
          <w:p w14:paraId="6F2931E9" w14:textId="6D01D2A0" w:rsidR="00F003C5" w:rsidRPr="006F2FFB" w:rsidRDefault="00F003C5" w:rsidP="00F003C5">
            <w:pPr>
              <w:jc w:val="right"/>
              <w:rPr>
                <w:sz w:val="22"/>
                <w:szCs w:val="22"/>
              </w:rPr>
            </w:pPr>
            <w:r>
              <w:rPr>
                <w:rFonts w:cs="Calibri"/>
                <w:color w:val="000000"/>
                <w:sz w:val="22"/>
                <w:szCs w:val="22"/>
                <w:lang w:val="ga"/>
              </w:rPr>
              <w:t>9</w:t>
            </w:r>
          </w:p>
        </w:tc>
        <w:tc>
          <w:tcPr>
            <w:tcW w:w="1559" w:type="dxa"/>
          </w:tcPr>
          <w:p w14:paraId="1A6CB899" w14:textId="103066DF" w:rsidR="00F003C5" w:rsidRPr="006F2FFB" w:rsidRDefault="00F003C5" w:rsidP="00F003C5">
            <w:pPr>
              <w:jc w:val="right"/>
              <w:rPr>
                <w:sz w:val="22"/>
                <w:szCs w:val="22"/>
              </w:rPr>
            </w:pPr>
            <w:r>
              <w:rPr>
                <w:rFonts w:cs="Calibri"/>
                <w:color w:val="000000"/>
                <w:sz w:val="22"/>
                <w:szCs w:val="22"/>
                <w:lang w:val="ga"/>
              </w:rPr>
              <w:t>10.2%</w:t>
            </w:r>
          </w:p>
        </w:tc>
        <w:tc>
          <w:tcPr>
            <w:tcW w:w="1559" w:type="dxa"/>
          </w:tcPr>
          <w:p w14:paraId="57F29049" w14:textId="57797B4B" w:rsidR="00F003C5" w:rsidRPr="006F2FFB" w:rsidRDefault="00F003C5" w:rsidP="00F003C5">
            <w:pPr>
              <w:jc w:val="right"/>
              <w:rPr>
                <w:sz w:val="22"/>
                <w:szCs w:val="22"/>
              </w:rPr>
            </w:pPr>
            <w:r>
              <w:rPr>
                <w:rFonts w:cs="Calibri"/>
                <w:color w:val="000000"/>
                <w:sz w:val="22"/>
                <w:szCs w:val="22"/>
                <w:lang w:val="ga"/>
              </w:rPr>
              <w:t>85</w:t>
            </w:r>
          </w:p>
        </w:tc>
        <w:tc>
          <w:tcPr>
            <w:tcW w:w="1701" w:type="dxa"/>
          </w:tcPr>
          <w:p w14:paraId="0F961E09" w14:textId="4FBB88B1" w:rsidR="00F003C5" w:rsidRPr="006F2FFB" w:rsidRDefault="00F003C5" w:rsidP="00F003C5">
            <w:pPr>
              <w:jc w:val="right"/>
              <w:rPr>
                <w:sz w:val="22"/>
                <w:szCs w:val="22"/>
              </w:rPr>
            </w:pPr>
            <w:r>
              <w:rPr>
                <w:rFonts w:cs="Calibri"/>
                <w:color w:val="000000"/>
                <w:sz w:val="22"/>
                <w:szCs w:val="22"/>
                <w:lang w:val="ga"/>
              </w:rPr>
              <w:t>8</w:t>
            </w:r>
          </w:p>
        </w:tc>
        <w:tc>
          <w:tcPr>
            <w:tcW w:w="1701" w:type="dxa"/>
          </w:tcPr>
          <w:p w14:paraId="0D0AE6C3" w14:textId="3ED91F4D" w:rsidR="00F003C5" w:rsidRPr="006F2FFB" w:rsidRDefault="00F003C5" w:rsidP="00F003C5">
            <w:pPr>
              <w:jc w:val="right"/>
              <w:rPr>
                <w:sz w:val="22"/>
                <w:szCs w:val="22"/>
              </w:rPr>
            </w:pPr>
            <w:r>
              <w:rPr>
                <w:rFonts w:cs="Calibri"/>
                <w:color w:val="000000"/>
                <w:sz w:val="22"/>
                <w:szCs w:val="22"/>
                <w:lang w:val="ga"/>
              </w:rPr>
              <w:t>9.4%</w:t>
            </w:r>
          </w:p>
        </w:tc>
      </w:tr>
      <w:tr w:rsidR="00F003C5" w:rsidRPr="006F2FFB" w14:paraId="22C23807" w14:textId="77777777" w:rsidTr="00031890">
        <w:tc>
          <w:tcPr>
            <w:tcW w:w="1843" w:type="dxa"/>
            <w:vAlign w:val="bottom"/>
          </w:tcPr>
          <w:p w14:paraId="1422F956" w14:textId="77777777" w:rsidR="00F003C5" w:rsidRPr="006F2FFB" w:rsidRDefault="00F003C5" w:rsidP="00F003C5">
            <w:pPr>
              <w:rPr>
                <w:sz w:val="22"/>
                <w:szCs w:val="22"/>
              </w:rPr>
            </w:pPr>
            <w:r>
              <w:rPr>
                <w:rFonts w:cs="Calibri"/>
                <w:color w:val="000000"/>
                <w:sz w:val="22"/>
                <w:szCs w:val="22"/>
                <w:lang w:val="ga"/>
              </w:rPr>
              <w:t>An tÚdarás Pinsean</w:t>
            </w:r>
          </w:p>
        </w:tc>
        <w:tc>
          <w:tcPr>
            <w:tcW w:w="1559" w:type="dxa"/>
          </w:tcPr>
          <w:p w14:paraId="1CC410F7" w14:textId="5E85CA60" w:rsidR="00F003C5" w:rsidRPr="006F2FFB" w:rsidRDefault="00F003C5" w:rsidP="00F003C5">
            <w:pPr>
              <w:jc w:val="right"/>
              <w:rPr>
                <w:sz w:val="22"/>
                <w:szCs w:val="22"/>
              </w:rPr>
            </w:pPr>
            <w:r>
              <w:rPr>
                <w:rFonts w:cs="Calibri"/>
                <w:color w:val="000000"/>
                <w:sz w:val="22"/>
                <w:szCs w:val="22"/>
                <w:lang w:val="ga"/>
              </w:rPr>
              <w:t>96</w:t>
            </w:r>
          </w:p>
        </w:tc>
        <w:tc>
          <w:tcPr>
            <w:tcW w:w="1418" w:type="dxa"/>
          </w:tcPr>
          <w:p w14:paraId="28CB9A77" w14:textId="327EA004" w:rsidR="00F003C5" w:rsidRPr="006F2FFB" w:rsidRDefault="00F003C5" w:rsidP="00F003C5">
            <w:pPr>
              <w:jc w:val="right"/>
              <w:rPr>
                <w:sz w:val="22"/>
                <w:szCs w:val="22"/>
              </w:rPr>
            </w:pPr>
            <w:r>
              <w:rPr>
                <w:rFonts w:cs="Calibri"/>
                <w:color w:val="000000"/>
                <w:sz w:val="22"/>
                <w:szCs w:val="22"/>
                <w:lang w:val="ga"/>
              </w:rPr>
              <w:t>8</w:t>
            </w:r>
          </w:p>
        </w:tc>
        <w:tc>
          <w:tcPr>
            <w:tcW w:w="1559" w:type="dxa"/>
          </w:tcPr>
          <w:p w14:paraId="25F18CB1" w14:textId="6D0353A9" w:rsidR="00F003C5" w:rsidRPr="006F2FFB" w:rsidRDefault="00F003C5" w:rsidP="00F003C5">
            <w:pPr>
              <w:jc w:val="right"/>
              <w:rPr>
                <w:sz w:val="22"/>
                <w:szCs w:val="22"/>
              </w:rPr>
            </w:pPr>
            <w:r>
              <w:rPr>
                <w:rFonts w:cs="Calibri"/>
                <w:color w:val="000000"/>
                <w:sz w:val="22"/>
                <w:szCs w:val="22"/>
                <w:lang w:val="ga"/>
              </w:rPr>
              <w:t>8.3%</w:t>
            </w:r>
          </w:p>
        </w:tc>
        <w:tc>
          <w:tcPr>
            <w:tcW w:w="1559" w:type="dxa"/>
          </w:tcPr>
          <w:p w14:paraId="3EAF2463" w14:textId="10BD55AA" w:rsidR="00F003C5" w:rsidRPr="006F2FFB" w:rsidRDefault="00F003C5" w:rsidP="00F003C5">
            <w:pPr>
              <w:jc w:val="right"/>
              <w:rPr>
                <w:sz w:val="22"/>
                <w:szCs w:val="22"/>
              </w:rPr>
            </w:pPr>
            <w:r>
              <w:rPr>
                <w:rFonts w:cs="Calibri"/>
                <w:color w:val="000000"/>
                <w:sz w:val="22"/>
                <w:szCs w:val="22"/>
                <w:lang w:val="ga"/>
              </w:rPr>
              <w:t>94</w:t>
            </w:r>
          </w:p>
        </w:tc>
        <w:tc>
          <w:tcPr>
            <w:tcW w:w="1701" w:type="dxa"/>
          </w:tcPr>
          <w:p w14:paraId="6013CBBF" w14:textId="57B00E74" w:rsidR="00F003C5" w:rsidRPr="006F2FFB" w:rsidRDefault="00F003C5" w:rsidP="00F003C5">
            <w:pPr>
              <w:jc w:val="right"/>
              <w:rPr>
                <w:sz w:val="22"/>
                <w:szCs w:val="22"/>
              </w:rPr>
            </w:pPr>
            <w:r>
              <w:rPr>
                <w:rFonts w:cs="Calibri"/>
                <w:color w:val="000000"/>
                <w:sz w:val="22"/>
                <w:szCs w:val="22"/>
                <w:lang w:val="ga"/>
              </w:rPr>
              <w:t>8</w:t>
            </w:r>
          </w:p>
        </w:tc>
        <w:tc>
          <w:tcPr>
            <w:tcW w:w="1701" w:type="dxa"/>
          </w:tcPr>
          <w:p w14:paraId="727C39CC" w14:textId="57EB01AA" w:rsidR="00F003C5" w:rsidRPr="006F2FFB" w:rsidRDefault="00F003C5" w:rsidP="00F003C5">
            <w:pPr>
              <w:jc w:val="right"/>
              <w:rPr>
                <w:sz w:val="22"/>
                <w:szCs w:val="22"/>
              </w:rPr>
            </w:pPr>
            <w:r>
              <w:rPr>
                <w:rFonts w:cs="Calibri"/>
                <w:color w:val="000000"/>
                <w:sz w:val="22"/>
                <w:szCs w:val="22"/>
                <w:lang w:val="ga"/>
              </w:rPr>
              <w:t>8.5%</w:t>
            </w:r>
          </w:p>
        </w:tc>
      </w:tr>
      <w:tr w:rsidR="005125D5" w:rsidRPr="00611BF3" w14:paraId="18DE8346" w14:textId="77777777" w:rsidTr="00031890">
        <w:tc>
          <w:tcPr>
            <w:tcW w:w="1843" w:type="dxa"/>
          </w:tcPr>
          <w:p w14:paraId="0FEC3432" w14:textId="77777777" w:rsidR="005125D5" w:rsidRPr="006F2FFB" w:rsidRDefault="005125D5" w:rsidP="005125D5">
            <w:pPr>
              <w:pStyle w:val="TableHead"/>
              <w:spacing w:after="240"/>
              <w:rPr>
                <w:sz w:val="22"/>
                <w:szCs w:val="22"/>
              </w:rPr>
            </w:pPr>
            <w:r>
              <w:rPr>
                <w:bCs/>
                <w:sz w:val="22"/>
                <w:szCs w:val="22"/>
                <w:lang w:val="ga"/>
              </w:rPr>
              <w:t xml:space="preserve">Mór-Iomlán </w:t>
            </w:r>
          </w:p>
        </w:tc>
        <w:tc>
          <w:tcPr>
            <w:tcW w:w="1559" w:type="dxa"/>
          </w:tcPr>
          <w:p w14:paraId="739B18DC" w14:textId="1F84A582" w:rsidR="005125D5" w:rsidRPr="006F2FFB" w:rsidRDefault="005125D5" w:rsidP="005125D5">
            <w:pPr>
              <w:pStyle w:val="TableHead"/>
              <w:spacing w:after="240"/>
              <w:jc w:val="right"/>
              <w:rPr>
                <w:sz w:val="22"/>
                <w:szCs w:val="22"/>
              </w:rPr>
            </w:pPr>
            <w:r>
              <w:rPr>
                <w:bCs/>
                <w:sz w:val="22"/>
                <w:szCs w:val="22"/>
                <w:lang w:val="ga"/>
              </w:rPr>
              <w:t>184</w:t>
            </w:r>
          </w:p>
        </w:tc>
        <w:tc>
          <w:tcPr>
            <w:tcW w:w="1418" w:type="dxa"/>
          </w:tcPr>
          <w:p w14:paraId="2015A0B1" w14:textId="0438B2DA" w:rsidR="005125D5" w:rsidRPr="006F2FFB" w:rsidRDefault="005125D5" w:rsidP="005125D5">
            <w:pPr>
              <w:pStyle w:val="TableHead"/>
              <w:spacing w:after="240"/>
              <w:jc w:val="right"/>
              <w:rPr>
                <w:sz w:val="22"/>
                <w:szCs w:val="22"/>
              </w:rPr>
            </w:pPr>
            <w:r>
              <w:rPr>
                <w:bCs/>
                <w:sz w:val="22"/>
                <w:szCs w:val="22"/>
                <w:lang w:val="ga"/>
              </w:rPr>
              <w:t>17</w:t>
            </w:r>
          </w:p>
        </w:tc>
        <w:tc>
          <w:tcPr>
            <w:tcW w:w="1559" w:type="dxa"/>
          </w:tcPr>
          <w:p w14:paraId="78C26802" w14:textId="304CE29D" w:rsidR="005125D5" w:rsidRPr="006F2FFB" w:rsidRDefault="005125D5" w:rsidP="005125D5">
            <w:pPr>
              <w:pStyle w:val="TableHead"/>
              <w:spacing w:after="240"/>
              <w:jc w:val="right"/>
              <w:rPr>
                <w:sz w:val="22"/>
                <w:szCs w:val="22"/>
              </w:rPr>
            </w:pPr>
            <w:r>
              <w:rPr>
                <w:bCs/>
                <w:sz w:val="22"/>
                <w:szCs w:val="22"/>
                <w:lang w:val="ga"/>
              </w:rPr>
              <w:t>9.2%</w:t>
            </w:r>
          </w:p>
        </w:tc>
        <w:tc>
          <w:tcPr>
            <w:tcW w:w="1559" w:type="dxa"/>
          </w:tcPr>
          <w:p w14:paraId="356DAD14" w14:textId="77777777" w:rsidR="00F003C5" w:rsidRDefault="00F003C5" w:rsidP="00F003C5">
            <w:pPr>
              <w:spacing w:after="0"/>
              <w:jc w:val="right"/>
              <w:rPr>
                <w:rFonts w:cs="Calibri"/>
                <w:b/>
                <w:bCs/>
                <w:color w:val="000000"/>
                <w:sz w:val="22"/>
                <w:szCs w:val="22"/>
              </w:rPr>
            </w:pPr>
            <w:r>
              <w:rPr>
                <w:rFonts w:cs="Calibri"/>
                <w:b/>
                <w:bCs/>
                <w:color w:val="000000"/>
                <w:sz w:val="22"/>
                <w:szCs w:val="22"/>
                <w:lang w:val="ga"/>
              </w:rPr>
              <w:t>179</w:t>
            </w:r>
          </w:p>
          <w:p w14:paraId="551D2064" w14:textId="654D22AC" w:rsidR="005125D5" w:rsidRPr="006F2FFB" w:rsidRDefault="005125D5" w:rsidP="005125D5">
            <w:pPr>
              <w:pStyle w:val="TableHead"/>
              <w:spacing w:after="240"/>
              <w:jc w:val="right"/>
              <w:rPr>
                <w:sz w:val="22"/>
                <w:szCs w:val="22"/>
              </w:rPr>
            </w:pPr>
          </w:p>
        </w:tc>
        <w:tc>
          <w:tcPr>
            <w:tcW w:w="1701" w:type="dxa"/>
          </w:tcPr>
          <w:p w14:paraId="3FDBC905" w14:textId="77777777" w:rsidR="00F003C5" w:rsidRDefault="00F003C5" w:rsidP="00F003C5">
            <w:pPr>
              <w:spacing w:after="0"/>
              <w:jc w:val="right"/>
              <w:rPr>
                <w:rFonts w:cs="Calibri"/>
                <w:b/>
                <w:bCs/>
                <w:color w:val="000000"/>
                <w:sz w:val="22"/>
                <w:szCs w:val="22"/>
              </w:rPr>
            </w:pPr>
            <w:r>
              <w:rPr>
                <w:rFonts w:cs="Calibri"/>
                <w:b/>
                <w:bCs/>
                <w:color w:val="000000"/>
                <w:sz w:val="22"/>
                <w:szCs w:val="22"/>
                <w:lang w:val="ga"/>
              </w:rPr>
              <w:t>16</w:t>
            </w:r>
          </w:p>
          <w:p w14:paraId="59708C58" w14:textId="31535769" w:rsidR="005125D5" w:rsidRPr="006F2FFB" w:rsidRDefault="005125D5" w:rsidP="005125D5">
            <w:pPr>
              <w:pStyle w:val="TableHead"/>
              <w:spacing w:after="240"/>
              <w:jc w:val="right"/>
              <w:rPr>
                <w:sz w:val="22"/>
                <w:szCs w:val="22"/>
              </w:rPr>
            </w:pPr>
          </w:p>
        </w:tc>
        <w:tc>
          <w:tcPr>
            <w:tcW w:w="1701" w:type="dxa"/>
          </w:tcPr>
          <w:p w14:paraId="2D8C2EF8" w14:textId="77777777" w:rsidR="00F003C5" w:rsidRDefault="00F003C5" w:rsidP="00F003C5">
            <w:pPr>
              <w:spacing w:after="0"/>
              <w:jc w:val="right"/>
              <w:rPr>
                <w:rFonts w:cs="Calibri"/>
                <w:b/>
                <w:bCs/>
                <w:color w:val="000000"/>
                <w:sz w:val="22"/>
                <w:szCs w:val="22"/>
              </w:rPr>
            </w:pPr>
            <w:r>
              <w:rPr>
                <w:rFonts w:cs="Calibri"/>
                <w:b/>
                <w:bCs/>
                <w:color w:val="000000"/>
                <w:sz w:val="22"/>
                <w:szCs w:val="22"/>
                <w:lang w:val="ga"/>
              </w:rPr>
              <w:t>8.9%</w:t>
            </w:r>
          </w:p>
          <w:p w14:paraId="4DC4FB03" w14:textId="1BC00A2E" w:rsidR="005125D5" w:rsidRPr="006F2FFB" w:rsidRDefault="005125D5" w:rsidP="005125D5">
            <w:pPr>
              <w:pStyle w:val="TableHead"/>
              <w:spacing w:after="240"/>
              <w:jc w:val="right"/>
              <w:rPr>
                <w:sz w:val="22"/>
                <w:szCs w:val="22"/>
              </w:rPr>
            </w:pPr>
          </w:p>
        </w:tc>
      </w:tr>
    </w:tbl>
    <w:p w14:paraId="727FF1FA" w14:textId="7FA7FD4D" w:rsidR="00E46650" w:rsidRDefault="00E46650" w:rsidP="00E46650"/>
    <w:p w14:paraId="6AAD7FB0" w14:textId="77777777" w:rsidR="00E46650" w:rsidRDefault="00E46650">
      <w:pPr>
        <w:spacing w:after="0"/>
      </w:pPr>
      <w:r>
        <w:rPr>
          <w:lang w:val="ga"/>
        </w:rPr>
        <w:br w:type="page"/>
      </w:r>
    </w:p>
    <w:p w14:paraId="5859C064" w14:textId="722BFEE9" w:rsidR="00C95275" w:rsidRPr="0016775B" w:rsidRDefault="00C95275" w:rsidP="001624B2">
      <w:pPr>
        <w:pStyle w:val="Heading2"/>
        <w:jc w:val="center"/>
        <w:rPr>
          <w:color w:val="000000" w:themeColor="text1"/>
        </w:rPr>
      </w:pPr>
      <w:bookmarkStart w:id="82" w:name="_Toc147910097"/>
      <w:r>
        <w:rPr>
          <w:bCs/>
          <w:color w:val="000000" w:themeColor="text1"/>
          <w:lang w:val="ga"/>
        </w:rPr>
        <w:t>An Roinn Comhshaoil, Aeráide agus Cumarsáide</w:t>
      </w:r>
      <w:bookmarkEnd w:id="82"/>
    </w:p>
    <w:tbl>
      <w:tblPr>
        <w:tblStyle w:val="TableGrid"/>
        <w:tblpPr w:leftFromText="180" w:rightFromText="180" w:vertAnchor="text" w:horzAnchor="margin" w:tblpXSpec="center" w:tblpY="165"/>
        <w:tblW w:w="11346" w:type="dxa"/>
        <w:tblLayout w:type="fixed"/>
        <w:tblLook w:val="04A0" w:firstRow="1" w:lastRow="0" w:firstColumn="1" w:lastColumn="0" w:noHBand="0" w:noVBand="1"/>
        <w:tblCaption w:val="Department of the Environment, Climate and Communications "/>
      </w:tblPr>
      <w:tblGrid>
        <w:gridCol w:w="1990"/>
        <w:gridCol w:w="1559"/>
        <w:gridCol w:w="1418"/>
        <w:gridCol w:w="1559"/>
        <w:gridCol w:w="1559"/>
        <w:gridCol w:w="1701"/>
        <w:gridCol w:w="1560"/>
      </w:tblGrid>
      <w:tr w:rsidR="001D6F34" w:rsidRPr="0016775B" w14:paraId="54C35469" w14:textId="77777777" w:rsidTr="005B3D04">
        <w:trPr>
          <w:tblHeader/>
        </w:trPr>
        <w:tc>
          <w:tcPr>
            <w:tcW w:w="1990" w:type="dxa"/>
          </w:tcPr>
          <w:p w14:paraId="1EE7E205" w14:textId="77777777" w:rsidR="001D6F34" w:rsidRPr="0016775B" w:rsidRDefault="001D6F34" w:rsidP="001D6F34">
            <w:pPr>
              <w:pStyle w:val="TableHead"/>
              <w:rPr>
                <w:sz w:val="22"/>
                <w:szCs w:val="22"/>
              </w:rPr>
            </w:pPr>
            <w:r>
              <w:rPr>
                <w:bCs/>
                <w:sz w:val="22"/>
                <w:szCs w:val="22"/>
                <w:lang w:val="ga"/>
              </w:rPr>
              <w:t>Comhlacht Poiblí</w:t>
            </w:r>
          </w:p>
        </w:tc>
        <w:tc>
          <w:tcPr>
            <w:tcW w:w="1559" w:type="dxa"/>
          </w:tcPr>
          <w:p w14:paraId="5E8449CC" w14:textId="77777777" w:rsidR="008321E1" w:rsidRPr="0016775B" w:rsidRDefault="001D6F34" w:rsidP="001D6F34">
            <w:pPr>
              <w:pStyle w:val="TableHead"/>
              <w:rPr>
                <w:sz w:val="22"/>
                <w:szCs w:val="22"/>
              </w:rPr>
            </w:pPr>
            <w:r>
              <w:rPr>
                <w:bCs/>
                <w:sz w:val="22"/>
                <w:szCs w:val="22"/>
                <w:lang w:val="ga"/>
              </w:rPr>
              <w:t xml:space="preserve">An líon iomlán </w:t>
            </w:r>
          </w:p>
          <w:p w14:paraId="40D6972F" w14:textId="52776360" w:rsidR="001D6F34" w:rsidRPr="0016775B" w:rsidRDefault="001D6F34" w:rsidP="001D6F34">
            <w:pPr>
              <w:pStyle w:val="TableHead"/>
              <w:rPr>
                <w:sz w:val="22"/>
                <w:szCs w:val="22"/>
              </w:rPr>
            </w:pPr>
            <w:r>
              <w:rPr>
                <w:bCs/>
                <w:sz w:val="22"/>
                <w:szCs w:val="22"/>
                <w:lang w:val="ga"/>
              </w:rPr>
              <w:t>fostaithe 2021</w:t>
            </w:r>
          </w:p>
        </w:tc>
        <w:tc>
          <w:tcPr>
            <w:tcW w:w="1418" w:type="dxa"/>
          </w:tcPr>
          <w:p w14:paraId="0372B6DA" w14:textId="77777777" w:rsidR="001D6F34" w:rsidRPr="0016775B" w:rsidRDefault="001D6F34" w:rsidP="001D6F34">
            <w:pPr>
              <w:pStyle w:val="TableHead"/>
              <w:rPr>
                <w:sz w:val="22"/>
                <w:szCs w:val="22"/>
              </w:rPr>
            </w:pPr>
            <w:r>
              <w:rPr>
                <w:bCs/>
                <w:sz w:val="22"/>
                <w:szCs w:val="22"/>
                <w:lang w:val="ga"/>
              </w:rPr>
              <w:t xml:space="preserve">An líon fostaithe a thuairiscigh míchumas </w:t>
            </w:r>
          </w:p>
          <w:p w14:paraId="62DD7554" w14:textId="4104F6ED" w:rsidR="001D6F34" w:rsidRPr="0016775B" w:rsidRDefault="001D6F34" w:rsidP="001D6F34">
            <w:pPr>
              <w:pStyle w:val="TableHead"/>
              <w:rPr>
                <w:sz w:val="22"/>
                <w:szCs w:val="22"/>
              </w:rPr>
            </w:pPr>
            <w:r>
              <w:rPr>
                <w:bCs/>
                <w:sz w:val="22"/>
                <w:szCs w:val="22"/>
                <w:lang w:val="ga"/>
              </w:rPr>
              <w:t>2021</w:t>
            </w:r>
          </w:p>
        </w:tc>
        <w:tc>
          <w:tcPr>
            <w:tcW w:w="1559" w:type="dxa"/>
          </w:tcPr>
          <w:p w14:paraId="64EAF0D4" w14:textId="77777777" w:rsidR="001D6F34" w:rsidRPr="0016775B" w:rsidRDefault="001D6F34" w:rsidP="001D6F34">
            <w:pPr>
              <w:pStyle w:val="TableHead"/>
              <w:rPr>
                <w:sz w:val="22"/>
                <w:szCs w:val="22"/>
              </w:rPr>
            </w:pPr>
            <w:r>
              <w:rPr>
                <w:bCs/>
                <w:sz w:val="22"/>
                <w:szCs w:val="22"/>
                <w:lang w:val="ga"/>
              </w:rPr>
              <w:t>An % d’fhostaithe a thuairiscigh</w:t>
            </w:r>
          </w:p>
          <w:p w14:paraId="2425E2A3" w14:textId="6B10AC7A" w:rsidR="001D6F34" w:rsidRPr="0016775B" w:rsidRDefault="001D6F34" w:rsidP="001D6F34">
            <w:pPr>
              <w:pStyle w:val="TableHead"/>
              <w:rPr>
                <w:sz w:val="22"/>
                <w:szCs w:val="22"/>
              </w:rPr>
            </w:pPr>
            <w:r>
              <w:rPr>
                <w:bCs/>
                <w:sz w:val="22"/>
                <w:szCs w:val="22"/>
                <w:lang w:val="ga"/>
              </w:rPr>
              <w:t>míchumas 2021</w:t>
            </w:r>
          </w:p>
        </w:tc>
        <w:tc>
          <w:tcPr>
            <w:tcW w:w="1559" w:type="dxa"/>
          </w:tcPr>
          <w:p w14:paraId="74E39590" w14:textId="77777777" w:rsidR="008321E1" w:rsidRPr="0016775B" w:rsidRDefault="001D6F34" w:rsidP="001D6F34">
            <w:pPr>
              <w:pStyle w:val="TableHead"/>
              <w:rPr>
                <w:sz w:val="22"/>
                <w:szCs w:val="22"/>
              </w:rPr>
            </w:pPr>
            <w:r>
              <w:rPr>
                <w:bCs/>
                <w:sz w:val="22"/>
                <w:szCs w:val="22"/>
                <w:lang w:val="ga"/>
              </w:rPr>
              <w:t xml:space="preserve">An líon iomlán </w:t>
            </w:r>
          </w:p>
          <w:p w14:paraId="5C745716" w14:textId="4A9AB8F2" w:rsidR="001D6F34" w:rsidRPr="0016775B" w:rsidRDefault="001D6F34" w:rsidP="001D6F34">
            <w:pPr>
              <w:pStyle w:val="TableHead"/>
              <w:rPr>
                <w:sz w:val="22"/>
                <w:szCs w:val="22"/>
              </w:rPr>
            </w:pPr>
            <w:r>
              <w:rPr>
                <w:bCs/>
                <w:sz w:val="22"/>
                <w:szCs w:val="22"/>
                <w:lang w:val="ga"/>
              </w:rPr>
              <w:t>fostaithe 2022</w:t>
            </w:r>
          </w:p>
        </w:tc>
        <w:tc>
          <w:tcPr>
            <w:tcW w:w="1701" w:type="dxa"/>
          </w:tcPr>
          <w:p w14:paraId="763DD8F5" w14:textId="464C78FF" w:rsidR="001D6F34" w:rsidRPr="0016775B" w:rsidRDefault="00A93CE9" w:rsidP="001D6F34">
            <w:pPr>
              <w:pStyle w:val="TableHead"/>
              <w:rPr>
                <w:sz w:val="22"/>
                <w:szCs w:val="22"/>
              </w:rPr>
            </w:pPr>
            <w:r>
              <w:rPr>
                <w:bCs/>
                <w:sz w:val="22"/>
                <w:szCs w:val="22"/>
                <w:lang w:val="ga"/>
              </w:rPr>
              <w:t xml:space="preserve">An líon fostaithe a thuairiscigh míchumas </w:t>
            </w:r>
          </w:p>
          <w:p w14:paraId="3DB91369" w14:textId="5EA41C20" w:rsidR="001D6F34" w:rsidRPr="0016775B" w:rsidRDefault="001D6F34" w:rsidP="001D6F34">
            <w:pPr>
              <w:pStyle w:val="TableHead"/>
              <w:rPr>
                <w:sz w:val="22"/>
                <w:szCs w:val="22"/>
              </w:rPr>
            </w:pPr>
            <w:r>
              <w:rPr>
                <w:bCs/>
                <w:sz w:val="22"/>
                <w:szCs w:val="22"/>
                <w:lang w:val="ga"/>
              </w:rPr>
              <w:t>2022</w:t>
            </w:r>
          </w:p>
        </w:tc>
        <w:tc>
          <w:tcPr>
            <w:tcW w:w="1560" w:type="dxa"/>
          </w:tcPr>
          <w:p w14:paraId="002A65E9" w14:textId="77777777" w:rsidR="001D6F34" w:rsidRPr="0016775B" w:rsidRDefault="001D6F34" w:rsidP="001D6F34">
            <w:pPr>
              <w:pStyle w:val="TableHead"/>
              <w:rPr>
                <w:sz w:val="22"/>
                <w:szCs w:val="22"/>
              </w:rPr>
            </w:pPr>
            <w:r>
              <w:rPr>
                <w:bCs/>
                <w:sz w:val="22"/>
                <w:szCs w:val="22"/>
                <w:lang w:val="ga"/>
              </w:rPr>
              <w:t>An % d’fhostaithe a thuairiscigh</w:t>
            </w:r>
          </w:p>
          <w:p w14:paraId="7594490C" w14:textId="6BB0C6B5" w:rsidR="001D6F34" w:rsidRPr="0016775B" w:rsidRDefault="001D6F34" w:rsidP="001D6F34">
            <w:pPr>
              <w:pStyle w:val="TableHead"/>
              <w:rPr>
                <w:sz w:val="24"/>
              </w:rPr>
            </w:pPr>
            <w:r>
              <w:rPr>
                <w:bCs/>
                <w:sz w:val="22"/>
                <w:szCs w:val="22"/>
                <w:lang w:val="ga"/>
              </w:rPr>
              <w:t>míchumas 2022</w:t>
            </w:r>
          </w:p>
        </w:tc>
      </w:tr>
      <w:tr w:rsidR="0016775B" w:rsidRPr="0016775B" w14:paraId="095E0A78" w14:textId="77777777" w:rsidTr="005B3D04">
        <w:trPr>
          <w:trHeight w:val="162"/>
        </w:trPr>
        <w:tc>
          <w:tcPr>
            <w:tcW w:w="1990" w:type="dxa"/>
            <w:vAlign w:val="bottom"/>
          </w:tcPr>
          <w:p w14:paraId="648A1C87" w14:textId="77777777" w:rsidR="0016775B" w:rsidRPr="0016775B" w:rsidRDefault="0016775B" w:rsidP="0016775B">
            <w:pPr>
              <w:rPr>
                <w:sz w:val="22"/>
                <w:szCs w:val="22"/>
              </w:rPr>
            </w:pPr>
            <w:bookmarkStart w:id="83" w:name="_Hlk145859134"/>
            <w:r>
              <w:rPr>
                <w:rFonts w:cs="Calibri"/>
                <w:color w:val="000000"/>
                <w:sz w:val="22"/>
                <w:szCs w:val="22"/>
                <w:lang w:val="ga"/>
              </w:rPr>
              <w:t>An Post</w:t>
            </w:r>
          </w:p>
        </w:tc>
        <w:tc>
          <w:tcPr>
            <w:tcW w:w="1559" w:type="dxa"/>
          </w:tcPr>
          <w:p w14:paraId="217565D3" w14:textId="153FD2E5" w:rsidR="0016775B" w:rsidRPr="0016775B" w:rsidRDefault="0016775B" w:rsidP="0016775B">
            <w:pPr>
              <w:jc w:val="right"/>
              <w:rPr>
                <w:sz w:val="22"/>
                <w:szCs w:val="22"/>
              </w:rPr>
            </w:pPr>
            <w:r>
              <w:rPr>
                <w:rFonts w:cs="Calibri"/>
                <w:color w:val="000000"/>
                <w:sz w:val="22"/>
                <w:szCs w:val="22"/>
                <w:lang w:val="ga"/>
              </w:rPr>
              <w:t>9,811</w:t>
            </w:r>
          </w:p>
        </w:tc>
        <w:tc>
          <w:tcPr>
            <w:tcW w:w="1418" w:type="dxa"/>
          </w:tcPr>
          <w:p w14:paraId="2FD01004" w14:textId="7473DFB3" w:rsidR="0016775B" w:rsidRPr="0016775B" w:rsidRDefault="0016775B" w:rsidP="0016775B">
            <w:pPr>
              <w:jc w:val="right"/>
              <w:rPr>
                <w:sz w:val="22"/>
                <w:szCs w:val="22"/>
              </w:rPr>
            </w:pPr>
            <w:r>
              <w:rPr>
                <w:rFonts w:cs="Calibri"/>
                <w:color w:val="000000"/>
                <w:sz w:val="22"/>
                <w:szCs w:val="22"/>
                <w:lang w:val="ga"/>
              </w:rPr>
              <w:t>431</w:t>
            </w:r>
          </w:p>
        </w:tc>
        <w:tc>
          <w:tcPr>
            <w:tcW w:w="1559" w:type="dxa"/>
          </w:tcPr>
          <w:p w14:paraId="5C03446A" w14:textId="3BB07BE0" w:rsidR="0016775B" w:rsidRPr="0016775B" w:rsidRDefault="0016775B" w:rsidP="0016775B">
            <w:pPr>
              <w:jc w:val="right"/>
              <w:rPr>
                <w:sz w:val="22"/>
                <w:szCs w:val="22"/>
              </w:rPr>
            </w:pPr>
            <w:r>
              <w:rPr>
                <w:rFonts w:cs="Calibri"/>
                <w:color w:val="000000"/>
                <w:sz w:val="22"/>
                <w:szCs w:val="22"/>
                <w:lang w:val="ga"/>
              </w:rPr>
              <w:t>4.4%</w:t>
            </w:r>
          </w:p>
        </w:tc>
        <w:tc>
          <w:tcPr>
            <w:tcW w:w="1559" w:type="dxa"/>
          </w:tcPr>
          <w:p w14:paraId="046483FB" w14:textId="1431E27C" w:rsidR="0016775B" w:rsidRPr="0016775B" w:rsidRDefault="0016775B" w:rsidP="0016775B">
            <w:pPr>
              <w:jc w:val="right"/>
              <w:rPr>
                <w:sz w:val="22"/>
                <w:szCs w:val="22"/>
              </w:rPr>
            </w:pPr>
            <w:r>
              <w:rPr>
                <w:rFonts w:cs="Calibri"/>
                <w:color w:val="000000"/>
                <w:sz w:val="22"/>
                <w:szCs w:val="22"/>
                <w:lang w:val="ga"/>
              </w:rPr>
              <w:t>9620</w:t>
            </w:r>
          </w:p>
        </w:tc>
        <w:tc>
          <w:tcPr>
            <w:tcW w:w="1701" w:type="dxa"/>
          </w:tcPr>
          <w:p w14:paraId="1F27F61F" w14:textId="27C834DA" w:rsidR="0016775B" w:rsidRPr="0016775B" w:rsidRDefault="0016775B" w:rsidP="0016775B">
            <w:pPr>
              <w:jc w:val="right"/>
              <w:rPr>
                <w:sz w:val="22"/>
                <w:szCs w:val="22"/>
              </w:rPr>
            </w:pPr>
            <w:r>
              <w:rPr>
                <w:rFonts w:cs="Calibri"/>
                <w:color w:val="000000"/>
                <w:sz w:val="22"/>
                <w:szCs w:val="22"/>
                <w:lang w:val="ga"/>
              </w:rPr>
              <w:t>406</w:t>
            </w:r>
          </w:p>
        </w:tc>
        <w:tc>
          <w:tcPr>
            <w:tcW w:w="1560" w:type="dxa"/>
          </w:tcPr>
          <w:p w14:paraId="5B19D71B" w14:textId="2F0FB908" w:rsidR="0016775B" w:rsidRPr="0016775B" w:rsidRDefault="0016775B" w:rsidP="0016775B">
            <w:pPr>
              <w:jc w:val="right"/>
              <w:rPr>
                <w:sz w:val="22"/>
                <w:szCs w:val="22"/>
              </w:rPr>
            </w:pPr>
            <w:r>
              <w:rPr>
                <w:rFonts w:cs="Calibri"/>
                <w:color w:val="000000"/>
                <w:sz w:val="22"/>
                <w:szCs w:val="22"/>
                <w:lang w:val="ga"/>
              </w:rPr>
              <w:t>4.2%</w:t>
            </w:r>
          </w:p>
        </w:tc>
      </w:tr>
      <w:bookmarkEnd w:id="83"/>
      <w:tr w:rsidR="0016775B" w:rsidRPr="0016775B" w14:paraId="62D3DEA2" w14:textId="77777777" w:rsidTr="005B3D04">
        <w:trPr>
          <w:trHeight w:val="162"/>
        </w:trPr>
        <w:tc>
          <w:tcPr>
            <w:tcW w:w="1990" w:type="dxa"/>
            <w:vAlign w:val="bottom"/>
          </w:tcPr>
          <w:p w14:paraId="77C44108" w14:textId="77777777" w:rsidR="0016775B" w:rsidRPr="0016775B" w:rsidRDefault="0016775B" w:rsidP="0016775B">
            <w:pPr>
              <w:rPr>
                <w:sz w:val="22"/>
                <w:szCs w:val="22"/>
              </w:rPr>
            </w:pPr>
            <w:r>
              <w:rPr>
                <w:rFonts w:cs="Calibri"/>
                <w:color w:val="000000"/>
                <w:sz w:val="22"/>
                <w:szCs w:val="22"/>
                <w:lang w:val="ga"/>
              </w:rPr>
              <w:t>Bord na Móna</w:t>
            </w:r>
          </w:p>
        </w:tc>
        <w:tc>
          <w:tcPr>
            <w:tcW w:w="1559" w:type="dxa"/>
          </w:tcPr>
          <w:p w14:paraId="3EFFCCE3" w14:textId="4881CC33" w:rsidR="0016775B" w:rsidRPr="0016775B" w:rsidRDefault="0016775B" w:rsidP="0016775B">
            <w:pPr>
              <w:jc w:val="right"/>
              <w:rPr>
                <w:sz w:val="22"/>
                <w:szCs w:val="22"/>
              </w:rPr>
            </w:pPr>
            <w:r>
              <w:rPr>
                <w:rFonts w:cs="Calibri"/>
                <w:color w:val="000000"/>
                <w:sz w:val="22"/>
                <w:szCs w:val="22"/>
                <w:lang w:val="ga"/>
              </w:rPr>
              <w:t>1,369</w:t>
            </w:r>
          </w:p>
        </w:tc>
        <w:tc>
          <w:tcPr>
            <w:tcW w:w="1418" w:type="dxa"/>
          </w:tcPr>
          <w:p w14:paraId="7663F967" w14:textId="73AE83D5" w:rsidR="0016775B" w:rsidRPr="0016775B" w:rsidRDefault="0016775B" w:rsidP="0016775B">
            <w:pPr>
              <w:jc w:val="right"/>
              <w:rPr>
                <w:sz w:val="22"/>
                <w:szCs w:val="22"/>
              </w:rPr>
            </w:pPr>
            <w:r>
              <w:rPr>
                <w:rFonts w:cs="Calibri"/>
                <w:color w:val="000000"/>
                <w:sz w:val="22"/>
                <w:szCs w:val="22"/>
                <w:lang w:val="ga"/>
              </w:rPr>
              <w:t>42</w:t>
            </w:r>
          </w:p>
        </w:tc>
        <w:tc>
          <w:tcPr>
            <w:tcW w:w="1559" w:type="dxa"/>
          </w:tcPr>
          <w:p w14:paraId="7463D58F" w14:textId="0B7FF1FC" w:rsidR="0016775B" w:rsidRPr="0016775B" w:rsidRDefault="0016775B" w:rsidP="0016775B">
            <w:pPr>
              <w:jc w:val="right"/>
              <w:rPr>
                <w:sz w:val="22"/>
                <w:szCs w:val="22"/>
              </w:rPr>
            </w:pPr>
            <w:r>
              <w:rPr>
                <w:rFonts w:cs="Calibri"/>
                <w:color w:val="000000"/>
                <w:sz w:val="22"/>
                <w:szCs w:val="22"/>
                <w:lang w:val="ga"/>
              </w:rPr>
              <w:t>3.1%</w:t>
            </w:r>
          </w:p>
        </w:tc>
        <w:tc>
          <w:tcPr>
            <w:tcW w:w="1559" w:type="dxa"/>
          </w:tcPr>
          <w:p w14:paraId="3504B394" w14:textId="58CA70E8" w:rsidR="0016775B" w:rsidRPr="0016775B" w:rsidRDefault="0016775B" w:rsidP="0016775B">
            <w:pPr>
              <w:jc w:val="right"/>
              <w:rPr>
                <w:sz w:val="22"/>
                <w:szCs w:val="22"/>
              </w:rPr>
            </w:pPr>
            <w:r>
              <w:rPr>
                <w:rFonts w:cs="Calibri"/>
                <w:color w:val="000000"/>
                <w:sz w:val="22"/>
                <w:szCs w:val="22"/>
                <w:lang w:val="ga"/>
              </w:rPr>
              <w:t>1257</w:t>
            </w:r>
          </w:p>
        </w:tc>
        <w:tc>
          <w:tcPr>
            <w:tcW w:w="1701" w:type="dxa"/>
          </w:tcPr>
          <w:p w14:paraId="106A0C83" w14:textId="46A05315" w:rsidR="0016775B" w:rsidRPr="0016775B" w:rsidRDefault="0016775B" w:rsidP="0016775B">
            <w:pPr>
              <w:jc w:val="right"/>
              <w:rPr>
                <w:sz w:val="22"/>
                <w:szCs w:val="22"/>
              </w:rPr>
            </w:pPr>
            <w:r>
              <w:rPr>
                <w:rFonts w:cs="Calibri"/>
                <w:color w:val="000000"/>
                <w:sz w:val="22"/>
                <w:szCs w:val="22"/>
                <w:lang w:val="ga"/>
              </w:rPr>
              <w:t>38</w:t>
            </w:r>
          </w:p>
        </w:tc>
        <w:tc>
          <w:tcPr>
            <w:tcW w:w="1560" w:type="dxa"/>
          </w:tcPr>
          <w:p w14:paraId="4F6EA59A" w14:textId="093A3B3B" w:rsidR="0016775B" w:rsidRPr="0016775B" w:rsidRDefault="0016775B" w:rsidP="0016775B">
            <w:pPr>
              <w:jc w:val="right"/>
              <w:rPr>
                <w:sz w:val="22"/>
                <w:szCs w:val="22"/>
              </w:rPr>
            </w:pPr>
            <w:r>
              <w:rPr>
                <w:rFonts w:cs="Calibri"/>
                <w:color w:val="000000"/>
                <w:sz w:val="22"/>
                <w:szCs w:val="22"/>
                <w:lang w:val="ga"/>
              </w:rPr>
              <w:t>3.0%</w:t>
            </w:r>
          </w:p>
        </w:tc>
      </w:tr>
      <w:tr w:rsidR="0016775B" w:rsidRPr="0016775B" w14:paraId="3BD0F039" w14:textId="77777777" w:rsidTr="005B3D04">
        <w:trPr>
          <w:trHeight w:val="162"/>
        </w:trPr>
        <w:tc>
          <w:tcPr>
            <w:tcW w:w="1990" w:type="dxa"/>
            <w:vAlign w:val="bottom"/>
          </w:tcPr>
          <w:p w14:paraId="7510D6F2" w14:textId="77777777" w:rsidR="0016775B" w:rsidRPr="0016775B" w:rsidRDefault="0016775B" w:rsidP="0016775B">
            <w:pPr>
              <w:rPr>
                <w:sz w:val="22"/>
                <w:szCs w:val="22"/>
              </w:rPr>
            </w:pPr>
            <w:r>
              <w:rPr>
                <w:rFonts w:cs="Calibri"/>
                <w:color w:val="000000"/>
                <w:sz w:val="22"/>
                <w:szCs w:val="22"/>
                <w:lang w:val="ga"/>
              </w:rPr>
              <w:t>An Coimisiún um Rialáil Cumarsáide (ComReg)</w:t>
            </w:r>
          </w:p>
        </w:tc>
        <w:tc>
          <w:tcPr>
            <w:tcW w:w="1559" w:type="dxa"/>
          </w:tcPr>
          <w:p w14:paraId="221309E9" w14:textId="46A1BE03" w:rsidR="0016775B" w:rsidRPr="0016775B" w:rsidRDefault="0016775B" w:rsidP="0016775B">
            <w:pPr>
              <w:jc w:val="right"/>
              <w:rPr>
                <w:sz w:val="22"/>
                <w:szCs w:val="22"/>
              </w:rPr>
            </w:pPr>
            <w:r>
              <w:rPr>
                <w:rFonts w:cs="Calibri"/>
                <w:color w:val="000000"/>
                <w:sz w:val="22"/>
                <w:szCs w:val="22"/>
                <w:lang w:val="ga"/>
              </w:rPr>
              <w:t>154</w:t>
            </w:r>
          </w:p>
        </w:tc>
        <w:tc>
          <w:tcPr>
            <w:tcW w:w="1418" w:type="dxa"/>
          </w:tcPr>
          <w:p w14:paraId="4F6FFD32" w14:textId="0B68856B" w:rsidR="0016775B" w:rsidRPr="0016775B" w:rsidRDefault="0016775B" w:rsidP="0016775B">
            <w:pPr>
              <w:jc w:val="right"/>
              <w:rPr>
                <w:sz w:val="22"/>
                <w:szCs w:val="22"/>
              </w:rPr>
            </w:pPr>
            <w:r>
              <w:rPr>
                <w:rFonts w:cs="Calibri"/>
                <w:color w:val="000000"/>
                <w:sz w:val="22"/>
                <w:szCs w:val="22"/>
                <w:lang w:val="ga"/>
              </w:rPr>
              <w:t>9</w:t>
            </w:r>
          </w:p>
        </w:tc>
        <w:tc>
          <w:tcPr>
            <w:tcW w:w="1559" w:type="dxa"/>
          </w:tcPr>
          <w:p w14:paraId="165140EE" w14:textId="119D0D8D" w:rsidR="0016775B" w:rsidRPr="0016775B" w:rsidRDefault="0016775B" w:rsidP="0016775B">
            <w:pPr>
              <w:jc w:val="right"/>
              <w:rPr>
                <w:sz w:val="22"/>
                <w:szCs w:val="22"/>
              </w:rPr>
            </w:pPr>
            <w:r>
              <w:rPr>
                <w:rFonts w:cs="Calibri"/>
                <w:color w:val="000000"/>
                <w:sz w:val="22"/>
                <w:szCs w:val="22"/>
                <w:lang w:val="ga"/>
              </w:rPr>
              <w:t>5.8%</w:t>
            </w:r>
          </w:p>
        </w:tc>
        <w:tc>
          <w:tcPr>
            <w:tcW w:w="1559" w:type="dxa"/>
          </w:tcPr>
          <w:p w14:paraId="4634B52A" w14:textId="695A6785" w:rsidR="0016775B" w:rsidRPr="0016775B" w:rsidRDefault="0016775B" w:rsidP="0016775B">
            <w:pPr>
              <w:pStyle w:val="TableHead"/>
              <w:jc w:val="right"/>
              <w:rPr>
                <w:b w:val="0"/>
                <w:bCs/>
                <w:sz w:val="22"/>
                <w:szCs w:val="22"/>
              </w:rPr>
            </w:pPr>
            <w:r>
              <w:rPr>
                <w:rFonts w:cs="Calibri"/>
                <w:b w:val="0"/>
                <w:color w:val="000000"/>
                <w:sz w:val="22"/>
                <w:szCs w:val="22"/>
                <w:lang w:val="ga"/>
              </w:rPr>
              <w:t>156</w:t>
            </w:r>
          </w:p>
        </w:tc>
        <w:tc>
          <w:tcPr>
            <w:tcW w:w="1701" w:type="dxa"/>
          </w:tcPr>
          <w:p w14:paraId="6F16E9C4" w14:textId="0FA015D6" w:rsidR="0016775B" w:rsidRPr="0016775B" w:rsidRDefault="0016775B" w:rsidP="0016775B">
            <w:pPr>
              <w:pStyle w:val="TableHead"/>
              <w:jc w:val="right"/>
              <w:rPr>
                <w:b w:val="0"/>
                <w:bCs/>
                <w:sz w:val="22"/>
                <w:szCs w:val="22"/>
              </w:rPr>
            </w:pPr>
            <w:r>
              <w:rPr>
                <w:rFonts w:cs="Calibri"/>
                <w:b w:val="0"/>
                <w:color w:val="000000"/>
                <w:sz w:val="22"/>
                <w:szCs w:val="22"/>
                <w:lang w:val="ga"/>
              </w:rPr>
              <w:t>12</w:t>
            </w:r>
          </w:p>
        </w:tc>
        <w:tc>
          <w:tcPr>
            <w:tcW w:w="1560" w:type="dxa"/>
          </w:tcPr>
          <w:p w14:paraId="5D12F86A" w14:textId="19FEF950" w:rsidR="0016775B" w:rsidRPr="0016775B" w:rsidRDefault="0016775B" w:rsidP="0016775B">
            <w:pPr>
              <w:pStyle w:val="TableHead"/>
              <w:jc w:val="right"/>
              <w:rPr>
                <w:b w:val="0"/>
                <w:bCs/>
                <w:sz w:val="22"/>
                <w:szCs w:val="22"/>
              </w:rPr>
            </w:pPr>
            <w:r>
              <w:rPr>
                <w:rFonts w:cs="Calibri"/>
                <w:b w:val="0"/>
                <w:color w:val="000000"/>
                <w:sz w:val="22"/>
                <w:szCs w:val="22"/>
                <w:lang w:val="ga"/>
              </w:rPr>
              <w:t>7.7%</w:t>
            </w:r>
          </w:p>
        </w:tc>
      </w:tr>
      <w:tr w:rsidR="0016775B" w:rsidRPr="0016775B" w14:paraId="407A5531" w14:textId="77777777" w:rsidTr="005B3D04">
        <w:trPr>
          <w:trHeight w:val="162"/>
        </w:trPr>
        <w:tc>
          <w:tcPr>
            <w:tcW w:w="1990" w:type="dxa"/>
            <w:vAlign w:val="bottom"/>
          </w:tcPr>
          <w:p w14:paraId="599C7BE5" w14:textId="77777777" w:rsidR="0016775B" w:rsidRPr="0016775B" w:rsidRDefault="0016775B" w:rsidP="0016775B">
            <w:pPr>
              <w:rPr>
                <w:sz w:val="22"/>
                <w:szCs w:val="22"/>
              </w:rPr>
            </w:pPr>
            <w:r>
              <w:rPr>
                <w:rFonts w:cs="Calibri"/>
                <w:color w:val="000000"/>
                <w:sz w:val="22"/>
                <w:szCs w:val="22"/>
                <w:lang w:val="ga"/>
              </w:rPr>
              <w:t>An Coimisiún um Rialáil Fóntais</w:t>
            </w:r>
          </w:p>
        </w:tc>
        <w:tc>
          <w:tcPr>
            <w:tcW w:w="1559" w:type="dxa"/>
          </w:tcPr>
          <w:p w14:paraId="6349DB14" w14:textId="782AA2AB" w:rsidR="0016775B" w:rsidRPr="0016775B" w:rsidRDefault="0016775B" w:rsidP="0016775B">
            <w:pPr>
              <w:jc w:val="right"/>
              <w:rPr>
                <w:sz w:val="22"/>
                <w:szCs w:val="22"/>
              </w:rPr>
            </w:pPr>
            <w:r>
              <w:rPr>
                <w:rFonts w:cs="Calibri"/>
                <w:color w:val="000000"/>
                <w:sz w:val="22"/>
                <w:szCs w:val="22"/>
                <w:lang w:val="ga"/>
              </w:rPr>
              <w:t>111</w:t>
            </w:r>
          </w:p>
        </w:tc>
        <w:tc>
          <w:tcPr>
            <w:tcW w:w="1418" w:type="dxa"/>
          </w:tcPr>
          <w:p w14:paraId="236674C5" w14:textId="624B529F" w:rsidR="0016775B" w:rsidRPr="0016775B" w:rsidRDefault="0016775B" w:rsidP="0016775B">
            <w:pPr>
              <w:jc w:val="right"/>
              <w:rPr>
                <w:sz w:val="22"/>
                <w:szCs w:val="22"/>
              </w:rPr>
            </w:pPr>
            <w:r>
              <w:rPr>
                <w:rFonts w:cs="Calibri"/>
                <w:color w:val="000000"/>
                <w:sz w:val="22"/>
                <w:szCs w:val="22"/>
                <w:lang w:val="ga"/>
              </w:rPr>
              <w:t>9</w:t>
            </w:r>
          </w:p>
        </w:tc>
        <w:tc>
          <w:tcPr>
            <w:tcW w:w="1559" w:type="dxa"/>
          </w:tcPr>
          <w:p w14:paraId="2C9A6FA0" w14:textId="647B0AF2" w:rsidR="0016775B" w:rsidRPr="0016775B" w:rsidRDefault="0016775B" w:rsidP="0016775B">
            <w:pPr>
              <w:jc w:val="right"/>
              <w:rPr>
                <w:sz w:val="22"/>
                <w:szCs w:val="22"/>
              </w:rPr>
            </w:pPr>
            <w:r>
              <w:rPr>
                <w:rFonts w:cs="Calibri"/>
                <w:color w:val="000000"/>
                <w:sz w:val="22"/>
                <w:szCs w:val="22"/>
                <w:lang w:val="ga"/>
              </w:rPr>
              <w:t>8.1%</w:t>
            </w:r>
          </w:p>
        </w:tc>
        <w:tc>
          <w:tcPr>
            <w:tcW w:w="1559" w:type="dxa"/>
          </w:tcPr>
          <w:p w14:paraId="3BB92099" w14:textId="4C424117" w:rsidR="0016775B" w:rsidRPr="0016775B" w:rsidRDefault="0016775B" w:rsidP="0016775B">
            <w:pPr>
              <w:jc w:val="right"/>
              <w:rPr>
                <w:sz w:val="22"/>
                <w:szCs w:val="22"/>
              </w:rPr>
            </w:pPr>
            <w:r>
              <w:rPr>
                <w:rFonts w:cs="Calibri"/>
                <w:color w:val="000000"/>
                <w:sz w:val="22"/>
                <w:szCs w:val="22"/>
                <w:lang w:val="ga"/>
              </w:rPr>
              <w:t>119</w:t>
            </w:r>
          </w:p>
        </w:tc>
        <w:tc>
          <w:tcPr>
            <w:tcW w:w="1701" w:type="dxa"/>
          </w:tcPr>
          <w:p w14:paraId="48244E65" w14:textId="0B7277FB" w:rsidR="0016775B" w:rsidRPr="0016775B" w:rsidRDefault="0016775B" w:rsidP="0016775B">
            <w:pPr>
              <w:jc w:val="right"/>
              <w:rPr>
                <w:sz w:val="22"/>
                <w:szCs w:val="22"/>
              </w:rPr>
            </w:pPr>
            <w:r>
              <w:rPr>
                <w:rFonts w:cs="Calibri"/>
                <w:color w:val="000000"/>
                <w:sz w:val="22"/>
                <w:szCs w:val="22"/>
                <w:lang w:val="ga"/>
              </w:rPr>
              <w:t>11</w:t>
            </w:r>
          </w:p>
        </w:tc>
        <w:tc>
          <w:tcPr>
            <w:tcW w:w="1560" w:type="dxa"/>
          </w:tcPr>
          <w:p w14:paraId="33E0571A" w14:textId="65AF3259" w:rsidR="0016775B" w:rsidRPr="0016775B" w:rsidRDefault="0016775B" w:rsidP="0016775B">
            <w:pPr>
              <w:jc w:val="right"/>
              <w:rPr>
                <w:sz w:val="22"/>
                <w:szCs w:val="22"/>
              </w:rPr>
            </w:pPr>
            <w:r>
              <w:rPr>
                <w:rFonts w:cs="Calibri"/>
                <w:color w:val="000000"/>
                <w:sz w:val="22"/>
                <w:szCs w:val="22"/>
                <w:lang w:val="ga"/>
              </w:rPr>
              <w:t>9.2%</w:t>
            </w:r>
          </w:p>
        </w:tc>
      </w:tr>
      <w:tr w:rsidR="0016775B" w:rsidRPr="0016775B" w14:paraId="7A985631" w14:textId="77777777" w:rsidTr="005B3D04">
        <w:trPr>
          <w:trHeight w:val="162"/>
        </w:trPr>
        <w:tc>
          <w:tcPr>
            <w:tcW w:w="1990" w:type="dxa"/>
            <w:vAlign w:val="bottom"/>
          </w:tcPr>
          <w:p w14:paraId="3022FCFD" w14:textId="77777777" w:rsidR="0016775B" w:rsidRPr="0016775B" w:rsidRDefault="0016775B" w:rsidP="0016775B">
            <w:pPr>
              <w:rPr>
                <w:sz w:val="22"/>
                <w:szCs w:val="22"/>
              </w:rPr>
            </w:pPr>
            <w:r>
              <w:rPr>
                <w:rFonts w:cs="Calibri"/>
                <w:color w:val="000000"/>
                <w:sz w:val="22"/>
                <w:szCs w:val="22"/>
                <w:lang w:val="ga"/>
              </w:rPr>
              <w:t>EirGrid cpt</w:t>
            </w:r>
          </w:p>
        </w:tc>
        <w:tc>
          <w:tcPr>
            <w:tcW w:w="1559" w:type="dxa"/>
          </w:tcPr>
          <w:p w14:paraId="495034A0" w14:textId="79A7C5A0" w:rsidR="0016775B" w:rsidRPr="0016775B" w:rsidRDefault="0016775B" w:rsidP="0016775B">
            <w:pPr>
              <w:jc w:val="right"/>
              <w:rPr>
                <w:sz w:val="22"/>
                <w:szCs w:val="22"/>
              </w:rPr>
            </w:pPr>
            <w:r>
              <w:rPr>
                <w:rFonts w:cs="Calibri"/>
                <w:color w:val="000000"/>
                <w:sz w:val="22"/>
                <w:szCs w:val="22"/>
                <w:lang w:val="ga"/>
              </w:rPr>
              <w:t>480</w:t>
            </w:r>
          </w:p>
        </w:tc>
        <w:tc>
          <w:tcPr>
            <w:tcW w:w="1418" w:type="dxa"/>
          </w:tcPr>
          <w:p w14:paraId="24FFB93D" w14:textId="4D878D06" w:rsidR="0016775B" w:rsidRPr="0016775B" w:rsidRDefault="0016775B" w:rsidP="0016775B">
            <w:pPr>
              <w:jc w:val="right"/>
              <w:rPr>
                <w:sz w:val="22"/>
                <w:szCs w:val="22"/>
              </w:rPr>
            </w:pPr>
            <w:r>
              <w:rPr>
                <w:rFonts w:cs="Calibri"/>
                <w:color w:val="000000"/>
                <w:sz w:val="22"/>
                <w:szCs w:val="22"/>
                <w:lang w:val="ga"/>
              </w:rPr>
              <w:t>74</w:t>
            </w:r>
          </w:p>
        </w:tc>
        <w:tc>
          <w:tcPr>
            <w:tcW w:w="1559" w:type="dxa"/>
          </w:tcPr>
          <w:p w14:paraId="01722E35" w14:textId="222982ED" w:rsidR="0016775B" w:rsidRPr="0016775B" w:rsidRDefault="0016775B" w:rsidP="0016775B">
            <w:pPr>
              <w:jc w:val="right"/>
              <w:rPr>
                <w:sz w:val="22"/>
                <w:szCs w:val="22"/>
              </w:rPr>
            </w:pPr>
            <w:r>
              <w:rPr>
                <w:rFonts w:cs="Calibri"/>
                <w:color w:val="000000"/>
                <w:sz w:val="22"/>
                <w:szCs w:val="22"/>
                <w:lang w:val="ga"/>
              </w:rPr>
              <w:t>15.4%</w:t>
            </w:r>
          </w:p>
        </w:tc>
        <w:tc>
          <w:tcPr>
            <w:tcW w:w="1559" w:type="dxa"/>
          </w:tcPr>
          <w:p w14:paraId="146360F4" w14:textId="24C7FF27" w:rsidR="0016775B" w:rsidRPr="0016775B" w:rsidRDefault="0016775B" w:rsidP="0016775B">
            <w:pPr>
              <w:jc w:val="right"/>
              <w:rPr>
                <w:sz w:val="22"/>
                <w:szCs w:val="22"/>
              </w:rPr>
            </w:pPr>
            <w:r>
              <w:rPr>
                <w:rFonts w:cs="Calibri"/>
                <w:color w:val="000000"/>
                <w:sz w:val="22"/>
                <w:szCs w:val="22"/>
                <w:lang w:val="ga"/>
              </w:rPr>
              <w:t>491</w:t>
            </w:r>
          </w:p>
        </w:tc>
        <w:tc>
          <w:tcPr>
            <w:tcW w:w="1701" w:type="dxa"/>
          </w:tcPr>
          <w:p w14:paraId="438B1EDF" w14:textId="4171855E" w:rsidR="0016775B" w:rsidRPr="0016775B" w:rsidRDefault="0016775B" w:rsidP="0016775B">
            <w:pPr>
              <w:jc w:val="right"/>
              <w:rPr>
                <w:sz w:val="22"/>
                <w:szCs w:val="22"/>
              </w:rPr>
            </w:pPr>
            <w:r>
              <w:rPr>
                <w:rFonts w:cs="Calibri"/>
                <w:color w:val="000000"/>
                <w:sz w:val="22"/>
                <w:szCs w:val="22"/>
                <w:lang w:val="ga"/>
              </w:rPr>
              <w:t>37</w:t>
            </w:r>
          </w:p>
        </w:tc>
        <w:tc>
          <w:tcPr>
            <w:tcW w:w="1560" w:type="dxa"/>
          </w:tcPr>
          <w:p w14:paraId="4B2C3920" w14:textId="0D2B7AB1" w:rsidR="0016775B" w:rsidRPr="0016775B" w:rsidRDefault="0016775B" w:rsidP="0016775B">
            <w:pPr>
              <w:jc w:val="right"/>
              <w:rPr>
                <w:sz w:val="22"/>
                <w:szCs w:val="22"/>
              </w:rPr>
            </w:pPr>
            <w:r>
              <w:rPr>
                <w:rFonts w:cs="Calibri"/>
                <w:color w:val="000000"/>
                <w:sz w:val="22"/>
                <w:szCs w:val="22"/>
                <w:lang w:val="ga"/>
              </w:rPr>
              <w:t>7.5%</w:t>
            </w:r>
          </w:p>
        </w:tc>
      </w:tr>
      <w:tr w:rsidR="0016775B" w:rsidRPr="0016775B" w14:paraId="7EF4A6F0" w14:textId="77777777" w:rsidTr="005B3D04">
        <w:trPr>
          <w:trHeight w:val="162"/>
        </w:trPr>
        <w:tc>
          <w:tcPr>
            <w:tcW w:w="1990" w:type="dxa"/>
            <w:vAlign w:val="bottom"/>
          </w:tcPr>
          <w:p w14:paraId="412F8046" w14:textId="77777777" w:rsidR="0016775B" w:rsidRPr="0016775B" w:rsidRDefault="0016775B" w:rsidP="0016775B">
            <w:pPr>
              <w:rPr>
                <w:sz w:val="22"/>
                <w:szCs w:val="22"/>
              </w:rPr>
            </w:pPr>
            <w:r>
              <w:rPr>
                <w:rFonts w:cs="Calibri"/>
                <w:color w:val="000000"/>
                <w:sz w:val="22"/>
                <w:szCs w:val="22"/>
                <w:lang w:val="ga"/>
              </w:rPr>
              <w:t>Bord Soláthair an Leictreachais (BSL)</w:t>
            </w:r>
          </w:p>
        </w:tc>
        <w:tc>
          <w:tcPr>
            <w:tcW w:w="1559" w:type="dxa"/>
          </w:tcPr>
          <w:p w14:paraId="5658DB9D" w14:textId="1BF42876" w:rsidR="0016775B" w:rsidRPr="0016775B" w:rsidRDefault="0016775B" w:rsidP="0016775B">
            <w:pPr>
              <w:jc w:val="right"/>
              <w:rPr>
                <w:sz w:val="22"/>
                <w:szCs w:val="22"/>
              </w:rPr>
            </w:pPr>
            <w:r>
              <w:rPr>
                <w:rFonts w:cs="Calibri"/>
                <w:color w:val="000000"/>
                <w:sz w:val="22"/>
                <w:szCs w:val="22"/>
                <w:lang w:val="ga"/>
              </w:rPr>
              <w:t>5,919</w:t>
            </w:r>
          </w:p>
        </w:tc>
        <w:tc>
          <w:tcPr>
            <w:tcW w:w="1418" w:type="dxa"/>
          </w:tcPr>
          <w:p w14:paraId="29EDFC3D" w14:textId="062709E9" w:rsidR="0016775B" w:rsidRPr="0016775B" w:rsidRDefault="0016775B" w:rsidP="0016775B">
            <w:pPr>
              <w:jc w:val="right"/>
              <w:rPr>
                <w:sz w:val="22"/>
                <w:szCs w:val="22"/>
              </w:rPr>
            </w:pPr>
            <w:r>
              <w:rPr>
                <w:rFonts w:cs="Calibri"/>
                <w:color w:val="000000"/>
                <w:sz w:val="22"/>
                <w:szCs w:val="22"/>
                <w:lang w:val="ga"/>
              </w:rPr>
              <w:t>226</w:t>
            </w:r>
          </w:p>
        </w:tc>
        <w:tc>
          <w:tcPr>
            <w:tcW w:w="1559" w:type="dxa"/>
          </w:tcPr>
          <w:p w14:paraId="29F280B6" w14:textId="67E0F32A" w:rsidR="0016775B" w:rsidRPr="0016775B" w:rsidRDefault="0016775B" w:rsidP="0016775B">
            <w:pPr>
              <w:jc w:val="right"/>
              <w:rPr>
                <w:sz w:val="22"/>
                <w:szCs w:val="22"/>
              </w:rPr>
            </w:pPr>
            <w:r>
              <w:rPr>
                <w:rFonts w:cs="Calibri"/>
                <w:color w:val="000000"/>
                <w:sz w:val="22"/>
                <w:szCs w:val="22"/>
                <w:lang w:val="ga"/>
              </w:rPr>
              <w:t>3.8%</w:t>
            </w:r>
          </w:p>
        </w:tc>
        <w:tc>
          <w:tcPr>
            <w:tcW w:w="1559" w:type="dxa"/>
          </w:tcPr>
          <w:p w14:paraId="574083B5" w14:textId="27942EF2" w:rsidR="0016775B" w:rsidRPr="0016775B" w:rsidRDefault="0016775B" w:rsidP="0016775B">
            <w:pPr>
              <w:jc w:val="right"/>
              <w:rPr>
                <w:sz w:val="22"/>
                <w:szCs w:val="22"/>
              </w:rPr>
            </w:pPr>
            <w:r>
              <w:rPr>
                <w:rFonts w:cs="Calibri"/>
                <w:color w:val="000000"/>
                <w:sz w:val="22"/>
                <w:szCs w:val="22"/>
                <w:lang w:val="ga"/>
              </w:rPr>
              <w:t>6039</w:t>
            </w:r>
          </w:p>
        </w:tc>
        <w:tc>
          <w:tcPr>
            <w:tcW w:w="1701" w:type="dxa"/>
          </w:tcPr>
          <w:p w14:paraId="61099C6E" w14:textId="3B162EEE" w:rsidR="0016775B" w:rsidRPr="0016775B" w:rsidRDefault="0016775B" w:rsidP="0016775B">
            <w:pPr>
              <w:jc w:val="right"/>
              <w:rPr>
                <w:sz w:val="22"/>
                <w:szCs w:val="22"/>
              </w:rPr>
            </w:pPr>
            <w:r>
              <w:rPr>
                <w:rFonts w:cs="Calibri"/>
                <w:color w:val="000000"/>
                <w:sz w:val="22"/>
                <w:szCs w:val="22"/>
                <w:lang w:val="ga"/>
              </w:rPr>
              <w:t>205</w:t>
            </w:r>
          </w:p>
        </w:tc>
        <w:tc>
          <w:tcPr>
            <w:tcW w:w="1560" w:type="dxa"/>
          </w:tcPr>
          <w:p w14:paraId="48C31475" w14:textId="580EA387" w:rsidR="0016775B" w:rsidRPr="0016775B" w:rsidRDefault="0016775B" w:rsidP="0016775B">
            <w:pPr>
              <w:jc w:val="right"/>
              <w:rPr>
                <w:sz w:val="22"/>
                <w:szCs w:val="22"/>
              </w:rPr>
            </w:pPr>
            <w:r>
              <w:rPr>
                <w:rFonts w:cs="Calibri"/>
                <w:color w:val="000000"/>
                <w:sz w:val="22"/>
                <w:szCs w:val="22"/>
                <w:lang w:val="ga"/>
              </w:rPr>
              <w:t>3.4%</w:t>
            </w:r>
          </w:p>
        </w:tc>
      </w:tr>
      <w:tr w:rsidR="0016775B" w:rsidRPr="0016775B" w14:paraId="67EA5075" w14:textId="77777777" w:rsidTr="005B3D04">
        <w:trPr>
          <w:trHeight w:val="162"/>
        </w:trPr>
        <w:tc>
          <w:tcPr>
            <w:tcW w:w="1990" w:type="dxa"/>
            <w:vAlign w:val="bottom"/>
          </w:tcPr>
          <w:p w14:paraId="0AB54E9C" w14:textId="77777777" w:rsidR="0016775B" w:rsidRPr="0016775B" w:rsidRDefault="0016775B" w:rsidP="0016775B">
            <w:pPr>
              <w:rPr>
                <w:sz w:val="22"/>
                <w:szCs w:val="22"/>
              </w:rPr>
            </w:pPr>
            <w:r>
              <w:rPr>
                <w:rFonts w:cs="Calibri"/>
                <w:color w:val="000000"/>
                <w:sz w:val="22"/>
                <w:szCs w:val="22"/>
                <w:lang w:val="ga"/>
              </w:rPr>
              <w:t>An Ghníomhaireacht um Chaomhnú Comhshaoil</w:t>
            </w:r>
          </w:p>
        </w:tc>
        <w:tc>
          <w:tcPr>
            <w:tcW w:w="1559" w:type="dxa"/>
          </w:tcPr>
          <w:p w14:paraId="68956F3E" w14:textId="3BAF1871" w:rsidR="0016775B" w:rsidRPr="0016775B" w:rsidRDefault="0016775B" w:rsidP="0016775B">
            <w:pPr>
              <w:jc w:val="right"/>
              <w:rPr>
                <w:sz w:val="22"/>
                <w:szCs w:val="22"/>
              </w:rPr>
            </w:pPr>
            <w:r>
              <w:rPr>
                <w:rFonts w:cs="Calibri"/>
                <w:color w:val="000000"/>
                <w:sz w:val="22"/>
                <w:szCs w:val="22"/>
                <w:lang w:val="ga"/>
              </w:rPr>
              <w:t>448</w:t>
            </w:r>
          </w:p>
        </w:tc>
        <w:tc>
          <w:tcPr>
            <w:tcW w:w="1418" w:type="dxa"/>
          </w:tcPr>
          <w:p w14:paraId="47D97CAF" w14:textId="68898C04" w:rsidR="0016775B" w:rsidRPr="0016775B" w:rsidRDefault="0016775B" w:rsidP="0016775B">
            <w:pPr>
              <w:jc w:val="right"/>
              <w:rPr>
                <w:sz w:val="22"/>
                <w:szCs w:val="22"/>
              </w:rPr>
            </w:pPr>
            <w:r>
              <w:rPr>
                <w:rFonts w:cs="Calibri"/>
                <w:color w:val="000000"/>
                <w:sz w:val="22"/>
                <w:szCs w:val="22"/>
                <w:lang w:val="ga"/>
              </w:rPr>
              <w:t>26</w:t>
            </w:r>
          </w:p>
        </w:tc>
        <w:tc>
          <w:tcPr>
            <w:tcW w:w="1559" w:type="dxa"/>
          </w:tcPr>
          <w:p w14:paraId="7D911345" w14:textId="077547BA" w:rsidR="0016775B" w:rsidRPr="0016775B" w:rsidRDefault="0016775B" w:rsidP="0016775B">
            <w:pPr>
              <w:jc w:val="right"/>
              <w:rPr>
                <w:sz w:val="22"/>
                <w:szCs w:val="22"/>
              </w:rPr>
            </w:pPr>
            <w:r>
              <w:rPr>
                <w:rFonts w:cs="Calibri"/>
                <w:color w:val="000000"/>
                <w:sz w:val="22"/>
                <w:szCs w:val="22"/>
                <w:lang w:val="ga"/>
              </w:rPr>
              <w:t>5.8%</w:t>
            </w:r>
          </w:p>
        </w:tc>
        <w:tc>
          <w:tcPr>
            <w:tcW w:w="1559" w:type="dxa"/>
          </w:tcPr>
          <w:p w14:paraId="419D4C21" w14:textId="7AD9C118" w:rsidR="0016775B" w:rsidRPr="0016775B" w:rsidRDefault="0016775B" w:rsidP="0016775B">
            <w:pPr>
              <w:jc w:val="right"/>
              <w:rPr>
                <w:sz w:val="22"/>
                <w:szCs w:val="22"/>
              </w:rPr>
            </w:pPr>
            <w:r>
              <w:rPr>
                <w:rFonts w:cs="Calibri"/>
                <w:color w:val="000000"/>
                <w:sz w:val="22"/>
                <w:szCs w:val="22"/>
                <w:lang w:val="ga"/>
              </w:rPr>
              <w:t>452</w:t>
            </w:r>
          </w:p>
        </w:tc>
        <w:tc>
          <w:tcPr>
            <w:tcW w:w="1701" w:type="dxa"/>
          </w:tcPr>
          <w:p w14:paraId="4A7E76D0" w14:textId="5D133AC0" w:rsidR="0016775B" w:rsidRPr="0016775B" w:rsidRDefault="0016775B" w:rsidP="0016775B">
            <w:pPr>
              <w:jc w:val="right"/>
              <w:rPr>
                <w:sz w:val="22"/>
                <w:szCs w:val="22"/>
              </w:rPr>
            </w:pPr>
            <w:r>
              <w:rPr>
                <w:rFonts w:cs="Calibri"/>
                <w:color w:val="000000"/>
                <w:sz w:val="22"/>
                <w:szCs w:val="22"/>
                <w:lang w:val="ga"/>
              </w:rPr>
              <w:t>33</w:t>
            </w:r>
          </w:p>
        </w:tc>
        <w:tc>
          <w:tcPr>
            <w:tcW w:w="1560" w:type="dxa"/>
          </w:tcPr>
          <w:p w14:paraId="70A0E7D2" w14:textId="44A459F8" w:rsidR="0016775B" w:rsidRPr="0016775B" w:rsidRDefault="0016775B" w:rsidP="0016775B">
            <w:pPr>
              <w:jc w:val="right"/>
              <w:rPr>
                <w:sz w:val="22"/>
                <w:szCs w:val="22"/>
              </w:rPr>
            </w:pPr>
            <w:r>
              <w:rPr>
                <w:rFonts w:cs="Calibri"/>
                <w:color w:val="000000"/>
                <w:sz w:val="22"/>
                <w:szCs w:val="22"/>
                <w:lang w:val="ga"/>
              </w:rPr>
              <w:t>7.3%</w:t>
            </w:r>
          </w:p>
        </w:tc>
      </w:tr>
      <w:tr w:rsidR="0016775B" w:rsidRPr="0016775B" w14:paraId="04175E71" w14:textId="77777777" w:rsidTr="005B3D04">
        <w:trPr>
          <w:trHeight w:val="162"/>
        </w:trPr>
        <w:tc>
          <w:tcPr>
            <w:tcW w:w="1990" w:type="dxa"/>
            <w:vAlign w:val="bottom"/>
          </w:tcPr>
          <w:p w14:paraId="231D8B5F" w14:textId="77777777" w:rsidR="0016775B" w:rsidRPr="0016775B" w:rsidRDefault="0016775B" w:rsidP="0016775B">
            <w:pPr>
              <w:rPr>
                <w:sz w:val="22"/>
                <w:szCs w:val="22"/>
              </w:rPr>
            </w:pPr>
            <w:r>
              <w:rPr>
                <w:rFonts w:cs="Calibri"/>
                <w:color w:val="000000"/>
                <w:sz w:val="22"/>
                <w:szCs w:val="22"/>
                <w:lang w:val="ga"/>
              </w:rPr>
              <w:t>Iascach Intíre Éireann</w:t>
            </w:r>
          </w:p>
        </w:tc>
        <w:tc>
          <w:tcPr>
            <w:tcW w:w="1559" w:type="dxa"/>
          </w:tcPr>
          <w:p w14:paraId="3F788072" w14:textId="66185B4F" w:rsidR="0016775B" w:rsidRPr="0016775B" w:rsidRDefault="0016775B" w:rsidP="0016775B">
            <w:pPr>
              <w:jc w:val="right"/>
              <w:rPr>
                <w:sz w:val="22"/>
                <w:szCs w:val="22"/>
              </w:rPr>
            </w:pPr>
            <w:r>
              <w:rPr>
                <w:rFonts w:cs="Calibri"/>
                <w:color w:val="000000"/>
                <w:sz w:val="22"/>
                <w:szCs w:val="22"/>
                <w:lang w:val="ga"/>
              </w:rPr>
              <w:t>326</w:t>
            </w:r>
          </w:p>
        </w:tc>
        <w:tc>
          <w:tcPr>
            <w:tcW w:w="1418" w:type="dxa"/>
          </w:tcPr>
          <w:p w14:paraId="0CE47374" w14:textId="28650D57" w:rsidR="0016775B" w:rsidRPr="0016775B" w:rsidRDefault="0016775B" w:rsidP="0016775B">
            <w:pPr>
              <w:jc w:val="right"/>
              <w:rPr>
                <w:sz w:val="22"/>
                <w:szCs w:val="22"/>
              </w:rPr>
            </w:pPr>
            <w:r>
              <w:rPr>
                <w:rFonts w:cs="Calibri"/>
                <w:color w:val="000000"/>
                <w:sz w:val="22"/>
                <w:szCs w:val="22"/>
                <w:lang w:val="ga"/>
              </w:rPr>
              <w:t>14</w:t>
            </w:r>
          </w:p>
        </w:tc>
        <w:tc>
          <w:tcPr>
            <w:tcW w:w="1559" w:type="dxa"/>
          </w:tcPr>
          <w:p w14:paraId="332DDB0B" w14:textId="4B4DCAF4" w:rsidR="0016775B" w:rsidRPr="0016775B" w:rsidRDefault="0016775B" w:rsidP="0016775B">
            <w:pPr>
              <w:jc w:val="right"/>
              <w:rPr>
                <w:sz w:val="22"/>
                <w:szCs w:val="22"/>
              </w:rPr>
            </w:pPr>
            <w:r>
              <w:rPr>
                <w:rFonts w:cs="Calibri"/>
                <w:color w:val="000000"/>
                <w:sz w:val="22"/>
                <w:szCs w:val="22"/>
                <w:lang w:val="ga"/>
              </w:rPr>
              <w:t>4.3%</w:t>
            </w:r>
          </w:p>
        </w:tc>
        <w:tc>
          <w:tcPr>
            <w:tcW w:w="1559" w:type="dxa"/>
          </w:tcPr>
          <w:p w14:paraId="01390DCA" w14:textId="0ED1A4FE" w:rsidR="0016775B" w:rsidRPr="0016775B" w:rsidRDefault="0016775B" w:rsidP="0016775B">
            <w:pPr>
              <w:jc w:val="right"/>
              <w:rPr>
                <w:sz w:val="22"/>
                <w:szCs w:val="22"/>
              </w:rPr>
            </w:pPr>
            <w:r>
              <w:rPr>
                <w:rFonts w:cs="Calibri"/>
                <w:color w:val="000000"/>
                <w:sz w:val="22"/>
                <w:szCs w:val="22"/>
                <w:lang w:val="ga"/>
              </w:rPr>
              <w:t>316</w:t>
            </w:r>
          </w:p>
        </w:tc>
        <w:tc>
          <w:tcPr>
            <w:tcW w:w="1701" w:type="dxa"/>
          </w:tcPr>
          <w:p w14:paraId="04D2BB3B" w14:textId="45C1ACDE" w:rsidR="0016775B" w:rsidRPr="0016775B" w:rsidRDefault="0016775B" w:rsidP="0016775B">
            <w:pPr>
              <w:jc w:val="right"/>
              <w:rPr>
                <w:sz w:val="22"/>
                <w:szCs w:val="22"/>
              </w:rPr>
            </w:pPr>
            <w:r>
              <w:rPr>
                <w:rFonts w:cs="Calibri"/>
                <w:color w:val="000000"/>
                <w:sz w:val="22"/>
                <w:szCs w:val="22"/>
                <w:lang w:val="ga"/>
              </w:rPr>
              <w:t>28</w:t>
            </w:r>
          </w:p>
        </w:tc>
        <w:tc>
          <w:tcPr>
            <w:tcW w:w="1560" w:type="dxa"/>
          </w:tcPr>
          <w:p w14:paraId="2365666E" w14:textId="701C5675" w:rsidR="0016775B" w:rsidRPr="0016775B" w:rsidRDefault="0016775B" w:rsidP="0016775B">
            <w:pPr>
              <w:jc w:val="right"/>
              <w:rPr>
                <w:sz w:val="22"/>
                <w:szCs w:val="22"/>
              </w:rPr>
            </w:pPr>
            <w:r>
              <w:rPr>
                <w:rFonts w:cs="Calibri"/>
                <w:color w:val="000000"/>
                <w:sz w:val="22"/>
                <w:szCs w:val="22"/>
                <w:lang w:val="ga"/>
              </w:rPr>
              <w:t>8.9%</w:t>
            </w:r>
          </w:p>
        </w:tc>
      </w:tr>
      <w:tr w:rsidR="0016775B" w:rsidRPr="0016775B" w14:paraId="76A0D612" w14:textId="77777777" w:rsidTr="005B3D04">
        <w:trPr>
          <w:trHeight w:val="162"/>
        </w:trPr>
        <w:tc>
          <w:tcPr>
            <w:tcW w:w="1990" w:type="dxa"/>
            <w:vAlign w:val="bottom"/>
          </w:tcPr>
          <w:p w14:paraId="0F8ECC63" w14:textId="77777777" w:rsidR="0016775B" w:rsidRPr="0016775B" w:rsidRDefault="0016775B" w:rsidP="0016775B">
            <w:pPr>
              <w:rPr>
                <w:sz w:val="22"/>
                <w:szCs w:val="22"/>
              </w:rPr>
            </w:pPr>
            <w:r>
              <w:rPr>
                <w:rFonts w:cs="Calibri"/>
                <w:color w:val="000000"/>
                <w:sz w:val="22"/>
                <w:szCs w:val="22"/>
                <w:lang w:val="ga"/>
              </w:rPr>
              <w:t xml:space="preserve">Údarás Fuinnimh Inmharthana na hÉireann </w:t>
            </w:r>
          </w:p>
        </w:tc>
        <w:tc>
          <w:tcPr>
            <w:tcW w:w="1559" w:type="dxa"/>
          </w:tcPr>
          <w:p w14:paraId="7443BE0D" w14:textId="1849023C" w:rsidR="0016775B" w:rsidRPr="0016775B" w:rsidRDefault="0016775B" w:rsidP="0016775B">
            <w:pPr>
              <w:jc w:val="right"/>
              <w:rPr>
                <w:sz w:val="22"/>
                <w:szCs w:val="22"/>
              </w:rPr>
            </w:pPr>
            <w:r>
              <w:rPr>
                <w:rFonts w:cs="Calibri"/>
                <w:color w:val="000000"/>
                <w:sz w:val="22"/>
                <w:szCs w:val="22"/>
                <w:lang w:val="ga"/>
              </w:rPr>
              <w:t>123</w:t>
            </w:r>
          </w:p>
        </w:tc>
        <w:tc>
          <w:tcPr>
            <w:tcW w:w="1418" w:type="dxa"/>
          </w:tcPr>
          <w:p w14:paraId="65DEF73D" w14:textId="21B4B1F7" w:rsidR="0016775B" w:rsidRPr="0016775B" w:rsidRDefault="0016775B" w:rsidP="0016775B">
            <w:pPr>
              <w:jc w:val="right"/>
              <w:rPr>
                <w:sz w:val="22"/>
                <w:szCs w:val="22"/>
              </w:rPr>
            </w:pPr>
            <w:r>
              <w:rPr>
                <w:rFonts w:cs="Calibri"/>
                <w:color w:val="000000"/>
                <w:sz w:val="22"/>
                <w:szCs w:val="22"/>
                <w:lang w:val="ga"/>
              </w:rPr>
              <w:t>6</w:t>
            </w:r>
          </w:p>
        </w:tc>
        <w:tc>
          <w:tcPr>
            <w:tcW w:w="1559" w:type="dxa"/>
          </w:tcPr>
          <w:p w14:paraId="35BFC0CB" w14:textId="4EC25E69" w:rsidR="0016775B" w:rsidRPr="0016775B" w:rsidRDefault="0016775B" w:rsidP="0016775B">
            <w:pPr>
              <w:jc w:val="right"/>
              <w:rPr>
                <w:sz w:val="22"/>
                <w:szCs w:val="22"/>
              </w:rPr>
            </w:pPr>
            <w:r>
              <w:rPr>
                <w:rFonts w:cs="Calibri"/>
                <w:color w:val="000000"/>
                <w:sz w:val="22"/>
                <w:szCs w:val="22"/>
                <w:lang w:val="ga"/>
              </w:rPr>
              <w:t>4.9%</w:t>
            </w:r>
          </w:p>
        </w:tc>
        <w:tc>
          <w:tcPr>
            <w:tcW w:w="1559" w:type="dxa"/>
          </w:tcPr>
          <w:p w14:paraId="1853F93A" w14:textId="1BB34DB6" w:rsidR="0016775B" w:rsidRPr="0016775B" w:rsidRDefault="0016775B" w:rsidP="0016775B">
            <w:pPr>
              <w:jc w:val="right"/>
              <w:rPr>
                <w:sz w:val="22"/>
                <w:szCs w:val="22"/>
              </w:rPr>
            </w:pPr>
            <w:r>
              <w:rPr>
                <w:rFonts w:cs="Calibri"/>
                <w:color w:val="000000"/>
                <w:sz w:val="22"/>
                <w:szCs w:val="22"/>
                <w:lang w:val="ga"/>
              </w:rPr>
              <w:t>170</w:t>
            </w:r>
          </w:p>
        </w:tc>
        <w:tc>
          <w:tcPr>
            <w:tcW w:w="1701" w:type="dxa"/>
          </w:tcPr>
          <w:p w14:paraId="688CD280" w14:textId="3211A7AD" w:rsidR="0016775B" w:rsidRPr="0016775B" w:rsidRDefault="0016775B" w:rsidP="0016775B">
            <w:pPr>
              <w:jc w:val="right"/>
              <w:rPr>
                <w:sz w:val="22"/>
                <w:szCs w:val="22"/>
              </w:rPr>
            </w:pPr>
            <w:r>
              <w:rPr>
                <w:rFonts w:cs="Calibri"/>
                <w:color w:val="000000"/>
                <w:sz w:val="22"/>
                <w:szCs w:val="22"/>
                <w:lang w:val="ga"/>
              </w:rPr>
              <w:t>12</w:t>
            </w:r>
          </w:p>
        </w:tc>
        <w:tc>
          <w:tcPr>
            <w:tcW w:w="1560" w:type="dxa"/>
          </w:tcPr>
          <w:p w14:paraId="7D746DAF" w14:textId="0A2DBEC4" w:rsidR="0016775B" w:rsidRPr="0016775B" w:rsidRDefault="0016775B" w:rsidP="0016775B">
            <w:pPr>
              <w:jc w:val="right"/>
              <w:rPr>
                <w:sz w:val="22"/>
                <w:szCs w:val="22"/>
              </w:rPr>
            </w:pPr>
            <w:r>
              <w:rPr>
                <w:rFonts w:cs="Calibri"/>
                <w:color w:val="000000"/>
                <w:sz w:val="22"/>
                <w:szCs w:val="22"/>
                <w:lang w:val="ga"/>
              </w:rPr>
              <w:t>7.1%</w:t>
            </w:r>
          </w:p>
        </w:tc>
      </w:tr>
      <w:tr w:rsidR="0016775B" w:rsidRPr="0016775B" w14:paraId="115227E9" w14:textId="77777777" w:rsidTr="005B3D04">
        <w:trPr>
          <w:trHeight w:val="162"/>
        </w:trPr>
        <w:tc>
          <w:tcPr>
            <w:tcW w:w="1990" w:type="dxa"/>
            <w:vAlign w:val="bottom"/>
          </w:tcPr>
          <w:p w14:paraId="1341685A" w14:textId="77777777" w:rsidR="0016775B" w:rsidRPr="0016775B" w:rsidRDefault="0016775B" w:rsidP="0016775B">
            <w:pPr>
              <w:rPr>
                <w:sz w:val="22"/>
                <w:szCs w:val="22"/>
              </w:rPr>
            </w:pPr>
            <w:r>
              <w:rPr>
                <w:rFonts w:cs="Calibri"/>
                <w:color w:val="000000"/>
                <w:sz w:val="22"/>
                <w:szCs w:val="22"/>
                <w:lang w:val="ga"/>
              </w:rPr>
              <w:t>An Mol Digiteach</w:t>
            </w:r>
          </w:p>
        </w:tc>
        <w:tc>
          <w:tcPr>
            <w:tcW w:w="1559" w:type="dxa"/>
          </w:tcPr>
          <w:p w14:paraId="4F4D0941" w14:textId="2AF6A13F" w:rsidR="0016775B" w:rsidRPr="0016775B" w:rsidRDefault="0016775B" w:rsidP="0016775B">
            <w:pPr>
              <w:jc w:val="right"/>
              <w:rPr>
                <w:sz w:val="22"/>
                <w:szCs w:val="22"/>
              </w:rPr>
            </w:pPr>
            <w:r>
              <w:rPr>
                <w:rFonts w:cs="Calibri"/>
                <w:color w:val="000000"/>
                <w:sz w:val="22"/>
                <w:szCs w:val="22"/>
                <w:lang w:val="ga"/>
              </w:rPr>
              <w:t>14</w:t>
            </w:r>
          </w:p>
        </w:tc>
        <w:tc>
          <w:tcPr>
            <w:tcW w:w="1418" w:type="dxa"/>
          </w:tcPr>
          <w:p w14:paraId="5968E42B" w14:textId="2DF8FC30" w:rsidR="0016775B" w:rsidRPr="0016775B" w:rsidRDefault="0016775B" w:rsidP="0016775B">
            <w:pPr>
              <w:jc w:val="right"/>
              <w:rPr>
                <w:sz w:val="22"/>
                <w:szCs w:val="22"/>
              </w:rPr>
            </w:pPr>
            <w:r>
              <w:rPr>
                <w:rFonts w:cs="Calibri"/>
                <w:color w:val="000000"/>
                <w:sz w:val="22"/>
                <w:szCs w:val="22"/>
                <w:lang w:val="ga"/>
              </w:rPr>
              <w:t>0</w:t>
            </w:r>
          </w:p>
        </w:tc>
        <w:tc>
          <w:tcPr>
            <w:tcW w:w="1559" w:type="dxa"/>
          </w:tcPr>
          <w:p w14:paraId="2806327E" w14:textId="56CB1026" w:rsidR="0016775B" w:rsidRPr="0016775B" w:rsidRDefault="0016775B" w:rsidP="0016775B">
            <w:pPr>
              <w:jc w:val="right"/>
              <w:rPr>
                <w:sz w:val="22"/>
                <w:szCs w:val="22"/>
              </w:rPr>
            </w:pPr>
            <w:r>
              <w:rPr>
                <w:rFonts w:cs="Calibri"/>
                <w:color w:val="000000"/>
                <w:sz w:val="22"/>
                <w:szCs w:val="22"/>
                <w:lang w:val="ga"/>
              </w:rPr>
              <w:t>0.0%</w:t>
            </w:r>
          </w:p>
        </w:tc>
        <w:tc>
          <w:tcPr>
            <w:tcW w:w="1559" w:type="dxa"/>
          </w:tcPr>
          <w:p w14:paraId="10CBE2B2" w14:textId="48B903C0" w:rsidR="0016775B" w:rsidRPr="0016775B" w:rsidRDefault="0016775B" w:rsidP="0016775B">
            <w:pPr>
              <w:pStyle w:val="TableHead"/>
              <w:jc w:val="right"/>
              <w:rPr>
                <w:b w:val="0"/>
                <w:bCs/>
                <w:sz w:val="22"/>
                <w:szCs w:val="22"/>
              </w:rPr>
            </w:pPr>
            <w:r>
              <w:rPr>
                <w:rFonts w:cs="Calibri"/>
                <w:b w:val="0"/>
                <w:color w:val="000000"/>
                <w:sz w:val="22"/>
                <w:szCs w:val="22"/>
                <w:lang w:val="ga"/>
              </w:rPr>
              <w:t>12</w:t>
            </w:r>
          </w:p>
        </w:tc>
        <w:tc>
          <w:tcPr>
            <w:tcW w:w="1701" w:type="dxa"/>
          </w:tcPr>
          <w:p w14:paraId="78C46EBF" w14:textId="6A5A6852" w:rsidR="0016775B" w:rsidRPr="0016775B" w:rsidRDefault="0016775B" w:rsidP="0016775B">
            <w:pPr>
              <w:pStyle w:val="TableHead"/>
              <w:jc w:val="right"/>
              <w:rPr>
                <w:b w:val="0"/>
                <w:bCs/>
                <w:sz w:val="22"/>
                <w:szCs w:val="22"/>
              </w:rPr>
            </w:pPr>
            <w:r>
              <w:rPr>
                <w:rFonts w:cs="Calibri"/>
                <w:b w:val="0"/>
                <w:color w:val="000000"/>
                <w:sz w:val="22"/>
                <w:szCs w:val="22"/>
                <w:lang w:val="ga"/>
              </w:rPr>
              <w:t>0</w:t>
            </w:r>
          </w:p>
        </w:tc>
        <w:tc>
          <w:tcPr>
            <w:tcW w:w="1560" w:type="dxa"/>
          </w:tcPr>
          <w:p w14:paraId="22D99C69" w14:textId="17FC2D36" w:rsidR="0016775B" w:rsidRPr="0016775B" w:rsidRDefault="0016775B" w:rsidP="0016775B">
            <w:pPr>
              <w:pStyle w:val="TableHead"/>
              <w:jc w:val="right"/>
              <w:rPr>
                <w:b w:val="0"/>
                <w:bCs/>
                <w:sz w:val="22"/>
                <w:szCs w:val="22"/>
              </w:rPr>
            </w:pPr>
            <w:r>
              <w:rPr>
                <w:rFonts w:cs="Calibri"/>
                <w:b w:val="0"/>
                <w:color w:val="000000"/>
                <w:sz w:val="22"/>
                <w:szCs w:val="22"/>
                <w:lang w:val="ga"/>
              </w:rPr>
              <w:t>0.0%</w:t>
            </w:r>
          </w:p>
        </w:tc>
      </w:tr>
      <w:tr w:rsidR="0016775B" w:rsidRPr="0016775B" w14:paraId="3EEC203C" w14:textId="77777777" w:rsidTr="005B3D04">
        <w:trPr>
          <w:trHeight w:val="162"/>
        </w:trPr>
        <w:tc>
          <w:tcPr>
            <w:tcW w:w="1990" w:type="dxa"/>
            <w:vAlign w:val="bottom"/>
          </w:tcPr>
          <w:p w14:paraId="17D1DF3A" w14:textId="77777777" w:rsidR="0016775B" w:rsidRPr="0016775B" w:rsidRDefault="0016775B" w:rsidP="0016775B">
            <w:pPr>
              <w:spacing w:after="0"/>
              <w:rPr>
                <w:b/>
                <w:sz w:val="22"/>
                <w:szCs w:val="22"/>
              </w:rPr>
            </w:pPr>
            <w:r>
              <w:rPr>
                <w:b/>
                <w:bCs/>
                <w:sz w:val="22"/>
                <w:szCs w:val="22"/>
                <w:lang w:val="ga"/>
              </w:rPr>
              <w:t>Mór-Iomlán</w:t>
            </w:r>
          </w:p>
          <w:p w14:paraId="696D75C8" w14:textId="77777777" w:rsidR="0016775B" w:rsidRPr="0016775B" w:rsidRDefault="0016775B" w:rsidP="0016775B">
            <w:pPr>
              <w:spacing w:after="0"/>
              <w:rPr>
                <w:sz w:val="22"/>
                <w:szCs w:val="22"/>
              </w:rPr>
            </w:pPr>
          </w:p>
        </w:tc>
        <w:tc>
          <w:tcPr>
            <w:tcW w:w="1559" w:type="dxa"/>
          </w:tcPr>
          <w:p w14:paraId="47376768" w14:textId="77777777" w:rsidR="0016775B" w:rsidRPr="0016775B" w:rsidRDefault="0016775B" w:rsidP="0016775B">
            <w:pPr>
              <w:spacing w:after="0"/>
              <w:jc w:val="right"/>
              <w:rPr>
                <w:rFonts w:cs="Calibri"/>
                <w:b/>
                <w:bCs/>
                <w:color w:val="000000"/>
                <w:sz w:val="22"/>
                <w:szCs w:val="22"/>
              </w:rPr>
            </w:pPr>
            <w:r>
              <w:rPr>
                <w:rFonts w:cs="Calibri"/>
                <w:b/>
                <w:bCs/>
                <w:color w:val="000000"/>
                <w:sz w:val="22"/>
                <w:szCs w:val="22"/>
                <w:lang w:val="ga"/>
              </w:rPr>
              <w:t>18,755</w:t>
            </w:r>
          </w:p>
          <w:p w14:paraId="37E3CD06" w14:textId="77777777" w:rsidR="0016775B" w:rsidRPr="0016775B" w:rsidRDefault="0016775B" w:rsidP="0016775B">
            <w:pPr>
              <w:pStyle w:val="TableHead"/>
              <w:jc w:val="right"/>
              <w:rPr>
                <w:sz w:val="22"/>
                <w:szCs w:val="22"/>
              </w:rPr>
            </w:pPr>
          </w:p>
        </w:tc>
        <w:tc>
          <w:tcPr>
            <w:tcW w:w="1418" w:type="dxa"/>
          </w:tcPr>
          <w:p w14:paraId="3386E64F" w14:textId="77777777" w:rsidR="0016775B" w:rsidRPr="0016775B" w:rsidRDefault="0016775B" w:rsidP="0016775B">
            <w:pPr>
              <w:spacing w:after="0"/>
              <w:jc w:val="right"/>
              <w:rPr>
                <w:rFonts w:cs="Calibri"/>
                <w:b/>
                <w:bCs/>
                <w:color w:val="000000"/>
                <w:sz w:val="22"/>
                <w:szCs w:val="22"/>
              </w:rPr>
            </w:pPr>
            <w:r>
              <w:rPr>
                <w:rFonts w:cs="Calibri"/>
                <w:b/>
                <w:bCs/>
                <w:color w:val="000000"/>
                <w:sz w:val="22"/>
                <w:szCs w:val="22"/>
                <w:lang w:val="ga"/>
              </w:rPr>
              <w:t>837</w:t>
            </w:r>
          </w:p>
          <w:p w14:paraId="7A2F041A" w14:textId="77777777" w:rsidR="0016775B" w:rsidRPr="0016775B" w:rsidRDefault="0016775B" w:rsidP="0016775B">
            <w:pPr>
              <w:pStyle w:val="TableHead"/>
              <w:jc w:val="right"/>
              <w:rPr>
                <w:sz w:val="22"/>
                <w:szCs w:val="22"/>
              </w:rPr>
            </w:pPr>
          </w:p>
        </w:tc>
        <w:tc>
          <w:tcPr>
            <w:tcW w:w="1559" w:type="dxa"/>
          </w:tcPr>
          <w:p w14:paraId="78BD49D6" w14:textId="44A71DA8" w:rsidR="0016775B" w:rsidRPr="0016775B" w:rsidRDefault="0016775B" w:rsidP="0016775B">
            <w:pPr>
              <w:pStyle w:val="TableHead"/>
              <w:jc w:val="right"/>
              <w:rPr>
                <w:sz w:val="22"/>
                <w:szCs w:val="22"/>
              </w:rPr>
            </w:pPr>
            <w:r>
              <w:rPr>
                <w:bCs/>
                <w:sz w:val="22"/>
                <w:szCs w:val="22"/>
                <w:lang w:val="ga"/>
              </w:rPr>
              <w:t>4.5%</w:t>
            </w:r>
          </w:p>
        </w:tc>
        <w:tc>
          <w:tcPr>
            <w:tcW w:w="1559" w:type="dxa"/>
          </w:tcPr>
          <w:p w14:paraId="5F51DE80" w14:textId="77777777" w:rsidR="0016775B" w:rsidRDefault="0016775B" w:rsidP="0016775B">
            <w:pPr>
              <w:spacing w:after="0"/>
              <w:jc w:val="right"/>
              <w:rPr>
                <w:rFonts w:cs="Calibri"/>
                <w:b/>
                <w:bCs/>
                <w:color w:val="000000"/>
                <w:sz w:val="22"/>
                <w:szCs w:val="22"/>
              </w:rPr>
            </w:pPr>
            <w:r>
              <w:rPr>
                <w:rFonts w:cs="Calibri"/>
                <w:b/>
                <w:bCs/>
                <w:color w:val="000000"/>
                <w:sz w:val="22"/>
                <w:szCs w:val="22"/>
                <w:lang w:val="ga"/>
              </w:rPr>
              <w:t>18632</w:t>
            </w:r>
          </w:p>
          <w:p w14:paraId="2A80375B" w14:textId="77777777" w:rsidR="0016775B" w:rsidRPr="0016775B" w:rsidRDefault="0016775B" w:rsidP="0016775B">
            <w:pPr>
              <w:pStyle w:val="TableHead"/>
              <w:jc w:val="right"/>
              <w:rPr>
                <w:sz w:val="22"/>
                <w:szCs w:val="22"/>
              </w:rPr>
            </w:pPr>
          </w:p>
        </w:tc>
        <w:tc>
          <w:tcPr>
            <w:tcW w:w="1701" w:type="dxa"/>
          </w:tcPr>
          <w:p w14:paraId="7C8078D6" w14:textId="77777777" w:rsidR="0016775B" w:rsidRDefault="0016775B" w:rsidP="0016775B">
            <w:pPr>
              <w:spacing w:after="0"/>
              <w:jc w:val="right"/>
              <w:rPr>
                <w:rFonts w:cs="Calibri"/>
                <w:b/>
                <w:bCs/>
                <w:color w:val="000000"/>
                <w:sz w:val="22"/>
                <w:szCs w:val="22"/>
              </w:rPr>
            </w:pPr>
            <w:r>
              <w:rPr>
                <w:rFonts w:cs="Calibri"/>
                <w:b/>
                <w:bCs/>
                <w:color w:val="000000"/>
                <w:sz w:val="22"/>
                <w:szCs w:val="22"/>
                <w:lang w:val="ga"/>
              </w:rPr>
              <w:t>782</w:t>
            </w:r>
          </w:p>
          <w:p w14:paraId="71713040" w14:textId="77777777" w:rsidR="0016775B" w:rsidRPr="0016775B" w:rsidRDefault="0016775B" w:rsidP="0016775B">
            <w:pPr>
              <w:pStyle w:val="TableHead"/>
              <w:jc w:val="right"/>
              <w:rPr>
                <w:sz w:val="22"/>
                <w:szCs w:val="22"/>
              </w:rPr>
            </w:pPr>
          </w:p>
        </w:tc>
        <w:tc>
          <w:tcPr>
            <w:tcW w:w="1560" w:type="dxa"/>
          </w:tcPr>
          <w:p w14:paraId="1710218F" w14:textId="77777777" w:rsidR="0016775B" w:rsidRDefault="0016775B" w:rsidP="0016775B">
            <w:pPr>
              <w:spacing w:after="0"/>
              <w:jc w:val="right"/>
              <w:rPr>
                <w:rFonts w:cs="Calibri"/>
                <w:b/>
                <w:bCs/>
                <w:color w:val="000000"/>
                <w:sz w:val="22"/>
                <w:szCs w:val="22"/>
              </w:rPr>
            </w:pPr>
            <w:r>
              <w:rPr>
                <w:rFonts w:cs="Calibri"/>
                <w:b/>
                <w:bCs/>
                <w:color w:val="000000"/>
                <w:sz w:val="22"/>
                <w:szCs w:val="22"/>
                <w:lang w:val="ga"/>
              </w:rPr>
              <w:t>4.2%</w:t>
            </w:r>
          </w:p>
          <w:p w14:paraId="1E5506A1" w14:textId="0AEDD407" w:rsidR="0016775B" w:rsidRPr="0016775B" w:rsidRDefault="0016775B" w:rsidP="0016775B">
            <w:pPr>
              <w:pStyle w:val="TableHead"/>
              <w:jc w:val="right"/>
              <w:rPr>
                <w:sz w:val="22"/>
                <w:szCs w:val="22"/>
              </w:rPr>
            </w:pPr>
          </w:p>
        </w:tc>
      </w:tr>
    </w:tbl>
    <w:p w14:paraId="3A87D0E3" w14:textId="77777777" w:rsidR="007B3257" w:rsidRPr="0016775B" w:rsidRDefault="007B3257" w:rsidP="007B3257"/>
    <w:p w14:paraId="51C072E3" w14:textId="77777777" w:rsidR="00844749" w:rsidRPr="00611BF3" w:rsidRDefault="00844749" w:rsidP="00844749">
      <w:pPr>
        <w:pStyle w:val="TableSummary"/>
        <w:rPr>
          <w:highlight w:val="green"/>
        </w:rPr>
      </w:pPr>
    </w:p>
    <w:p w14:paraId="09B73EF4" w14:textId="750B77BD" w:rsidR="007E64ED" w:rsidRPr="00611BF3" w:rsidRDefault="007E64ED" w:rsidP="00C95275">
      <w:pPr>
        <w:rPr>
          <w:szCs w:val="26"/>
          <w:highlight w:val="green"/>
        </w:rPr>
      </w:pPr>
    </w:p>
    <w:p w14:paraId="34F3A2F5" w14:textId="65D6B56E" w:rsidR="00E46650" w:rsidRDefault="00E46650">
      <w:pPr>
        <w:spacing w:after="0"/>
        <w:rPr>
          <w:highlight w:val="green"/>
        </w:rPr>
      </w:pPr>
      <w:r>
        <w:rPr>
          <w:highlight w:val="green"/>
          <w:lang w:val="ga"/>
        </w:rPr>
        <w:br w:type="page"/>
      </w:r>
    </w:p>
    <w:p w14:paraId="036EC2D1" w14:textId="77777777" w:rsidR="00BC13A0" w:rsidRDefault="00BC13A0" w:rsidP="00DA2B08">
      <w:pPr>
        <w:pStyle w:val="NoSpacing"/>
      </w:pPr>
    </w:p>
    <w:p w14:paraId="2EEBDB07" w14:textId="4385E9FF" w:rsidR="00624403" w:rsidRPr="004577E5" w:rsidRDefault="00D556A0" w:rsidP="001624B2">
      <w:pPr>
        <w:pStyle w:val="Heading2"/>
        <w:jc w:val="center"/>
        <w:rPr>
          <w:color w:val="000000" w:themeColor="text1"/>
        </w:rPr>
      </w:pPr>
      <w:bookmarkStart w:id="84" w:name="_Toc147910098"/>
      <w:r>
        <w:rPr>
          <w:bCs/>
          <w:color w:val="000000" w:themeColor="text1"/>
          <w:lang w:val="ga"/>
        </w:rPr>
        <w:t>Roinn an Taoisigh</w:t>
      </w:r>
      <w:bookmarkEnd w:id="84"/>
    </w:p>
    <w:tbl>
      <w:tblPr>
        <w:tblStyle w:val="TableGrid"/>
        <w:tblpPr w:leftFromText="180" w:rightFromText="180" w:vertAnchor="text" w:horzAnchor="margin" w:tblpXSpec="center" w:tblpY="196"/>
        <w:tblW w:w="11208" w:type="dxa"/>
        <w:tblLayout w:type="fixed"/>
        <w:tblLook w:val="04A0" w:firstRow="1" w:lastRow="0" w:firstColumn="1" w:lastColumn="0" w:noHBand="0" w:noVBand="1"/>
        <w:tblCaption w:val="Department of the Taoiseach"/>
      </w:tblPr>
      <w:tblGrid>
        <w:gridCol w:w="1711"/>
        <w:gridCol w:w="1418"/>
        <w:gridCol w:w="1417"/>
        <w:gridCol w:w="1545"/>
        <w:gridCol w:w="1432"/>
        <w:gridCol w:w="1984"/>
        <w:gridCol w:w="1701"/>
      </w:tblGrid>
      <w:tr w:rsidR="001D6F34" w:rsidRPr="004577E5" w14:paraId="70BC6A66" w14:textId="77777777" w:rsidTr="001B54BB">
        <w:trPr>
          <w:tblHeader/>
        </w:trPr>
        <w:tc>
          <w:tcPr>
            <w:tcW w:w="1711" w:type="dxa"/>
          </w:tcPr>
          <w:p w14:paraId="5F3765B4" w14:textId="77777777" w:rsidR="001D6F34" w:rsidRPr="004577E5" w:rsidRDefault="001D6F34" w:rsidP="001D6F34">
            <w:pPr>
              <w:pStyle w:val="TableHead"/>
              <w:rPr>
                <w:sz w:val="22"/>
                <w:szCs w:val="22"/>
              </w:rPr>
            </w:pPr>
            <w:r>
              <w:rPr>
                <w:bCs/>
                <w:sz w:val="22"/>
                <w:szCs w:val="22"/>
                <w:lang w:val="ga"/>
              </w:rPr>
              <w:t>Comhlacht Poiblí</w:t>
            </w:r>
          </w:p>
        </w:tc>
        <w:tc>
          <w:tcPr>
            <w:tcW w:w="1418" w:type="dxa"/>
          </w:tcPr>
          <w:p w14:paraId="3CA1BC87" w14:textId="77777777" w:rsidR="008321E1" w:rsidRPr="004577E5" w:rsidRDefault="001D6F34" w:rsidP="001D6F34">
            <w:pPr>
              <w:pStyle w:val="TableHead"/>
              <w:rPr>
                <w:sz w:val="22"/>
                <w:szCs w:val="22"/>
              </w:rPr>
            </w:pPr>
            <w:r>
              <w:rPr>
                <w:bCs/>
                <w:sz w:val="22"/>
                <w:szCs w:val="22"/>
                <w:lang w:val="ga"/>
              </w:rPr>
              <w:t xml:space="preserve">An líon iomlán </w:t>
            </w:r>
          </w:p>
          <w:p w14:paraId="6B4596CF" w14:textId="3D7640B3" w:rsidR="001D6F34" w:rsidRPr="004577E5" w:rsidRDefault="001D6F34" w:rsidP="001D6F34">
            <w:pPr>
              <w:pStyle w:val="TableHead"/>
              <w:rPr>
                <w:sz w:val="22"/>
                <w:szCs w:val="22"/>
              </w:rPr>
            </w:pPr>
            <w:r>
              <w:rPr>
                <w:bCs/>
                <w:sz w:val="22"/>
                <w:szCs w:val="22"/>
                <w:lang w:val="ga"/>
              </w:rPr>
              <w:t>fostaithe 2021</w:t>
            </w:r>
          </w:p>
        </w:tc>
        <w:tc>
          <w:tcPr>
            <w:tcW w:w="1417" w:type="dxa"/>
          </w:tcPr>
          <w:p w14:paraId="67B77D08" w14:textId="77777777" w:rsidR="001D6F34" w:rsidRPr="004577E5" w:rsidRDefault="001D6F34" w:rsidP="001D6F34">
            <w:pPr>
              <w:pStyle w:val="TableHead"/>
              <w:rPr>
                <w:sz w:val="22"/>
                <w:szCs w:val="22"/>
              </w:rPr>
            </w:pPr>
            <w:r>
              <w:rPr>
                <w:bCs/>
                <w:sz w:val="22"/>
                <w:szCs w:val="22"/>
                <w:lang w:val="ga"/>
              </w:rPr>
              <w:t xml:space="preserve">An líon fostaithe a thuairiscigh míchumas </w:t>
            </w:r>
          </w:p>
          <w:p w14:paraId="0544833C" w14:textId="121A1FA5" w:rsidR="001D6F34" w:rsidRPr="004577E5" w:rsidRDefault="001D6F34" w:rsidP="001D6F34">
            <w:pPr>
              <w:pStyle w:val="TableHead"/>
              <w:rPr>
                <w:sz w:val="22"/>
                <w:szCs w:val="22"/>
              </w:rPr>
            </w:pPr>
            <w:r>
              <w:rPr>
                <w:bCs/>
                <w:sz w:val="22"/>
                <w:szCs w:val="22"/>
                <w:lang w:val="ga"/>
              </w:rPr>
              <w:t>2021</w:t>
            </w:r>
          </w:p>
        </w:tc>
        <w:tc>
          <w:tcPr>
            <w:tcW w:w="1545" w:type="dxa"/>
          </w:tcPr>
          <w:p w14:paraId="306B5AC8" w14:textId="77777777" w:rsidR="001D6F34" w:rsidRPr="004577E5" w:rsidRDefault="001D6F34" w:rsidP="001D6F34">
            <w:pPr>
              <w:pStyle w:val="TableHead"/>
              <w:rPr>
                <w:sz w:val="22"/>
                <w:szCs w:val="22"/>
              </w:rPr>
            </w:pPr>
            <w:r>
              <w:rPr>
                <w:bCs/>
                <w:sz w:val="22"/>
                <w:szCs w:val="22"/>
                <w:lang w:val="ga"/>
              </w:rPr>
              <w:t>An % d’fhostaithe a thuairiscigh</w:t>
            </w:r>
          </w:p>
          <w:p w14:paraId="21867729" w14:textId="2893302A" w:rsidR="001D6F34" w:rsidRPr="004577E5" w:rsidRDefault="001D6F34" w:rsidP="001D6F34">
            <w:pPr>
              <w:pStyle w:val="TableHead"/>
              <w:rPr>
                <w:sz w:val="22"/>
                <w:szCs w:val="22"/>
              </w:rPr>
            </w:pPr>
            <w:r>
              <w:rPr>
                <w:bCs/>
                <w:sz w:val="22"/>
                <w:szCs w:val="22"/>
                <w:lang w:val="ga"/>
              </w:rPr>
              <w:t>míchumas 2021</w:t>
            </w:r>
          </w:p>
        </w:tc>
        <w:tc>
          <w:tcPr>
            <w:tcW w:w="1432" w:type="dxa"/>
          </w:tcPr>
          <w:p w14:paraId="0F074A2A" w14:textId="77777777" w:rsidR="008321E1" w:rsidRPr="004577E5" w:rsidRDefault="001D6F34" w:rsidP="001D6F34">
            <w:pPr>
              <w:pStyle w:val="TableHead"/>
              <w:rPr>
                <w:sz w:val="22"/>
                <w:szCs w:val="22"/>
              </w:rPr>
            </w:pPr>
            <w:r>
              <w:rPr>
                <w:bCs/>
                <w:sz w:val="22"/>
                <w:szCs w:val="22"/>
                <w:lang w:val="ga"/>
              </w:rPr>
              <w:t xml:space="preserve">An líon iomlán </w:t>
            </w:r>
          </w:p>
          <w:p w14:paraId="3E9624D4" w14:textId="283E1498" w:rsidR="001D6F34" w:rsidRPr="004577E5" w:rsidRDefault="001D6F34" w:rsidP="001D6F34">
            <w:pPr>
              <w:pStyle w:val="TableHead"/>
              <w:rPr>
                <w:sz w:val="22"/>
                <w:szCs w:val="22"/>
              </w:rPr>
            </w:pPr>
            <w:r>
              <w:rPr>
                <w:bCs/>
                <w:sz w:val="22"/>
                <w:szCs w:val="22"/>
                <w:lang w:val="ga"/>
              </w:rPr>
              <w:t>fostaithe 2022</w:t>
            </w:r>
          </w:p>
        </w:tc>
        <w:tc>
          <w:tcPr>
            <w:tcW w:w="1984" w:type="dxa"/>
          </w:tcPr>
          <w:p w14:paraId="210FB70E" w14:textId="77777777" w:rsidR="001D6F34" w:rsidRPr="004577E5" w:rsidRDefault="001D6F34" w:rsidP="001D6F34">
            <w:pPr>
              <w:pStyle w:val="TableHead"/>
              <w:rPr>
                <w:sz w:val="22"/>
                <w:szCs w:val="22"/>
              </w:rPr>
            </w:pPr>
            <w:r>
              <w:rPr>
                <w:bCs/>
                <w:sz w:val="22"/>
                <w:szCs w:val="22"/>
                <w:lang w:val="ga"/>
              </w:rPr>
              <w:t xml:space="preserve">An líon fostaithe a thuairiscigh míchumas </w:t>
            </w:r>
          </w:p>
          <w:p w14:paraId="72EE45FC" w14:textId="17492614" w:rsidR="001D6F34" w:rsidRPr="004577E5" w:rsidRDefault="001D6F34" w:rsidP="001D6F34">
            <w:pPr>
              <w:pStyle w:val="TableHead"/>
              <w:rPr>
                <w:sz w:val="22"/>
                <w:szCs w:val="22"/>
              </w:rPr>
            </w:pPr>
            <w:r>
              <w:rPr>
                <w:bCs/>
                <w:sz w:val="22"/>
                <w:szCs w:val="22"/>
                <w:lang w:val="ga"/>
              </w:rPr>
              <w:t>2022</w:t>
            </w:r>
          </w:p>
        </w:tc>
        <w:tc>
          <w:tcPr>
            <w:tcW w:w="1701" w:type="dxa"/>
          </w:tcPr>
          <w:p w14:paraId="39FFD3B3" w14:textId="77777777" w:rsidR="001D6F34" w:rsidRPr="004577E5" w:rsidRDefault="001D6F34" w:rsidP="001D6F34">
            <w:pPr>
              <w:pStyle w:val="TableHead"/>
              <w:rPr>
                <w:sz w:val="22"/>
                <w:szCs w:val="22"/>
              </w:rPr>
            </w:pPr>
            <w:r>
              <w:rPr>
                <w:bCs/>
                <w:sz w:val="22"/>
                <w:szCs w:val="22"/>
                <w:lang w:val="ga"/>
              </w:rPr>
              <w:t>An % d’fhostaithe a thuairiscigh</w:t>
            </w:r>
          </w:p>
          <w:p w14:paraId="26695D4F" w14:textId="77777777" w:rsidR="001D6F34" w:rsidRPr="004577E5" w:rsidRDefault="001D6F34" w:rsidP="001D6F34">
            <w:pPr>
              <w:pStyle w:val="TableHead"/>
              <w:rPr>
                <w:sz w:val="22"/>
                <w:szCs w:val="22"/>
              </w:rPr>
            </w:pPr>
            <w:r>
              <w:rPr>
                <w:bCs/>
                <w:sz w:val="22"/>
                <w:szCs w:val="22"/>
                <w:lang w:val="ga"/>
              </w:rPr>
              <w:t>míchumas</w:t>
            </w:r>
          </w:p>
          <w:p w14:paraId="332D6D07" w14:textId="66EB5486" w:rsidR="001D6F34" w:rsidRPr="004577E5" w:rsidRDefault="001D6F34" w:rsidP="001D6F34">
            <w:pPr>
              <w:pStyle w:val="TableHead"/>
              <w:rPr>
                <w:sz w:val="24"/>
              </w:rPr>
            </w:pPr>
            <w:r>
              <w:rPr>
                <w:bCs/>
                <w:sz w:val="22"/>
                <w:szCs w:val="22"/>
                <w:lang w:val="ga"/>
              </w:rPr>
              <w:t>2022</w:t>
            </w:r>
          </w:p>
        </w:tc>
      </w:tr>
      <w:tr w:rsidR="004577E5" w:rsidRPr="004577E5" w14:paraId="467ED626" w14:textId="77777777" w:rsidTr="001B54BB">
        <w:trPr>
          <w:trHeight w:val="162"/>
        </w:trPr>
        <w:tc>
          <w:tcPr>
            <w:tcW w:w="1711" w:type="dxa"/>
          </w:tcPr>
          <w:p w14:paraId="074AC87D" w14:textId="77777777" w:rsidR="004577E5" w:rsidRPr="004577E5" w:rsidRDefault="004577E5" w:rsidP="004577E5">
            <w:pPr>
              <w:spacing w:after="0"/>
              <w:rPr>
                <w:rFonts w:cs="Calibri"/>
                <w:color w:val="000000"/>
                <w:sz w:val="22"/>
                <w:szCs w:val="22"/>
              </w:rPr>
            </w:pPr>
            <w:r>
              <w:rPr>
                <w:rFonts w:cs="Calibri"/>
                <w:color w:val="000000"/>
                <w:sz w:val="22"/>
                <w:szCs w:val="22"/>
                <w:lang w:val="ga"/>
              </w:rPr>
              <w:t>An Oifig Náisiúnta d'Fhorbairt Eacnamaíoch agus Shóisialach</w:t>
            </w:r>
          </w:p>
          <w:p w14:paraId="5AFA1995" w14:textId="77777777" w:rsidR="004577E5" w:rsidRPr="004577E5" w:rsidRDefault="004577E5" w:rsidP="004577E5">
            <w:pPr>
              <w:rPr>
                <w:sz w:val="22"/>
                <w:szCs w:val="22"/>
              </w:rPr>
            </w:pPr>
          </w:p>
        </w:tc>
        <w:tc>
          <w:tcPr>
            <w:tcW w:w="1418" w:type="dxa"/>
          </w:tcPr>
          <w:p w14:paraId="47B44F7B" w14:textId="4D65FC33" w:rsidR="004577E5" w:rsidRPr="004577E5" w:rsidRDefault="004577E5" w:rsidP="004577E5">
            <w:pPr>
              <w:jc w:val="right"/>
              <w:rPr>
                <w:sz w:val="22"/>
                <w:szCs w:val="22"/>
              </w:rPr>
            </w:pPr>
            <w:r>
              <w:rPr>
                <w:sz w:val="22"/>
                <w:szCs w:val="22"/>
                <w:lang w:val="ga"/>
              </w:rPr>
              <w:t>18</w:t>
            </w:r>
          </w:p>
        </w:tc>
        <w:tc>
          <w:tcPr>
            <w:tcW w:w="1417" w:type="dxa"/>
          </w:tcPr>
          <w:p w14:paraId="6B5A002A" w14:textId="0FBBB132" w:rsidR="004577E5" w:rsidRPr="004577E5" w:rsidRDefault="004577E5" w:rsidP="004577E5">
            <w:pPr>
              <w:jc w:val="right"/>
              <w:rPr>
                <w:sz w:val="22"/>
                <w:szCs w:val="22"/>
              </w:rPr>
            </w:pPr>
            <w:r>
              <w:rPr>
                <w:sz w:val="22"/>
                <w:szCs w:val="22"/>
                <w:lang w:val="ga"/>
              </w:rPr>
              <w:t>1</w:t>
            </w:r>
          </w:p>
        </w:tc>
        <w:tc>
          <w:tcPr>
            <w:tcW w:w="1545" w:type="dxa"/>
          </w:tcPr>
          <w:p w14:paraId="76C54D55" w14:textId="6C7003E0" w:rsidR="004577E5" w:rsidRPr="004577E5" w:rsidRDefault="004577E5" w:rsidP="004577E5">
            <w:pPr>
              <w:jc w:val="right"/>
              <w:rPr>
                <w:sz w:val="22"/>
                <w:szCs w:val="22"/>
              </w:rPr>
            </w:pPr>
            <w:r>
              <w:rPr>
                <w:sz w:val="22"/>
                <w:szCs w:val="22"/>
                <w:lang w:val="ga"/>
              </w:rPr>
              <w:t>5.6%</w:t>
            </w:r>
          </w:p>
        </w:tc>
        <w:tc>
          <w:tcPr>
            <w:tcW w:w="1432" w:type="dxa"/>
          </w:tcPr>
          <w:p w14:paraId="0A349C4F" w14:textId="11DBA175" w:rsidR="004577E5" w:rsidRPr="004577E5" w:rsidRDefault="004577E5" w:rsidP="004577E5">
            <w:pPr>
              <w:jc w:val="right"/>
              <w:rPr>
                <w:sz w:val="22"/>
                <w:szCs w:val="22"/>
              </w:rPr>
            </w:pPr>
            <w:r>
              <w:rPr>
                <w:rFonts w:cs="Calibri"/>
                <w:color w:val="000000"/>
                <w:sz w:val="22"/>
                <w:szCs w:val="22"/>
                <w:lang w:val="ga"/>
              </w:rPr>
              <w:t>18</w:t>
            </w:r>
          </w:p>
        </w:tc>
        <w:tc>
          <w:tcPr>
            <w:tcW w:w="1984" w:type="dxa"/>
          </w:tcPr>
          <w:p w14:paraId="1F5D41DE" w14:textId="31CDC8A4" w:rsidR="004577E5" w:rsidRPr="004577E5" w:rsidRDefault="004577E5" w:rsidP="004577E5">
            <w:pPr>
              <w:jc w:val="right"/>
              <w:rPr>
                <w:sz w:val="22"/>
                <w:szCs w:val="22"/>
              </w:rPr>
            </w:pPr>
            <w:r>
              <w:rPr>
                <w:rFonts w:cs="Calibri"/>
                <w:color w:val="000000"/>
                <w:sz w:val="22"/>
                <w:szCs w:val="22"/>
                <w:lang w:val="ga"/>
              </w:rPr>
              <w:t>1</w:t>
            </w:r>
          </w:p>
        </w:tc>
        <w:tc>
          <w:tcPr>
            <w:tcW w:w="1701" w:type="dxa"/>
          </w:tcPr>
          <w:p w14:paraId="35B2699B" w14:textId="77777777" w:rsidR="004577E5" w:rsidRDefault="004577E5" w:rsidP="004577E5">
            <w:pPr>
              <w:spacing w:after="0"/>
              <w:jc w:val="right"/>
              <w:rPr>
                <w:rFonts w:cs="Calibri"/>
                <w:color w:val="000000"/>
                <w:sz w:val="22"/>
                <w:szCs w:val="22"/>
              </w:rPr>
            </w:pPr>
            <w:r>
              <w:rPr>
                <w:rFonts w:cs="Calibri"/>
                <w:color w:val="000000"/>
                <w:sz w:val="22"/>
                <w:szCs w:val="22"/>
                <w:lang w:val="ga"/>
              </w:rPr>
              <w:t>5.6%</w:t>
            </w:r>
          </w:p>
          <w:p w14:paraId="57B499D8" w14:textId="43AD8C19" w:rsidR="004577E5" w:rsidRPr="004577E5" w:rsidRDefault="004577E5" w:rsidP="004577E5">
            <w:pPr>
              <w:jc w:val="right"/>
              <w:rPr>
                <w:sz w:val="22"/>
                <w:szCs w:val="22"/>
              </w:rPr>
            </w:pPr>
          </w:p>
        </w:tc>
      </w:tr>
      <w:tr w:rsidR="004577E5" w:rsidRPr="00611BF3" w14:paraId="6D4D7766" w14:textId="77777777" w:rsidTr="001B54BB">
        <w:trPr>
          <w:trHeight w:val="162"/>
        </w:trPr>
        <w:tc>
          <w:tcPr>
            <w:tcW w:w="1711" w:type="dxa"/>
          </w:tcPr>
          <w:p w14:paraId="0AEA521D" w14:textId="77777777" w:rsidR="004577E5" w:rsidRPr="004577E5" w:rsidRDefault="004577E5" w:rsidP="004577E5">
            <w:pPr>
              <w:pStyle w:val="TableHead"/>
              <w:spacing w:after="240"/>
              <w:rPr>
                <w:sz w:val="22"/>
                <w:szCs w:val="22"/>
              </w:rPr>
            </w:pPr>
            <w:r>
              <w:rPr>
                <w:bCs/>
                <w:sz w:val="22"/>
                <w:szCs w:val="22"/>
                <w:lang w:val="ga"/>
              </w:rPr>
              <w:t>Mór-Iomlán</w:t>
            </w:r>
          </w:p>
        </w:tc>
        <w:tc>
          <w:tcPr>
            <w:tcW w:w="1418" w:type="dxa"/>
          </w:tcPr>
          <w:p w14:paraId="5A5CE200" w14:textId="76F6B082" w:rsidR="004577E5" w:rsidRPr="004577E5" w:rsidRDefault="004577E5" w:rsidP="004577E5">
            <w:pPr>
              <w:pStyle w:val="TableHead"/>
              <w:spacing w:after="240"/>
              <w:jc w:val="right"/>
              <w:rPr>
                <w:sz w:val="22"/>
                <w:szCs w:val="22"/>
              </w:rPr>
            </w:pPr>
            <w:r>
              <w:rPr>
                <w:bCs/>
                <w:sz w:val="22"/>
                <w:szCs w:val="22"/>
                <w:lang w:val="ga"/>
              </w:rPr>
              <w:t>18</w:t>
            </w:r>
          </w:p>
        </w:tc>
        <w:tc>
          <w:tcPr>
            <w:tcW w:w="1417" w:type="dxa"/>
          </w:tcPr>
          <w:p w14:paraId="3856EE12" w14:textId="1E705C6F" w:rsidR="004577E5" w:rsidRPr="004577E5" w:rsidRDefault="004577E5" w:rsidP="004577E5">
            <w:pPr>
              <w:pStyle w:val="TableHead"/>
              <w:spacing w:after="240"/>
              <w:jc w:val="right"/>
              <w:rPr>
                <w:sz w:val="22"/>
                <w:szCs w:val="22"/>
              </w:rPr>
            </w:pPr>
            <w:r>
              <w:rPr>
                <w:bCs/>
                <w:sz w:val="22"/>
                <w:szCs w:val="22"/>
                <w:lang w:val="ga"/>
              </w:rPr>
              <w:t>1</w:t>
            </w:r>
          </w:p>
        </w:tc>
        <w:tc>
          <w:tcPr>
            <w:tcW w:w="1545" w:type="dxa"/>
          </w:tcPr>
          <w:p w14:paraId="79F7FABB" w14:textId="4F9B0FDD" w:rsidR="004577E5" w:rsidRPr="004577E5" w:rsidRDefault="004577E5" w:rsidP="004577E5">
            <w:pPr>
              <w:pStyle w:val="TableHead"/>
              <w:spacing w:after="240"/>
              <w:jc w:val="right"/>
              <w:rPr>
                <w:sz w:val="22"/>
                <w:szCs w:val="22"/>
              </w:rPr>
            </w:pPr>
            <w:r>
              <w:rPr>
                <w:bCs/>
                <w:sz w:val="22"/>
                <w:szCs w:val="22"/>
                <w:lang w:val="ga"/>
              </w:rPr>
              <w:t>5.6%</w:t>
            </w:r>
          </w:p>
        </w:tc>
        <w:tc>
          <w:tcPr>
            <w:tcW w:w="1432" w:type="dxa"/>
          </w:tcPr>
          <w:p w14:paraId="395AE21A" w14:textId="38B3A107" w:rsidR="004577E5" w:rsidRPr="004577E5" w:rsidRDefault="004577E5" w:rsidP="004577E5">
            <w:pPr>
              <w:pStyle w:val="TableHead"/>
              <w:spacing w:after="240"/>
              <w:jc w:val="right"/>
              <w:rPr>
                <w:sz w:val="22"/>
                <w:szCs w:val="22"/>
              </w:rPr>
            </w:pPr>
            <w:r>
              <w:rPr>
                <w:rFonts w:cs="Calibri"/>
                <w:bCs/>
                <w:color w:val="000000"/>
                <w:sz w:val="22"/>
                <w:szCs w:val="22"/>
                <w:lang w:val="ga"/>
              </w:rPr>
              <w:t>18</w:t>
            </w:r>
          </w:p>
        </w:tc>
        <w:tc>
          <w:tcPr>
            <w:tcW w:w="1984" w:type="dxa"/>
          </w:tcPr>
          <w:p w14:paraId="6EA0D72F" w14:textId="5E35645B" w:rsidR="004577E5" w:rsidRPr="004577E5" w:rsidRDefault="004577E5" w:rsidP="004577E5">
            <w:pPr>
              <w:pStyle w:val="TableHead"/>
              <w:spacing w:after="240"/>
              <w:jc w:val="right"/>
              <w:rPr>
                <w:sz w:val="22"/>
                <w:szCs w:val="22"/>
              </w:rPr>
            </w:pPr>
            <w:r>
              <w:rPr>
                <w:rFonts w:cs="Calibri"/>
                <w:bCs/>
                <w:color w:val="000000"/>
                <w:sz w:val="22"/>
                <w:szCs w:val="22"/>
                <w:lang w:val="ga"/>
              </w:rPr>
              <w:t>1</w:t>
            </w:r>
          </w:p>
        </w:tc>
        <w:tc>
          <w:tcPr>
            <w:tcW w:w="1701" w:type="dxa"/>
          </w:tcPr>
          <w:p w14:paraId="4157D698" w14:textId="77777777" w:rsidR="004577E5" w:rsidRDefault="004577E5" w:rsidP="004577E5">
            <w:pPr>
              <w:spacing w:after="0"/>
              <w:jc w:val="right"/>
              <w:rPr>
                <w:rFonts w:cs="Calibri"/>
                <w:color w:val="000000"/>
                <w:sz w:val="22"/>
                <w:szCs w:val="22"/>
              </w:rPr>
            </w:pPr>
            <w:r>
              <w:rPr>
                <w:rFonts w:cs="Calibri"/>
                <w:color w:val="000000"/>
                <w:sz w:val="22"/>
                <w:szCs w:val="22"/>
                <w:lang w:val="ga"/>
              </w:rPr>
              <w:t>5.6%</w:t>
            </w:r>
          </w:p>
          <w:p w14:paraId="2B6C1AD0" w14:textId="587CF706" w:rsidR="004577E5" w:rsidRPr="004577E5" w:rsidRDefault="004577E5" w:rsidP="004577E5">
            <w:pPr>
              <w:pStyle w:val="TableHead"/>
              <w:spacing w:after="240"/>
              <w:jc w:val="right"/>
              <w:rPr>
                <w:sz w:val="22"/>
                <w:szCs w:val="22"/>
              </w:rPr>
            </w:pPr>
          </w:p>
        </w:tc>
      </w:tr>
    </w:tbl>
    <w:p w14:paraId="099037B2" w14:textId="2CE5AF12" w:rsidR="004910A7" w:rsidRPr="00611BF3" w:rsidRDefault="004910A7" w:rsidP="000D5C5D">
      <w:pPr>
        <w:rPr>
          <w:highlight w:val="green"/>
        </w:rPr>
      </w:pPr>
    </w:p>
    <w:p w14:paraId="027A19EA" w14:textId="77777777" w:rsidR="004910A7" w:rsidRPr="00611BF3" w:rsidRDefault="004910A7">
      <w:pPr>
        <w:spacing w:after="0"/>
        <w:rPr>
          <w:highlight w:val="green"/>
        </w:rPr>
      </w:pPr>
      <w:r>
        <w:rPr>
          <w:highlight w:val="green"/>
          <w:lang w:val="ga"/>
        </w:rPr>
        <w:br w:type="page"/>
      </w:r>
    </w:p>
    <w:p w14:paraId="4C2BCD82" w14:textId="2BE6754E" w:rsidR="003730DB" w:rsidRPr="004577E5" w:rsidRDefault="00D556A0" w:rsidP="001D6F34">
      <w:pPr>
        <w:pStyle w:val="Heading2"/>
        <w:spacing w:after="160"/>
        <w:jc w:val="center"/>
        <w:rPr>
          <w:color w:val="000000" w:themeColor="text1"/>
        </w:rPr>
      </w:pPr>
      <w:bookmarkStart w:id="85" w:name="_Toc147910099"/>
      <w:r>
        <w:rPr>
          <w:bCs/>
          <w:color w:val="000000" w:themeColor="text1"/>
          <w:lang w:val="ga"/>
        </w:rPr>
        <w:t>An Roinn Turasóireachta, Cultúir, Ealaíon, Gaeltachta, Spóirt agus Meán</w:t>
      </w:r>
      <w:bookmarkEnd w:id="85"/>
    </w:p>
    <w:tbl>
      <w:tblPr>
        <w:tblStyle w:val="TableGrid1"/>
        <w:tblW w:w="11341" w:type="dxa"/>
        <w:tblInd w:w="-1423" w:type="dxa"/>
        <w:tblLook w:val="0020" w:firstRow="1" w:lastRow="0" w:firstColumn="0" w:lastColumn="0" w:noHBand="0" w:noVBand="0"/>
      </w:tblPr>
      <w:tblGrid>
        <w:gridCol w:w="2157"/>
        <w:gridCol w:w="1112"/>
        <w:gridCol w:w="1408"/>
        <w:gridCol w:w="1428"/>
        <w:gridCol w:w="1112"/>
        <w:gridCol w:w="1408"/>
        <w:gridCol w:w="2716"/>
      </w:tblGrid>
      <w:tr w:rsidR="00484242" w:rsidRPr="004577E5" w14:paraId="4AC8F167" w14:textId="77777777" w:rsidTr="00E57050">
        <w:trPr>
          <w:tblHeader/>
        </w:trPr>
        <w:tc>
          <w:tcPr>
            <w:tcW w:w="2157" w:type="dxa"/>
          </w:tcPr>
          <w:p w14:paraId="414C3235" w14:textId="77777777" w:rsidR="00484242" w:rsidRPr="004577E5" w:rsidRDefault="00484242" w:rsidP="004127EA">
            <w:pPr>
              <w:rPr>
                <w:b/>
                <w:sz w:val="22"/>
                <w:szCs w:val="22"/>
              </w:rPr>
            </w:pPr>
            <w:r>
              <w:rPr>
                <w:b/>
                <w:bCs/>
                <w:sz w:val="22"/>
                <w:szCs w:val="22"/>
                <w:lang w:val="ga"/>
              </w:rPr>
              <w:t>Comhlacht Poiblí</w:t>
            </w:r>
          </w:p>
        </w:tc>
        <w:tc>
          <w:tcPr>
            <w:tcW w:w="0" w:type="auto"/>
          </w:tcPr>
          <w:p w14:paraId="35A855CF" w14:textId="77777777" w:rsidR="008321E1" w:rsidRPr="004577E5" w:rsidRDefault="00484242" w:rsidP="008321E1">
            <w:pPr>
              <w:spacing w:after="0"/>
              <w:rPr>
                <w:b/>
                <w:sz w:val="22"/>
                <w:szCs w:val="22"/>
              </w:rPr>
            </w:pPr>
            <w:r>
              <w:rPr>
                <w:b/>
                <w:bCs/>
                <w:sz w:val="22"/>
                <w:szCs w:val="22"/>
                <w:lang w:val="ga"/>
              </w:rPr>
              <w:t xml:space="preserve">An líon iomlán </w:t>
            </w:r>
          </w:p>
          <w:p w14:paraId="232EEB5B" w14:textId="415D9519" w:rsidR="00484242" w:rsidRPr="004577E5" w:rsidRDefault="00844749" w:rsidP="004127EA">
            <w:pPr>
              <w:rPr>
                <w:b/>
                <w:sz w:val="22"/>
                <w:szCs w:val="22"/>
              </w:rPr>
            </w:pPr>
            <w:r>
              <w:rPr>
                <w:b/>
                <w:bCs/>
                <w:sz w:val="22"/>
                <w:szCs w:val="22"/>
                <w:lang w:val="ga"/>
              </w:rPr>
              <w:t>fostaithe 2021</w:t>
            </w:r>
          </w:p>
        </w:tc>
        <w:tc>
          <w:tcPr>
            <w:tcW w:w="0" w:type="auto"/>
          </w:tcPr>
          <w:p w14:paraId="5A07BC34" w14:textId="7BDABD8C" w:rsidR="00484242" w:rsidRPr="004577E5" w:rsidRDefault="00484242" w:rsidP="004127EA">
            <w:pPr>
              <w:rPr>
                <w:b/>
                <w:sz w:val="22"/>
                <w:szCs w:val="22"/>
              </w:rPr>
            </w:pPr>
            <w:r>
              <w:rPr>
                <w:b/>
                <w:bCs/>
                <w:sz w:val="22"/>
                <w:szCs w:val="22"/>
                <w:lang w:val="ga"/>
              </w:rPr>
              <w:t>An líon fostaithe a thuairiscigh míchumas 2021</w:t>
            </w:r>
          </w:p>
        </w:tc>
        <w:tc>
          <w:tcPr>
            <w:tcW w:w="0" w:type="auto"/>
          </w:tcPr>
          <w:p w14:paraId="75CBEEEE" w14:textId="38B0D490" w:rsidR="00484242" w:rsidRPr="004577E5" w:rsidRDefault="00484242" w:rsidP="004127EA">
            <w:pPr>
              <w:pStyle w:val="TableHead"/>
              <w:rPr>
                <w:sz w:val="22"/>
                <w:szCs w:val="22"/>
              </w:rPr>
            </w:pPr>
            <w:r>
              <w:rPr>
                <w:bCs/>
                <w:sz w:val="22"/>
                <w:szCs w:val="22"/>
                <w:lang w:val="ga"/>
              </w:rPr>
              <w:t>An % d’fhostaithe a thuairiscigh</w:t>
            </w:r>
          </w:p>
          <w:p w14:paraId="2B9A0AB6" w14:textId="42A2D81B" w:rsidR="00484242" w:rsidRPr="004577E5" w:rsidRDefault="00FD48A0" w:rsidP="004127EA">
            <w:pPr>
              <w:rPr>
                <w:b/>
                <w:sz w:val="22"/>
                <w:szCs w:val="22"/>
              </w:rPr>
            </w:pPr>
            <w:r>
              <w:rPr>
                <w:b/>
                <w:bCs/>
                <w:sz w:val="22"/>
                <w:szCs w:val="22"/>
                <w:lang w:val="ga"/>
              </w:rPr>
              <w:t>míchumas 2021</w:t>
            </w:r>
          </w:p>
        </w:tc>
        <w:tc>
          <w:tcPr>
            <w:tcW w:w="0" w:type="auto"/>
          </w:tcPr>
          <w:p w14:paraId="73948052" w14:textId="77777777" w:rsidR="001530F1" w:rsidRPr="004577E5" w:rsidRDefault="00844749" w:rsidP="001530F1">
            <w:pPr>
              <w:spacing w:after="0"/>
              <w:rPr>
                <w:b/>
                <w:sz w:val="22"/>
                <w:szCs w:val="22"/>
              </w:rPr>
            </w:pPr>
            <w:r>
              <w:rPr>
                <w:b/>
                <w:bCs/>
                <w:sz w:val="22"/>
                <w:szCs w:val="22"/>
                <w:lang w:val="ga"/>
              </w:rPr>
              <w:t xml:space="preserve">An líon iomlán </w:t>
            </w:r>
          </w:p>
          <w:p w14:paraId="4F99B179" w14:textId="265B1250" w:rsidR="00484242" w:rsidRPr="004577E5" w:rsidRDefault="00844749" w:rsidP="004127EA">
            <w:pPr>
              <w:rPr>
                <w:b/>
                <w:sz w:val="22"/>
                <w:szCs w:val="22"/>
              </w:rPr>
            </w:pPr>
            <w:r>
              <w:rPr>
                <w:b/>
                <w:bCs/>
                <w:sz w:val="22"/>
                <w:szCs w:val="22"/>
                <w:lang w:val="ga"/>
              </w:rPr>
              <w:t>fostaithe 2022</w:t>
            </w:r>
          </w:p>
        </w:tc>
        <w:tc>
          <w:tcPr>
            <w:tcW w:w="0" w:type="auto"/>
          </w:tcPr>
          <w:p w14:paraId="25756975" w14:textId="77777777" w:rsidR="00A93CE9" w:rsidRPr="004577E5" w:rsidRDefault="00484242" w:rsidP="00A93CE9">
            <w:pPr>
              <w:spacing w:after="0"/>
              <w:rPr>
                <w:b/>
                <w:sz w:val="22"/>
                <w:szCs w:val="22"/>
              </w:rPr>
            </w:pPr>
            <w:r>
              <w:rPr>
                <w:b/>
                <w:bCs/>
                <w:sz w:val="22"/>
                <w:szCs w:val="22"/>
                <w:lang w:val="ga"/>
              </w:rPr>
              <w:t xml:space="preserve">An líon fostaithe a thuairiscigh míchumas </w:t>
            </w:r>
          </w:p>
          <w:p w14:paraId="563A4220" w14:textId="69939D4C" w:rsidR="00484242" w:rsidRPr="004577E5" w:rsidRDefault="00844749" w:rsidP="004127EA">
            <w:pPr>
              <w:rPr>
                <w:b/>
                <w:sz w:val="22"/>
                <w:szCs w:val="22"/>
              </w:rPr>
            </w:pPr>
            <w:r>
              <w:rPr>
                <w:b/>
                <w:bCs/>
                <w:sz w:val="22"/>
                <w:szCs w:val="22"/>
                <w:lang w:val="ga"/>
              </w:rPr>
              <w:t>2022</w:t>
            </w:r>
          </w:p>
        </w:tc>
        <w:tc>
          <w:tcPr>
            <w:tcW w:w="2716" w:type="dxa"/>
          </w:tcPr>
          <w:p w14:paraId="1407B74B" w14:textId="77777777" w:rsidR="00484242" w:rsidRPr="004577E5" w:rsidRDefault="00484242" w:rsidP="004127EA">
            <w:pPr>
              <w:pStyle w:val="TableHead"/>
              <w:rPr>
                <w:sz w:val="22"/>
                <w:szCs w:val="22"/>
              </w:rPr>
            </w:pPr>
            <w:r>
              <w:rPr>
                <w:bCs/>
                <w:sz w:val="22"/>
                <w:szCs w:val="22"/>
                <w:lang w:val="ga"/>
              </w:rPr>
              <w:t>An %</w:t>
            </w:r>
          </w:p>
          <w:p w14:paraId="070F80C8" w14:textId="131D3F7C" w:rsidR="00484242" w:rsidRPr="004577E5" w:rsidRDefault="00484242" w:rsidP="004127EA">
            <w:pPr>
              <w:pStyle w:val="TableHead"/>
              <w:rPr>
                <w:sz w:val="22"/>
                <w:szCs w:val="22"/>
              </w:rPr>
            </w:pPr>
            <w:r>
              <w:rPr>
                <w:bCs/>
                <w:sz w:val="22"/>
                <w:szCs w:val="22"/>
                <w:lang w:val="ga"/>
              </w:rPr>
              <w:t>d’fhostaithe a thuairiscigh</w:t>
            </w:r>
          </w:p>
          <w:p w14:paraId="79D2E12A" w14:textId="77777777" w:rsidR="00A93CE9" w:rsidRPr="004577E5" w:rsidRDefault="00FD48A0" w:rsidP="00A93CE9">
            <w:pPr>
              <w:spacing w:after="0"/>
              <w:rPr>
                <w:b/>
                <w:sz w:val="22"/>
                <w:szCs w:val="22"/>
              </w:rPr>
            </w:pPr>
            <w:r>
              <w:rPr>
                <w:b/>
                <w:bCs/>
                <w:sz w:val="22"/>
                <w:szCs w:val="22"/>
                <w:lang w:val="ga"/>
              </w:rPr>
              <w:t xml:space="preserve">míchumas </w:t>
            </w:r>
          </w:p>
          <w:p w14:paraId="78CC2589" w14:textId="10F1629F" w:rsidR="00484242" w:rsidRPr="004577E5" w:rsidRDefault="00844749" w:rsidP="004127EA">
            <w:pPr>
              <w:rPr>
                <w:b/>
                <w:sz w:val="22"/>
                <w:szCs w:val="22"/>
              </w:rPr>
            </w:pPr>
            <w:r>
              <w:rPr>
                <w:b/>
                <w:bCs/>
                <w:sz w:val="22"/>
                <w:szCs w:val="22"/>
                <w:lang w:val="ga"/>
              </w:rPr>
              <w:t>2022</w:t>
            </w:r>
          </w:p>
        </w:tc>
      </w:tr>
      <w:tr w:rsidR="004577E5" w:rsidRPr="004577E5" w14:paraId="378B214A" w14:textId="77777777" w:rsidTr="00E57050">
        <w:tc>
          <w:tcPr>
            <w:tcW w:w="2157" w:type="dxa"/>
          </w:tcPr>
          <w:p w14:paraId="19E1E758" w14:textId="6CC98DC9" w:rsidR="004577E5" w:rsidRPr="004577E5" w:rsidRDefault="004577E5" w:rsidP="004577E5">
            <w:pPr>
              <w:rPr>
                <w:sz w:val="22"/>
                <w:szCs w:val="22"/>
              </w:rPr>
            </w:pPr>
            <w:r>
              <w:rPr>
                <w:rFonts w:cs="Calibri"/>
                <w:color w:val="000000"/>
                <w:sz w:val="22"/>
                <w:szCs w:val="22"/>
                <w:lang w:val="ga"/>
              </w:rPr>
              <w:t>An Chomhairle Ealaíon</w:t>
            </w:r>
          </w:p>
        </w:tc>
        <w:tc>
          <w:tcPr>
            <w:tcW w:w="0" w:type="auto"/>
          </w:tcPr>
          <w:p w14:paraId="0A74D62A" w14:textId="135CF74B" w:rsidR="004577E5" w:rsidRPr="004577E5" w:rsidRDefault="004577E5" w:rsidP="004577E5">
            <w:pPr>
              <w:jc w:val="right"/>
              <w:rPr>
                <w:sz w:val="22"/>
                <w:szCs w:val="22"/>
              </w:rPr>
            </w:pPr>
            <w:r>
              <w:rPr>
                <w:rFonts w:cs="Calibri"/>
                <w:color w:val="000000"/>
                <w:sz w:val="22"/>
                <w:szCs w:val="22"/>
                <w:lang w:val="ga"/>
              </w:rPr>
              <w:t>75</w:t>
            </w:r>
          </w:p>
        </w:tc>
        <w:tc>
          <w:tcPr>
            <w:tcW w:w="0" w:type="auto"/>
          </w:tcPr>
          <w:p w14:paraId="3F48CFC4" w14:textId="21017C4D" w:rsidR="004577E5" w:rsidRPr="004577E5" w:rsidRDefault="004577E5" w:rsidP="004577E5">
            <w:pPr>
              <w:jc w:val="right"/>
              <w:rPr>
                <w:sz w:val="22"/>
                <w:szCs w:val="22"/>
              </w:rPr>
            </w:pPr>
            <w:r>
              <w:rPr>
                <w:rFonts w:cs="Calibri"/>
                <w:color w:val="000000"/>
                <w:sz w:val="22"/>
                <w:szCs w:val="22"/>
                <w:lang w:val="ga"/>
              </w:rPr>
              <w:t>2</w:t>
            </w:r>
          </w:p>
        </w:tc>
        <w:tc>
          <w:tcPr>
            <w:tcW w:w="0" w:type="auto"/>
          </w:tcPr>
          <w:p w14:paraId="6757691E" w14:textId="16C6E361" w:rsidR="004577E5" w:rsidRPr="004577E5" w:rsidRDefault="004577E5" w:rsidP="004577E5">
            <w:pPr>
              <w:jc w:val="right"/>
              <w:rPr>
                <w:sz w:val="22"/>
                <w:szCs w:val="22"/>
              </w:rPr>
            </w:pPr>
            <w:r>
              <w:rPr>
                <w:rFonts w:cs="Calibri"/>
                <w:color w:val="000000"/>
                <w:sz w:val="22"/>
                <w:szCs w:val="22"/>
                <w:lang w:val="ga"/>
              </w:rPr>
              <w:t>2.7%</w:t>
            </w:r>
          </w:p>
        </w:tc>
        <w:tc>
          <w:tcPr>
            <w:tcW w:w="0" w:type="auto"/>
          </w:tcPr>
          <w:p w14:paraId="1F6898B7" w14:textId="088C070B" w:rsidR="004577E5" w:rsidRPr="004577E5" w:rsidRDefault="004577E5" w:rsidP="004577E5">
            <w:pPr>
              <w:jc w:val="right"/>
              <w:rPr>
                <w:sz w:val="22"/>
                <w:szCs w:val="22"/>
              </w:rPr>
            </w:pPr>
            <w:r>
              <w:rPr>
                <w:rFonts w:cs="Calibri"/>
                <w:color w:val="000000"/>
                <w:sz w:val="22"/>
                <w:szCs w:val="22"/>
                <w:lang w:val="ga"/>
              </w:rPr>
              <w:t>81</w:t>
            </w:r>
          </w:p>
        </w:tc>
        <w:tc>
          <w:tcPr>
            <w:tcW w:w="0" w:type="auto"/>
          </w:tcPr>
          <w:p w14:paraId="0AB75EC7" w14:textId="0B0F0A02" w:rsidR="004577E5" w:rsidRPr="004577E5" w:rsidRDefault="004577E5" w:rsidP="004577E5">
            <w:pPr>
              <w:jc w:val="right"/>
              <w:rPr>
                <w:sz w:val="22"/>
                <w:szCs w:val="22"/>
              </w:rPr>
            </w:pPr>
            <w:r>
              <w:rPr>
                <w:rFonts w:cs="Calibri"/>
                <w:color w:val="000000"/>
                <w:sz w:val="22"/>
                <w:szCs w:val="22"/>
                <w:lang w:val="ga"/>
              </w:rPr>
              <w:t>1</w:t>
            </w:r>
          </w:p>
        </w:tc>
        <w:tc>
          <w:tcPr>
            <w:tcW w:w="2716" w:type="dxa"/>
          </w:tcPr>
          <w:p w14:paraId="37BBB7E8" w14:textId="4093B6CD" w:rsidR="004577E5" w:rsidRPr="004577E5" w:rsidRDefault="004577E5" w:rsidP="004577E5">
            <w:pPr>
              <w:jc w:val="right"/>
              <w:rPr>
                <w:sz w:val="22"/>
                <w:szCs w:val="22"/>
              </w:rPr>
            </w:pPr>
            <w:r>
              <w:rPr>
                <w:rFonts w:cs="Calibri"/>
                <w:color w:val="000000"/>
                <w:sz w:val="22"/>
                <w:szCs w:val="22"/>
                <w:lang w:val="ga"/>
              </w:rPr>
              <w:t>1.2%</w:t>
            </w:r>
          </w:p>
        </w:tc>
      </w:tr>
      <w:tr w:rsidR="004577E5" w:rsidRPr="004577E5" w14:paraId="2D79EE11" w14:textId="77777777" w:rsidTr="00E57050">
        <w:tc>
          <w:tcPr>
            <w:tcW w:w="2157" w:type="dxa"/>
          </w:tcPr>
          <w:p w14:paraId="6F88DDD6" w14:textId="48878D7D" w:rsidR="004577E5" w:rsidRPr="004577E5" w:rsidRDefault="004577E5" w:rsidP="004577E5">
            <w:pPr>
              <w:rPr>
                <w:sz w:val="22"/>
                <w:szCs w:val="22"/>
              </w:rPr>
            </w:pPr>
            <w:r>
              <w:rPr>
                <w:rFonts w:cs="Calibri"/>
                <w:color w:val="000000"/>
                <w:sz w:val="22"/>
                <w:szCs w:val="22"/>
                <w:lang w:val="ga"/>
              </w:rPr>
              <w:t>Údarás Craolacháin na hÉireann</w:t>
            </w:r>
          </w:p>
        </w:tc>
        <w:tc>
          <w:tcPr>
            <w:tcW w:w="0" w:type="auto"/>
          </w:tcPr>
          <w:p w14:paraId="70B33F4B" w14:textId="130D8CA8" w:rsidR="004577E5" w:rsidRPr="004577E5" w:rsidRDefault="004577E5" w:rsidP="004577E5">
            <w:pPr>
              <w:jc w:val="right"/>
              <w:rPr>
                <w:sz w:val="22"/>
                <w:szCs w:val="22"/>
              </w:rPr>
            </w:pPr>
            <w:r>
              <w:rPr>
                <w:rFonts w:cs="Calibri"/>
                <w:color w:val="000000"/>
                <w:sz w:val="22"/>
                <w:szCs w:val="22"/>
                <w:lang w:val="ga"/>
              </w:rPr>
              <w:t>42</w:t>
            </w:r>
          </w:p>
        </w:tc>
        <w:tc>
          <w:tcPr>
            <w:tcW w:w="0" w:type="auto"/>
          </w:tcPr>
          <w:p w14:paraId="27901775" w14:textId="02638A6B" w:rsidR="004577E5" w:rsidRPr="004577E5" w:rsidRDefault="004577E5" w:rsidP="004577E5">
            <w:pPr>
              <w:jc w:val="right"/>
              <w:rPr>
                <w:sz w:val="22"/>
                <w:szCs w:val="22"/>
              </w:rPr>
            </w:pPr>
            <w:r>
              <w:rPr>
                <w:rFonts w:cs="Calibri"/>
                <w:color w:val="000000"/>
                <w:sz w:val="22"/>
                <w:szCs w:val="22"/>
                <w:lang w:val="ga"/>
              </w:rPr>
              <w:t>5</w:t>
            </w:r>
          </w:p>
        </w:tc>
        <w:tc>
          <w:tcPr>
            <w:tcW w:w="0" w:type="auto"/>
          </w:tcPr>
          <w:p w14:paraId="5DE0BD0B" w14:textId="0B3C90DB" w:rsidR="004577E5" w:rsidRPr="004577E5" w:rsidRDefault="004577E5" w:rsidP="004577E5">
            <w:pPr>
              <w:jc w:val="right"/>
              <w:rPr>
                <w:sz w:val="22"/>
                <w:szCs w:val="22"/>
              </w:rPr>
            </w:pPr>
            <w:r>
              <w:rPr>
                <w:rFonts w:cs="Calibri"/>
                <w:color w:val="000000"/>
                <w:sz w:val="22"/>
                <w:szCs w:val="22"/>
                <w:lang w:val="ga"/>
              </w:rPr>
              <w:t>11.9%</w:t>
            </w:r>
          </w:p>
        </w:tc>
        <w:tc>
          <w:tcPr>
            <w:tcW w:w="0" w:type="auto"/>
          </w:tcPr>
          <w:p w14:paraId="11C12B29" w14:textId="7EF6DCAD" w:rsidR="004577E5" w:rsidRPr="004577E5" w:rsidRDefault="004577E5" w:rsidP="004577E5">
            <w:pPr>
              <w:jc w:val="right"/>
              <w:rPr>
                <w:sz w:val="22"/>
                <w:szCs w:val="22"/>
              </w:rPr>
            </w:pPr>
            <w:r>
              <w:rPr>
                <w:rFonts w:cs="Calibri"/>
                <w:color w:val="000000"/>
                <w:sz w:val="22"/>
                <w:szCs w:val="22"/>
                <w:lang w:val="ga"/>
              </w:rPr>
              <w:t>40</w:t>
            </w:r>
          </w:p>
        </w:tc>
        <w:tc>
          <w:tcPr>
            <w:tcW w:w="0" w:type="auto"/>
          </w:tcPr>
          <w:p w14:paraId="3AA18768" w14:textId="5AFF98E9" w:rsidR="004577E5" w:rsidRPr="004577E5" w:rsidRDefault="004577E5" w:rsidP="004577E5">
            <w:pPr>
              <w:jc w:val="right"/>
              <w:rPr>
                <w:sz w:val="22"/>
                <w:szCs w:val="22"/>
              </w:rPr>
            </w:pPr>
            <w:r>
              <w:rPr>
                <w:rFonts w:cs="Calibri"/>
                <w:color w:val="000000"/>
                <w:sz w:val="22"/>
                <w:szCs w:val="22"/>
                <w:lang w:val="ga"/>
              </w:rPr>
              <w:t>7</w:t>
            </w:r>
          </w:p>
        </w:tc>
        <w:tc>
          <w:tcPr>
            <w:tcW w:w="2716" w:type="dxa"/>
          </w:tcPr>
          <w:p w14:paraId="61D46D82" w14:textId="7DD8BB2C" w:rsidR="004577E5" w:rsidRPr="004577E5" w:rsidRDefault="004577E5" w:rsidP="004577E5">
            <w:pPr>
              <w:jc w:val="right"/>
              <w:rPr>
                <w:sz w:val="22"/>
                <w:szCs w:val="22"/>
              </w:rPr>
            </w:pPr>
            <w:r>
              <w:rPr>
                <w:rFonts w:cs="Calibri"/>
                <w:color w:val="000000"/>
                <w:sz w:val="22"/>
                <w:szCs w:val="22"/>
                <w:lang w:val="ga"/>
              </w:rPr>
              <w:t>17.5%</w:t>
            </w:r>
          </w:p>
        </w:tc>
      </w:tr>
      <w:tr w:rsidR="004577E5" w:rsidRPr="004577E5" w14:paraId="30050371" w14:textId="77777777" w:rsidTr="00E57050">
        <w:tc>
          <w:tcPr>
            <w:tcW w:w="2157" w:type="dxa"/>
          </w:tcPr>
          <w:p w14:paraId="39AED3D9" w14:textId="5EAFD95C" w:rsidR="004577E5" w:rsidRPr="004577E5" w:rsidRDefault="004577E5" w:rsidP="004577E5">
            <w:pPr>
              <w:rPr>
                <w:sz w:val="22"/>
                <w:szCs w:val="22"/>
              </w:rPr>
            </w:pPr>
            <w:r>
              <w:rPr>
                <w:rFonts w:cs="Calibri"/>
                <w:color w:val="000000"/>
                <w:sz w:val="22"/>
                <w:szCs w:val="22"/>
                <w:lang w:val="ga"/>
              </w:rPr>
              <w:t>Leabharlann Chester Beatty</w:t>
            </w:r>
          </w:p>
        </w:tc>
        <w:tc>
          <w:tcPr>
            <w:tcW w:w="0" w:type="auto"/>
          </w:tcPr>
          <w:p w14:paraId="0302053A" w14:textId="34EAAF2D" w:rsidR="004577E5" w:rsidRPr="004577E5" w:rsidRDefault="004577E5" w:rsidP="004577E5">
            <w:pPr>
              <w:jc w:val="right"/>
              <w:rPr>
                <w:sz w:val="22"/>
                <w:szCs w:val="22"/>
              </w:rPr>
            </w:pPr>
            <w:r>
              <w:rPr>
                <w:rFonts w:cs="Calibri"/>
                <w:color w:val="000000"/>
                <w:sz w:val="22"/>
                <w:szCs w:val="22"/>
                <w:lang w:val="ga"/>
              </w:rPr>
              <w:t>43</w:t>
            </w:r>
          </w:p>
        </w:tc>
        <w:tc>
          <w:tcPr>
            <w:tcW w:w="0" w:type="auto"/>
          </w:tcPr>
          <w:p w14:paraId="7F8F29EE" w14:textId="385897B5" w:rsidR="004577E5" w:rsidRPr="004577E5" w:rsidRDefault="004577E5" w:rsidP="004577E5">
            <w:pPr>
              <w:jc w:val="right"/>
              <w:rPr>
                <w:sz w:val="22"/>
                <w:szCs w:val="22"/>
              </w:rPr>
            </w:pPr>
            <w:r>
              <w:rPr>
                <w:rFonts w:cs="Calibri"/>
                <w:color w:val="000000"/>
                <w:sz w:val="22"/>
                <w:szCs w:val="22"/>
                <w:lang w:val="ga"/>
              </w:rPr>
              <w:t>1</w:t>
            </w:r>
          </w:p>
        </w:tc>
        <w:tc>
          <w:tcPr>
            <w:tcW w:w="0" w:type="auto"/>
          </w:tcPr>
          <w:p w14:paraId="32488195" w14:textId="353E41AD" w:rsidR="004577E5" w:rsidRPr="004577E5" w:rsidRDefault="004577E5" w:rsidP="004577E5">
            <w:pPr>
              <w:jc w:val="right"/>
              <w:rPr>
                <w:sz w:val="22"/>
                <w:szCs w:val="22"/>
              </w:rPr>
            </w:pPr>
            <w:r>
              <w:rPr>
                <w:rFonts w:cs="Calibri"/>
                <w:color w:val="000000"/>
                <w:sz w:val="22"/>
                <w:szCs w:val="22"/>
                <w:lang w:val="ga"/>
              </w:rPr>
              <w:t>2.3%</w:t>
            </w:r>
          </w:p>
        </w:tc>
        <w:tc>
          <w:tcPr>
            <w:tcW w:w="0" w:type="auto"/>
          </w:tcPr>
          <w:p w14:paraId="229FEDBF" w14:textId="5F7CD514" w:rsidR="004577E5" w:rsidRPr="004577E5" w:rsidRDefault="004577E5" w:rsidP="004577E5">
            <w:pPr>
              <w:jc w:val="right"/>
              <w:rPr>
                <w:sz w:val="22"/>
                <w:szCs w:val="22"/>
              </w:rPr>
            </w:pPr>
            <w:r>
              <w:rPr>
                <w:rFonts w:cs="Calibri"/>
                <w:color w:val="000000"/>
                <w:sz w:val="22"/>
                <w:szCs w:val="22"/>
                <w:lang w:val="ga"/>
              </w:rPr>
              <w:t>43</w:t>
            </w:r>
          </w:p>
        </w:tc>
        <w:tc>
          <w:tcPr>
            <w:tcW w:w="0" w:type="auto"/>
          </w:tcPr>
          <w:p w14:paraId="6C709033" w14:textId="1A9A069A" w:rsidR="004577E5" w:rsidRPr="004577E5" w:rsidRDefault="004577E5" w:rsidP="004577E5">
            <w:pPr>
              <w:jc w:val="right"/>
              <w:rPr>
                <w:sz w:val="22"/>
                <w:szCs w:val="22"/>
              </w:rPr>
            </w:pPr>
            <w:r>
              <w:rPr>
                <w:rFonts w:cs="Calibri"/>
                <w:color w:val="000000"/>
                <w:sz w:val="22"/>
                <w:szCs w:val="22"/>
                <w:lang w:val="ga"/>
              </w:rPr>
              <w:t>1</w:t>
            </w:r>
          </w:p>
        </w:tc>
        <w:tc>
          <w:tcPr>
            <w:tcW w:w="2716" w:type="dxa"/>
          </w:tcPr>
          <w:p w14:paraId="3558F03C" w14:textId="7E918BFB" w:rsidR="004577E5" w:rsidRPr="004577E5" w:rsidRDefault="004577E5" w:rsidP="004577E5">
            <w:pPr>
              <w:jc w:val="right"/>
              <w:rPr>
                <w:sz w:val="22"/>
                <w:szCs w:val="22"/>
              </w:rPr>
            </w:pPr>
            <w:r>
              <w:rPr>
                <w:rFonts w:cs="Calibri"/>
                <w:color w:val="000000"/>
                <w:sz w:val="22"/>
                <w:szCs w:val="22"/>
                <w:lang w:val="ga"/>
              </w:rPr>
              <w:t>2.3%</w:t>
            </w:r>
          </w:p>
        </w:tc>
      </w:tr>
      <w:tr w:rsidR="004577E5" w:rsidRPr="004577E5" w14:paraId="52C96D66" w14:textId="77777777" w:rsidTr="00E57050">
        <w:tc>
          <w:tcPr>
            <w:tcW w:w="2157" w:type="dxa"/>
          </w:tcPr>
          <w:p w14:paraId="4B61D121" w14:textId="7C5BBB91" w:rsidR="004577E5" w:rsidRPr="004577E5" w:rsidRDefault="004577E5" w:rsidP="004577E5">
            <w:pPr>
              <w:rPr>
                <w:sz w:val="22"/>
                <w:szCs w:val="22"/>
              </w:rPr>
            </w:pPr>
            <w:r>
              <w:rPr>
                <w:rFonts w:cs="Calibri"/>
                <w:color w:val="000000"/>
                <w:sz w:val="22"/>
                <w:szCs w:val="22"/>
                <w:lang w:val="ga"/>
              </w:rPr>
              <w:t>Gailearaí Ealaíne Crawford</w:t>
            </w:r>
          </w:p>
        </w:tc>
        <w:tc>
          <w:tcPr>
            <w:tcW w:w="0" w:type="auto"/>
          </w:tcPr>
          <w:p w14:paraId="02A0B8FB" w14:textId="7C488B10" w:rsidR="004577E5" w:rsidRPr="004577E5" w:rsidRDefault="004577E5" w:rsidP="004577E5">
            <w:pPr>
              <w:jc w:val="right"/>
              <w:rPr>
                <w:sz w:val="22"/>
                <w:szCs w:val="22"/>
              </w:rPr>
            </w:pPr>
            <w:r>
              <w:rPr>
                <w:rFonts w:cs="Calibri"/>
                <w:color w:val="000000"/>
                <w:sz w:val="22"/>
                <w:szCs w:val="22"/>
                <w:lang w:val="ga"/>
              </w:rPr>
              <w:t>19</w:t>
            </w:r>
          </w:p>
        </w:tc>
        <w:tc>
          <w:tcPr>
            <w:tcW w:w="0" w:type="auto"/>
          </w:tcPr>
          <w:p w14:paraId="6AE52E6D" w14:textId="1188BA57" w:rsidR="004577E5" w:rsidRPr="004577E5" w:rsidRDefault="004577E5" w:rsidP="004577E5">
            <w:pPr>
              <w:jc w:val="right"/>
              <w:rPr>
                <w:sz w:val="22"/>
                <w:szCs w:val="22"/>
              </w:rPr>
            </w:pPr>
            <w:r>
              <w:rPr>
                <w:rFonts w:cs="Calibri"/>
                <w:color w:val="000000"/>
                <w:sz w:val="22"/>
                <w:szCs w:val="22"/>
                <w:lang w:val="ga"/>
              </w:rPr>
              <w:t>3</w:t>
            </w:r>
          </w:p>
        </w:tc>
        <w:tc>
          <w:tcPr>
            <w:tcW w:w="0" w:type="auto"/>
          </w:tcPr>
          <w:p w14:paraId="7533031C" w14:textId="3FA55B80" w:rsidR="004577E5" w:rsidRPr="004577E5" w:rsidRDefault="004577E5" w:rsidP="004577E5">
            <w:pPr>
              <w:jc w:val="right"/>
              <w:rPr>
                <w:sz w:val="22"/>
                <w:szCs w:val="22"/>
              </w:rPr>
            </w:pPr>
            <w:r>
              <w:rPr>
                <w:rFonts w:cs="Calibri"/>
                <w:color w:val="000000"/>
                <w:sz w:val="22"/>
                <w:szCs w:val="22"/>
                <w:lang w:val="ga"/>
              </w:rPr>
              <w:t>15.8%</w:t>
            </w:r>
          </w:p>
        </w:tc>
        <w:tc>
          <w:tcPr>
            <w:tcW w:w="0" w:type="auto"/>
          </w:tcPr>
          <w:p w14:paraId="410B2F26" w14:textId="53074066" w:rsidR="004577E5" w:rsidRPr="004577E5" w:rsidRDefault="004577E5" w:rsidP="004577E5">
            <w:pPr>
              <w:jc w:val="right"/>
              <w:rPr>
                <w:sz w:val="22"/>
                <w:szCs w:val="22"/>
              </w:rPr>
            </w:pPr>
            <w:r>
              <w:rPr>
                <w:rFonts w:cs="Calibri"/>
                <w:color w:val="000000"/>
                <w:sz w:val="22"/>
                <w:szCs w:val="22"/>
                <w:lang w:val="ga"/>
              </w:rPr>
              <w:t>23</w:t>
            </w:r>
          </w:p>
        </w:tc>
        <w:tc>
          <w:tcPr>
            <w:tcW w:w="0" w:type="auto"/>
          </w:tcPr>
          <w:p w14:paraId="651CA6E2" w14:textId="21FC0143" w:rsidR="004577E5" w:rsidRPr="004577E5" w:rsidRDefault="004577E5" w:rsidP="004577E5">
            <w:pPr>
              <w:jc w:val="right"/>
              <w:rPr>
                <w:sz w:val="22"/>
                <w:szCs w:val="22"/>
              </w:rPr>
            </w:pPr>
            <w:r>
              <w:rPr>
                <w:rFonts w:cs="Calibri"/>
                <w:color w:val="000000"/>
                <w:sz w:val="22"/>
                <w:szCs w:val="22"/>
                <w:lang w:val="ga"/>
              </w:rPr>
              <w:t>3</w:t>
            </w:r>
          </w:p>
        </w:tc>
        <w:tc>
          <w:tcPr>
            <w:tcW w:w="2716" w:type="dxa"/>
          </w:tcPr>
          <w:p w14:paraId="173B2364" w14:textId="30B405E9" w:rsidR="004577E5" w:rsidRPr="004577E5" w:rsidRDefault="004577E5" w:rsidP="004577E5">
            <w:pPr>
              <w:jc w:val="right"/>
              <w:rPr>
                <w:sz w:val="22"/>
                <w:szCs w:val="22"/>
              </w:rPr>
            </w:pPr>
            <w:r>
              <w:rPr>
                <w:rFonts w:cs="Calibri"/>
                <w:color w:val="000000"/>
                <w:sz w:val="22"/>
                <w:szCs w:val="22"/>
                <w:lang w:val="ga"/>
              </w:rPr>
              <w:t>13.0%</w:t>
            </w:r>
          </w:p>
        </w:tc>
      </w:tr>
      <w:tr w:rsidR="004577E5" w:rsidRPr="004577E5" w14:paraId="7D021A0E" w14:textId="77777777" w:rsidTr="00E57050">
        <w:tc>
          <w:tcPr>
            <w:tcW w:w="2157" w:type="dxa"/>
          </w:tcPr>
          <w:p w14:paraId="1476B321" w14:textId="7EAE2361" w:rsidR="004577E5" w:rsidRPr="004577E5" w:rsidRDefault="004577E5" w:rsidP="004577E5">
            <w:pPr>
              <w:rPr>
                <w:b/>
                <w:sz w:val="22"/>
                <w:szCs w:val="22"/>
              </w:rPr>
            </w:pPr>
            <w:r>
              <w:rPr>
                <w:rFonts w:cs="Calibri"/>
                <w:color w:val="000000"/>
                <w:sz w:val="22"/>
                <w:szCs w:val="22"/>
                <w:lang w:val="ga"/>
              </w:rPr>
              <w:t>Fáilte Éireann</w:t>
            </w:r>
          </w:p>
        </w:tc>
        <w:tc>
          <w:tcPr>
            <w:tcW w:w="0" w:type="auto"/>
          </w:tcPr>
          <w:p w14:paraId="28C2C0FF" w14:textId="2A85840B" w:rsidR="004577E5" w:rsidRPr="004577E5" w:rsidRDefault="004577E5" w:rsidP="004577E5">
            <w:pPr>
              <w:jc w:val="right"/>
              <w:rPr>
                <w:sz w:val="22"/>
                <w:szCs w:val="22"/>
              </w:rPr>
            </w:pPr>
            <w:r>
              <w:rPr>
                <w:rFonts w:cs="Calibri"/>
                <w:color w:val="000000"/>
                <w:sz w:val="22"/>
                <w:szCs w:val="22"/>
                <w:lang w:val="ga"/>
              </w:rPr>
              <w:t>382</w:t>
            </w:r>
          </w:p>
        </w:tc>
        <w:tc>
          <w:tcPr>
            <w:tcW w:w="0" w:type="auto"/>
          </w:tcPr>
          <w:p w14:paraId="5272BF77" w14:textId="06AAD4E5" w:rsidR="004577E5" w:rsidRPr="004577E5" w:rsidRDefault="004577E5" w:rsidP="004577E5">
            <w:pPr>
              <w:jc w:val="right"/>
              <w:rPr>
                <w:sz w:val="22"/>
                <w:szCs w:val="22"/>
              </w:rPr>
            </w:pPr>
            <w:r>
              <w:rPr>
                <w:rFonts w:cs="Calibri"/>
                <w:color w:val="000000"/>
                <w:sz w:val="22"/>
                <w:szCs w:val="22"/>
                <w:lang w:val="ga"/>
              </w:rPr>
              <w:t>12</w:t>
            </w:r>
          </w:p>
        </w:tc>
        <w:tc>
          <w:tcPr>
            <w:tcW w:w="0" w:type="auto"/>
          </w:tcPr>
          <w:p w14:paraId="1728275A" w14:textId="7AAE4E5A" w:rsidR="004577E5" w:rsidRPr="004577E5" w:rsidRDefault="004577E5" w:rsidP="004577E5">
            <w:pPr>
              <w:jc w:val="right"/>
              <w:rPr>
                <w:sz w:val="22"/>
                <w:szCs w:val="22"/>
              </w:rPr>
            </w:pPr>
            <w:r>
              <w:rPr>
                <w:rFonts w:cs="Calibri"/>
                <w:color w:val="000000"/>
                <w:sz w:val="22"/>
                <w:szCs w:val="22"/>
                <w:lang w:val="ga"/>
              </w:rPr>
              <w:t>3.1%</w:t>
            </w:r>
          </w:p>
        </w:tc>
        <w:tc>
          <w:tcPr>
            <w:tcW w:w="0" w:type="auto"/>
          </w:tcPr>
          <w:p w14:paraId="7A7A697B" w14:textId="583E649E" w:rsidR="004577E5" w:rsidRPr="004577E5" w:rsidRDefault="004577E5" w:rsidP="004577E5">
            <w:pPr>
              <w:jc w:val="right"/>
              <w:rPr>
                <w:sz w:val="22"/>
                <w:szCs w:val="22"/>
              </w:rPr>
            </w:pPr>
            <w:r>
              <w:rPr>
                <w:rFonts w:cs="Calibri"/>
                <w:color w:val="000000"/>
                <w:sz w:val="22"/>
                <w:szCs w:val="22"/>
                <w:lang w:val="ga"/>
              </w:rPr>
              <w:t>398</w:t>
            </w:r>
          </w:p>
        </w:tc>
        <w:tc>
          <w:tcPr>
            <w:tcW w:w="0" w:type="auto"/>
          </w:tcPr>
          <w:p w14:paraId="452D7FF4" w14:textId="5BC92D79" w:rsidR="004577E5" w:rsidRPr="004577E5" w:rsidRDefault="004577E5" w:rsidP="004577E5">
            <w:pPr>
              <w:jc w:val="right"/>
              <w:rPr>
                <w:sz w:val="22"/>
                <w:szCs w:val="22"/>
              </w:rPr>
            </w:pPr>
            <w:r>
              <w:rPr>
                <w:rFonts w:cs="Calibri"/>
                <w:color w:val="000000"/>
                <w:sz w:val="22"/>
                <w:szCs w:val="22"/>
                <w:lang w:val="ga"/>
              </w:rPr>
              <w:t>18</w:t>
            </w:r>
          </w:p>
        </w:tc>
        <w:tc>
          <w:tcPr>
            <w:tcW w:w="2716" w:type="dxa"/>
          </w:tcPr>
          <w:p w14:paraId="7D929F9C" w14:textId="05537A83" w:rsidR="004577E5" w:rsidRPr="004577E5" w:rsidRDefault="004577E5" w:rsidP="004577E5">
            <w:pPr>
              <w:jc w:val="right"/>
              <w:rPr>
                <w:sz w:val="22"/>
                <w:szCs w:val="22"/>
              </w:rPr>
            </w:pPr>
            <w:r>
              <w:rPr>
                <w:rFonts w:cs="Calibri"/>
                <w:color w:val="000000"/>
                <w:sz w:val="22"/>
                <w:szCs w:val="22"/>
                <w:lang w:val="ga"/>
              </w:rPr>
              <w:t>4.5%</w:t>
            </w:r>
          </w:p>
        </w:tc>
      </w:tr>
      <w:tr w:rsidR="004577E5" w:rsidRPr="004577E5" w14:paraId="0F063562" w14:textId="77777777" w:rsidTr="00E57050">
        <w:tc>
          <w:tcPr>
            <w:tcW w:w="2157" w:type="dxa"/>
          </w:tcPr>
          <w:p w14:paraId="2145B80A" w14:textId="2BFCB848" w:rsidR="004577E5" w:rsidRPr="004577E5" w:rsidRDefault="004577E5" w:rsidP="004577E5">
            <w:pPr>
              <w:rPr>
                <w:sz w:val="22"/>
                <w:szCs w:val="22"/>
              </w:rPr>
            </w:pPr>
            <w:r>
              <w:rPr>
                <w:rFonts w:cs="Calibri"/>
                <w:color w:val="000000"/>
                <w:sz w:val="22"/>
                <w:szCs w:val="22"/>
                <w:lang w:val="ga"/>
              </w:rPr>
              <w:t>Foras na Gaeilge</w:t>
            </w:r>
          </w:p>
        </w:tc>
        <w:tc>
          <w:tcPr>
            <w:tcW w:w="0" w:type="auto"/>
          </w:tcPr>
          <w:p w14:paraId="0AB2166D" w14:textId="170C2EDA" w:rsidR="004577E5" w:rsidRPr="004577E5" w:rsidRDefault="004577E5" w:rsidP="004577E5">
            <w:pPr>
              <w:jc w:val="right"/>
              <w:rPr>
                <w:sz w:val="22"/>
                <w:szCs w:val="22"/>
              </w:rPr>
            </w:pPr>
            <w:r>
              <w:rPr>
                <w:rFonts w:cs="Calibri"/>
                <w:color w:val="000000"/>
                <w:sz w:val="22"/>
                <w:szCs w:val="22"/>
                <w:lang w:val="ga"/>
              </w:rPr>
              <w:t>57</w:t>
            </w:r>
          </w:p>
        </w:tc>
        <w:tc>
          <w:tcPr>
            <w:tcW w:w="0" w:type="auto"/>
          </w:tcPr>
          <w:p w14:paraId="6D130F50" w14:textId="2282D4F9" w:rsidR="004577E5" w:rsidRPr="004577E5" w:rsidRDefault="004577E5" w:rsidP="004577E5">
            <w:pPr>
              <w:jc w:val="right"/>
              <w:rPr>
                <w:sz w:val="22"/>
                <w:szCs w:val="22"/>
              </w:rPr>
            </w:pPr>
            <w:r>
              <w:rPr>
                <w:rFonts w:cs="Calibri"/>
                <w:color w:val="000000"/>
                <w:sz w:val="22"/>
                <w:szCs w:val="22"/>
                <w:lang w:val="ga"/>
              </w:rPr>
              <w:t>2</w:t>
            </w:r>
          </w:p>
        </w:tc>
        <w:tc>
          <w:tcPr>
            <w:tcW w:w="0" w:type="auto"/>
          </w:tcPr>
          <w:p w14:paraId="0F3F675A" w14:textId="4690F066" w:rsidR="004577E5" w:rsidRPr="004577E5" w:rsidRDefault="004577E5" w:rsidP="004577E5">
            <w:pPr>
              <w:jc w:val="right"/>
              <w:rPr>
                <w:sz w:val="22"/>
                <w:szCs w:val="22"/>
              </w:rPr>
            </w:pPr>
            <w:r>
              <w:rPr>
                <w:rFonts w:cs="Calibri"/>
                <w:color w:val="000000"/>
                <w:sz w:val="22"/>
                <w:szCs w:val="22"/>
                <w:lang w:val="ga"/>
              </w:rPr>
              <w:t>3.5%</w:t>
            </w:r>
          </w:p>
        </w:tc>
        <w:tc>
          <w:tcPr>
            <w:tcW w:w="0" w:type="auto"/>
          </w:tcPr>
          <w:p w14:paraId="0E6CA1C5" w14:textId="6CA6D9E3" w:rsidR="004577E5" w:rsidRPr="004577E5" w:rsidRDefault="004577E5" w:rsidP="004577E5">
            <w:pPr>
              <w:jc w:val="right"/>
              <w:rPr>
                <w:sz w:val="22"/>
                <w:szCs w:val="22"/>
              </w:rPr>
            </w:pPr>
            <w:r>
              <w:rPr>
                <w:rFonts w:cs="Calibri"/>
                <w:color w:val="000000"/>
                <w:sz w:val="22"/>
                <w:szCs w:val="22"/>
                <w:lang w:val="ga"/>
              </w:rPr>
              <w:t>58</w:t>
            </w:r>
          </w:p>
        </w:tc>
        <w:tc>
          <w:tcPr>
            <w:tcW w:w="0" w:type="auto"/>
          </w:tcPr>
          <w:p w14:paraId="7886AD46" w14:textId="4FE25565" w:rsidR="004577E5" w:rsidRPr="004577E5" w:rsidRDefault="004577E5" w:rsidP="004577E5">
            <w:pPr>
              <w:jc w:val="right"/>
              <w:rPr>
                <w:sz w:val="22"/>
                <w:szCs w:val="22"/>
              </w:rPr>
            </w:pPr>
            <w:r>
              <w:rPr>
                <w:rFonts w:cs="Calibri"/>
                <w:color w:val="000000"/>
                <w:sz w:val="22"/>
                <w:szCs w:val="22"/>
                <w:lang w:val="ga"/>
              </w:rPr>
              <w:t>4</w:t>
            </w:r>
          </w:p>
        </w:tc>
        <w:tc>
          <w:tcPr>
            <w:tcW w:w="2716" w:type="dxa"/>
          </w:tcPr>
          <w:p w14:paraId="61B244CC" w14:textId="6E8FB646" w:rsidR="004577E5" w:rsidRPr="004577E5" w:rsidRDefault="004577E5" w:rsidP="004577E5">
            <w:pPr>
              <w:jc w:val="right"/>
              <w:rPr>
                <w:sz w:val="22"/>
                <w:szCs w:val="22"/>
              </w:rPr>
            </w:pPr>
            <w:r>
              <w:rPr>
                <w:rFonts w:cs="Calibri"/>
                <w:color w:val="000000"/>
                <w:sz w:val="22"/>
                <w:szCs w:val="22"/>
                <w:lang w:val="ga"/>
              </w:rPr>
              <w:t>6.9%</w:t>
            </w:r>
          </w:p>
        </w:tc>
      </w:tr>
      <w:tr w:rsidR="004577E5" w:rsidRPr="004577E5" w14:paraId="75E58F10" w14:textId="77777777" w:rsidTr="00E57050">
        <w:tc>
          <w:tcPr>
            <w:tcW w:w="2157" w:type="dxa"/>
          </w:tcPr>
          <w:p w14:paraId="67C6C6F7" w14:textId="5914C4C2" w:rsidR="004577E5" w:rsidRPr="004577E5" w:rsidRDefault="004577E5" w:rsidP="004577E5">
            <w:pPr>
              <w:rPr>
                <w:sz w:val="22"/>
                <w:szCs w:val="22"/>
              </w:rPr>
            </w:pPr>
            <w:r>
              <w:rPr>
                <w:rFonts w:cs="Calibri"/>
                <w:color w:val="000000"/>
                <w:sz w:val="22"/>
                <w:szCs w:val="22"/>
                <w:lang w:val="ga"/>
              </w:rPr>
              <w:t>Áras Nua-Ealaíne na hÉireann (IMMA)</w:t>
            </w:r>
          </w:p>
        </w:tc>
        <w:tc>
          <w:tcPr>
            <w:tcW w:w="0" w:type="auto"/>
          </w:tcPr>
          <w:p w14:paraId="4FCBCE44" w14:textId="196498E5" w:rsidR="004577E5" w:rsidRPr="004577E5" w:rsidRDefault="004577E5" w:rsidP="004577E5">
            <w:pPr>
              <w:jc w:val="right"/>
              <w:rPr>
                <w:sz w:val="22"/>
                <w:szCs w:val="22"/>
              </w:rPr>
            </w:pPr>
            <w:r>
              <w:rPr>
                <w:rFonts w:cs="Calibri"/>
                <w:color w:val="000000"/>
                <w:sz w:val="22"/>
                <w:szCs w:val="22"/>
                <w:lang w:val="ga"/>
              </w:rPr>
              <w:t>102</w:t>
            </w:r>
          </w:p>
        </w:tc>
        <w:tc>
          <w:tcPr>
            <w:tcW w:w="0" w:type="auto"/>
          </w:tcPr>
          <w:p w14:paraId="58B4ED0E" w14:textId="11E69F38" w:rsidR="004577E5" w:rsidRPr="004577E5" w:rsidRDefault="004577E5" w:rsidP="004577E5">
            <w:pPr>
              <w:jc w:val="right"/>
              <w:rPr>
                <w:sz w:val="22"/>
                <w:szCs w:val="22"/>
              </w:rPr>
            </w:pPr>
            <w:r>
              <w:rPr>
                <w:rFonts w:cs="Calibri"/>
                <w:color w:val="000000"/>
                <w:sz w:val="22"/>
                <w:szCs w:val="22"/>
                <w:lang w:val="ga"/>
              </w:rPr>
              <w:t>5</w:t>
            </w:r>
          </w:p>
        </w:tc>
        <w:tc>
          <w:tcPr>
            <w:tcW w:w="0" w:type="auto"/>
          </w:tcPr>
          <w:p w14:paraId="2FF71092" w14:textId="06AF90B7" w:rsidR="004577E5" w:rsidRPr="004577E5" w:rsidRDefault="004577E5" w:rsidP="004577E5">
            <w:pPr>
              <w:jc w:val="right"/>
              <w:rPr>
                <w:sz w:val="22"/>
                <w:szCs w:val="22"/>
              </w:rPr>
            </w:pPr>
            <w:r>
              <w:rPr>
                <w:rFonts w:cs="Calibri"/>
                <w:color w:val="000000"/>
                <w:sz w:val="22"/>
                <w:szCs w:val="22"/>
                <w:lang w:val="ga"/>
              </w:rPr>
              <w:t>4.9%</w:t>
            </w:r>
          </w:p>
        </w:tc>
        <w:tc>
          <w:tcPr>
            <w:tcW w:w="0" w:type="auto"/>
          </w:tcPr>
          <w:p w14:paraId="34438CC1" w14:textId="5801C729" w:rsidR="004577E5" w:rsidRPr="004577E5" w:rsidRDefault="004577E5" w:rsidP="004577E5">
            <w:pPr>
              <w:jc w:val="right"/>
              <w:rPr>
                <w:sz w:val="22"/>
                <w:szCs w:val="22"/>
              </w:rPr>
            </w:pPr>
            <w:r>
              <w:rPr>
                <w:rFonts w:cs="Calibri"/>
                <w:color w:val="000000"/>
                <w:sz w:val="22"/>
                <w:szCs w:val="22"/>
                <w:lang w:val="ga"/>
              </w:rPr>
              <w:t>96</w:t>
            </w:r>
          </w:p>
        </w:tc>
        <w:tc>
          <w:tcPr>
            <w:tcW w:w="0" w:type="auto"/>
          </w:tcPr>
          <w:p w14:paraId="1E7B882E" w14:textId="38F2E6BF" w:rsidR="004577E5" w:rsidRPr="004577E5" w:rsidRDefault="004577E5" w:rsidP="004577E5">
            <w:pPr>
              <w:jc w:val="right"/>
              <w:rPr>
                <w:sz w:val="22"/>
                <w:szCs w:val="22"/>
              </w:rPr>
            </w:pPr>
            <w:r>
              <w:rPr>
                <w:rFonts w:cs="Calibri"/>
                <w:color w:val="000000"/>
                <w:sz w:val="22"/>
                <w:szCs w:val="22"/>
                <w:lang w:val="ga"/>
              </w:rPr>
              <w:t>11</w:t>
            </w:r>
          </w:p>
        </w:tc>
        <w:tc>
          <w:tcPr>
            <w:tcW w:w="2716" w:type="dxa"/>
          </w:tcPr>
          <w:p w14:paraId="04240BCE" w14:textId="1A508E99" w:rsidR="004577E5" w:rsidRPr="004577E5" w:rsidRDefault="004577E5" w:rsidP="004577E5">
            <w:pPr>
              <w:jc w:val="right"/>
              <w:rPr>
                <w:sz w:val="22"/>
                <w:szCs w:val="22"/>
              </w:rPr>
            </w:pPr>
            <w:r>
              <w:rPr>
                <w:rFonts w:cs="Calibri"/>
                <w:color w:val="000000"/>
                <w:sz w:val="22"/>
                <w:szCs w:val="22"/>
                <w:lang w:val="ga"/>
              </w:rPr>
              <w:t>11.5%</w:t>
            </w:r>
          </w:p>
        </w:tc>
      </w:tr>
      <w:tr w:rsidR="004577E5" w:rsidRPr="004577E5" w14:paraId="23875D34" w14:textId="77777777" w:rsidTr="00E57050">
        <w:tc>
          <w:tcPr>
            <w:tcW w:w="2157" w:type="dxa"/>
          </w:tcPr>
          <w:p w14:paraId="38EFF40A" w14:textId="35494A7E" w:rsidR="004577E5" w:rsidRPr="004577E5" w:rsidRDefault="004577E5" w:rsidP="004577E5">
            <w:pPr>
              <w:rPr>
                <w:sz w:val="22"/>
                <w:szCs w:val="22"/>
              </w:rPr>
            </w:pPr>
            <w:r>
              <w:rPr>
                <w:rFonts w:cs="Calibri"/>
                <w:color w:val="000000"/>
                <w:sz w:val="22"/>
                <w:szCs w:val="22"/>
                <w:lang w:val="ga"/>
              </w:rPr>
              <w:t>An Ceoláras Náisiúnta</w:t>
            </w:r>
          </w:p>
        </w:tc>
        <w:tc>
          <w:tcPr>
            <w:tcW w:w="0" w:type="auto"/>
          </w:tcPr>
          <w:p w14:paraId="6871EFC2" w14:textId="3878D358" w:rsidR="004577E5" w:rsidRPr="004577E5" w:rsidRDefault="004577E5" w:rsidP="004577E5">
            <w:pPr>
              <w:jc w:val="right"/>
              <w:rPr>
                <w:sz w:val="22"/>
                <w:szCs w:val="22"/>
              </w:rPr>
            </w:pPr>
            <w:r>
              <w:rPr>
                <w:rFonts w:cs="Calibri"/>
                <w:color w:val="000000"/>
                <w:sz w:val="22"/>
                <w:szCs w:val="22"/>
                <w:lang w:val="ga"/>
              </w:rPr>
              <w:t>117</w:t>
            </w:r>
          </w:p>
        </w:tc>
        <w:tc>
          <w:tcPr>
            <w:tcW w:w="0" w:type="auto"/>
          </w:tcPr>
          <w:p w14:paraId="7607D44B" w14:textId="46937E47" w:rsidR="004577E5" w:rsidRPr="004577E5" w:rsidRDefault="004577E5" w:rsidP="004577E5">
            <w:pPr>
              <w:jc w:val="right"/>
              <w:rPr>
                <w:sz w:val="22"/>
                <w:szCs w:val="22"/>
              </w:rPr>
            </w:pPr>
            <w:r>
              <w:rPr>
                <w:rFonts w:cs="Calibri"/>
                <w:color w:val="000000"/>
                <w:sz w:val="22"/>
                <w:szCs w:val="22"/>
                <w:lang w:val="ga"/>
              </w:rPr>
              <w:t>10</w:t>
            </w:r>
          </w:p>
        </w:tc>
        <w:tc>
          <w:tcPr>
            <w:tcW w:w="0" w:type="auto"/>
          </w:tcPr>
          <w:p w14:paraId="256833E3" w14:textId="418AB2F1" w:rsidR="004577E5" w:rsidRPr="004577E5" w:rsidRDefault="004577E5" w:rsidP="004577E5">
            <w:pPr>
              <w:jc w:val="right"/>
              <w:rPr>
                <w:sz w:val="22"/>
                <w:szCs w:val="22"/>
              </w:rPr>
            </w:pPr>
            <w:r>
              <w:rPr>
                <w:rFonts w:cs="Calibri"/>
                <w:color w:val="000000"/>
                <w:sz w:val="22"/>
                <w:szCs w:val="22"/>
                <w:lang w:val="ga"/>
              </w:rPr>
              <w:t>8.5%</w:t>
            </w:r>
          </w:p>
        </w:tc>
        <w:tc>
          <w:tcPr>
            <w:tcW w:w="0" w:type="auto"/>
          </w:tcPr>
          <w:p w14:paraId="299B6202" w14:textId="574246BC" w:rsidR="004577E5" w:rsidRPr="004577E5" w:rsidRDefault="004577E5" w:rsidP="004577E5">
            <w:pPr>
              <w:jc w:val="right"/>
              <w:rPr>
                <w:sz w:val="22"/>
                <w:szCs w:val="22"/>
              </w:rPr>
            </w:pPr>
            <w:r>
              <w:rPr>
                <w:rFonts w:cs="Calibri"/>
                <w:color w:val="000000"/>
                <w:sz w:val="22"/>
                <w:szCs w:val="22"/>
                <w:lang w:val="ga"/>
              </w:rPr>
              <w:t>120</w:t>
            </w:r>
          </w:p>
        </w:tc>
        <w:tc>
          <w:tcPr>
            <w:tcW w:w="0" w:type="auto"/>
          </w:tcPr>
          <w:p w14:paraId="490BB8B3" w14:textId="598B0C2B" w:rsidR="004577E5" w:rsidRPr="004577E5" w:rsidRDefault="004577E5" w:rsidP="004577E5">
            <w:pPr>
              <w:jc w:val="right"/>
              <w:rPr>
                <w:sz w:val="22"/>
                <w:szCs w:val="22"/>
              </w:rPr>
            </w:pPr>
            <w:r>
              <w:rPr>
                <w:rFonts w:cs="Calibri"/>
                <w:color w:val="000000"/>
                <w:sz w:val="22"/>
                <w:szCs w:val="22"/>
                <w:lang w:val="ga"/>
              </w:rPr>
              <w:t>14</w:t>
            </w:r>
          </w:p>
        </w:tc>
        <w:tc>
          <w:tcPr>
            <w:tcW w:w="2716" w:type="dxa"/>
          </w:tcPr>
          <w:p w14:paraId="61B979ED" w14:textId="1F7B3E1A" w:rsidR="004577E5" w:rsidRPr="004577E5" w:rsidRDefault="004577E5" w:rsidP="004577E5">
            <w:pPr>
              <w:jc w:val="right"/>
              <w:rPr>
                <w:sz w:val="22"/>
                <w:szCs w:val="22"/>
              </w:rPr>
            </w:pPr>
            <w:r>
              <w:rPr>
                <w:rFonts w:cs="Calibri"/>
                <w:color w:val="000000"/>
                <w:sz w:val="22"/>
                <w:szCs w:val="22"/>
                <w:lang w:val="ga"/>
              </w:rPr>
              <w:t>11.7%</w:t>
            </w:r>
          </w:p>
        </w:tc>
      </w:tr>
      <w:tr w:rsidR="004577E5" w:rsidRPr="004577E5" w14:paraId="5EE8236A" w14:textId="77777777" w:rsidTr="00E57050">
        <w:tc>
          <w:tcPr>
            <w:tcW w:w="2157" w:type="dxa"/>
          </w:tcPr>
          <w:p w14:paraId="20349C68" w14:textId="54A2D5CF" w:rsidR="004577E5" w:rsidRPr="004577E5" w:rsidRDefault="004577E5" w:rsidP="004577E5">
            <w:pPr>
              <w:rPr>
                <w:sz w:val="22"/>
                <w:szCs w:val="22"/>
              </w:rPr>
            </w:pPr>
            <w:r>
              <w:rPr>
                <w:rFonts w:cs="Calibri"/>
                <w:color w:val="000000"/>
                <w:sz w:val="22"/>
                <w:szCs w:val="22"/>
                <w:lang w:val="ga"/>
              </w:rPr>
              <w:t>Gailearaí Náisiúnta na hÉireann</w:t>
            </w:r>
          </w:p>
        </w:tc>
        <w:tc>
          <w:tcPr>
            <w:tcW w:w="0" w:type="auto"/>
          </w:tcPr>
          <w:p w14:paraId="1D60F901" w14:textId="6B4C5A93" w:rsidR="004577E5" w:rsidRPr="004577E5" w:rsidRDefault="004577E5" w:rsidP="004577E5">
            <w:pPr>
              <w:jc w:val="right"/>
              <w:rPr>
                <w:sz w:val="22"/>
                <w:szCs w:val="22"/>
              </w:rPr>
            </w:pPr>
            <w:r>
              <w:rPr>
                <w:rFonts w:cs="Calibri"/>
                <w:color w:val="000000"/>
                <w:sz w:val="22"/>
                <w:szCs w:val="22"/>
                <w:lang w:val="ga"/>
              </w:rPr>
              <w:t>176</w:t>
            </w:r>
          </w:p>
        </w:tc>
        <w:tc>
          <w:tcPr>
            <w:tcW w:w="0" w:type="auto"/>
          </w:tcPr>
          <w:p w14:paraId="2C3D702F" w14:textId="698957D7" w:rsidR="004577E5" w:rsidRPr="004577E5" w:rsidRDefault="004577E5" w:rsidP="004577E5">
            <w:pPr>
              <w:jc w:val="right"/>
              <w:rPr>
                <w:sz w:val="22"/>
                <w:szCs w:val="22"/>
              </w:rPr>
            </w:pPr>
            <w:r>
              <w:rPr>
                <w:rFonts w:cs="Calibri"/>
                <w:color w:val="000000"/>
                <w:sz w:val="22"/>
                <w:szCs w:val="22"/>
                <w:lang w:val="ga"/>
              </w:rPr>
              <w:t>15</w:t>
            </w:r>
          </w:p>
        </w:tc>
        <w:tc>
          <w:tcPr>
            <w:tcW w:w="0" w:type="auto"/>
          </w:tcPr>
          <w:p w14:paraId="4C05863A" w14:textId="5B9B92BB" w:rsidR="004577E5" w:rsidRPr="004577E5" w:rsidRDefault="004577E5" w:rsidP="004577E5">
            <w:pPr>
              <w:jc w:val="right"/>
              <w:rPr>
                <w:sz w:val="22"/>
                <w:szCs w:val="22"/>
              </w:rPr>
            </w:pPr>
            <w:r>
              <w:rPr>
                <w:rFonts w:cs="Calibri"/>
                <w:color w:val="000000"/>
                <w:sz w:val="22"/>
                <w:szCs w:val="22"/>
                <w:lang w:val="ga"/>
              </w:rPr>
              <w:t>8.5%</w:t>
            </w:r>
          </w:p>
        </w:tc>
        <w:tc>
          <w:tcPr>
            <w:tcW w:w="0" w:type="auto"/>
          </w:tcPr>
          <w:p w14:paraId="0AFB4008" w14:textId="24A08825" w:rsidR="004577E5" w:rsidRPr="004577E5" w:rsidRDefault="004577E5" w:rsidP="004577E5">
            <w:pPr>
              <w:jc w:val="right"/>
              <w:rPr>
                <w:sz w:val="22"/>
                <w:szCs w:val="22"/>
              </w:rPr>
            </w:pPr>
            <w:r>
              <w:rPr>
                <w:rFonts w:cs="Calibri"/>
                <w:color w:val="000000"/>
                <w:sz w:val="22"/>
                <w:szCs w:val="22"/>
                <w:lang w:val="ga"/>
              </w:rPr>
              <w:t>178</w:t>
            </w:r>
          </w:p>
        </w:tc>
        <w:tc>
          <w:tcPr>
            <w:tcW w:w="0" w:type="auto"/>
          </w:tcPr>
          <w:p w14:paraId="63D42807" w14:textId="465EC535" w:rsidR="004577E5" w:rsidRPr="004577E5" w:rsidRDefault="004577E5" w:rsidP="004577E5">
            <w:pPr>
              <w:jc w:val="right"/>
              <w:rPr>
                <w:sz w:val="22"/>
                <w:szCs w:val="22"/>
              </w:rPr>
            </w:pPr>
            <w:r>
              <w:rPr>
                <w:rFonts w:cs="Calibri"/>
                <w:color w:val="000000"/>
                <w:sz w:val="22"/>
                <w:szCs w:val="22"/>
                <w:lang w:val="ga"/>
              </w:rPr>
              <w:t>26</w:t>
            </w:r>
          </w:p>
        </w:tc>
        <w:tc>
          <w:tcPr>
            <w:tcW w:w="2716" w:type="dxa"/>
          </w:tcPr>
          <w:p w14:paraId="5D108C6D" w14:textId="560A3FF7" w:rsidR="004577E5" w:rsidRPr="004577E5" w:rsidRDefault="004577E5" w:rsidP="004577E5">
            <w:pPr>
              <w:jc w:val="right"/>
              <w:rPr>
                <w:sz w:val="22"/>
                <w:szCs w:val="22"/>
              </w:rPr>
            </w:pPr>
            <w:r>
              <w:rPr>
                <w:rFonts w:cs="Calibri"/>
                <w:color w:val="000000"/>
                <w:sz w:val="22"/>
                <w:szCs w:val="22"/>
                <w:lang w:val="ga"/>
              </w:rPr>
              <w:t>14.6%</w:t>
            </w:r>
          </w:p>
        </w:tc>
      </w:tr>
      <w:tr w:rsidR="004577E5" w:rsidRPr="004577E5" w14:paraId="6938D114" w14:textId="77777777" w:rsidTr="00E57050">
        <w:tc>
          <w:tcPr>
            <w:tcW w:w="2157" w:type="dxa"/>
          </w:tcPr>
          <w:p w14:paraId="46DC72AE" w14:textId="13CDCA53" w:rsidR="004577E5" w:rsidRPr="004577E5" w:rsidRDefault="004577E5" w:rsidP="004577E5">
            <w:pPr>
              <w:rPr>
                <w:sz w:val="22"/>
                <w:szCs w:val="22"/>
              </w:rPr>
            </w:pPr>
            <w:r>
              <w:rPr>
                <w:rFonts w:cs="Calibri"/>
                <w:color w:val="000000"/>
                <w:sz w:val="22"/>
                <w:szCs w:val="22"/>
                <w:lang w:val="ga"/>
              </w:rPr>
              <w:t>Leabharlann Náisiúnta na hÉireann</w:t>
            </w:r>
          </w:p>
        </w:tc>
        <w:tc>
          <w:tcPr>
            <w:tcW w:w="0" w:type="auto"/>
          </w:tcPr>
          <w:p w14:paraId="12285E2C" w14:textId="448AEEDF" w:rsidR="004577E5" w:rsidRPr="004577E5" w:rsidRDefault="004577E5" w:rsidP="004577E5">
            <w:pPr>
              <w:jc w:val="right"/>
              <w:rPr>
                <w:sz w:val="22"/>
                <w:szCs w:val="22"/>
              </w:rPr>
            </w:pPr>
            <w:r>
              <w:rPr>
                <w:rFonts w:cs="Calibri"/>
                <w:color w:val="000000"/>
                <w:sz w:val="22"/>
                <w:szCs w:val="22"/>
                <w:lang w:val="ga"/>
              </w:rPr>
              <w:t>103</w:t>
            </w:r>
          </w:p>
        </w:tc>
        <w:tc>
          <w:tcPr>
            <w:tcW w:w="0" w:type="auto"/>
          </w:tcPr>
          <w:p w14:paraId="31B1731C" w14:textId="4E018D51" w:rsidR="004577E5" w:rsidRPr="004577E5" w:rsidRDefault="004577E5" w:rsidP="004577E5">
            <w:pPr>
              <w:jc w:val="right"/>
              <w:rPr>
                <w:sz w:val="22"/>
                <w:szCs w:val="22"/>
              </w:rPr>
            </w:pPr>
            <w:r>
              <w:rPr>
                <w:rFonts w:cs="Calibri"/>
                <w:color w:val="000000"/>
                <w:sz w:val="22"/>
                <w:szCs w:val="22"/>
                <w:lang w:val="ga"/>
              </w:rPr>
              <w:t>13</w:t>
            </w:r>
          </w:p>
        </w:tc>
        <w:tc>
          <w:tcPr>
            <w:tcW w:w="0" w:type="auto"/>
          </w:tcPr>
          <w:p w14:paraId="7F99CAB1" w14:textId="3E4EF44B" w:rsidR="004577E5" w:rsidRPr="004577E5" w:rsidRDefault="004577E5" w:rsidP="004577E5">
            <w:pPr>
              <w:jc w:val="right"/>
              <w:rPr>
                <w:sz w:val="22"/>
                <w:szCs w:val="22"/>
              </w:rPr>
            </w:pPr>
            <w:r>
              <w:rPr>
                <w:rFonts w:cs="Calibri"/>
                <w:color w:val="000000"/>
                <w:sz w:val="22"/>
                <w:szCs w:val="22"/>
                <w:lang w:val="ga"/>
              </w:rPr>
              <w:t>12.6%</w:t>
            </w:r>
          </w:p>
        </w:tc>
        <w:tc>
          <w:tcPr>
            <w:tcW w:w="0" w:type="auto"/>
          </w:tcPr>
          <w:p w14:paraId="4A01DA1E" w14:textId="3D93B1DB" w:rsidR="004577E5" w:rsidRPr="004577E5" w:rsidRDefault="004577E5" w:rsidP="004577E5">
            <w:pPr>
              <w:jc w:val="right"/>
              <w:rPr>
                <w:sz w:val="22"/>
                <w:szCs w:val="22"/>
              </w:rPr>
            </w:pPr>
            <w:r>
              <w:rPr>
                <w:rFonts w:cs="Calibri"/>
                <w:color w:val="000000"/>
                <w:sz w:val="22"/>
                <w:szCs w:val="22"/>
                <w:lang w:val="ga"/>
              </w:rPr>
              <w:t>108</w:t>
            </w:r>
          </w:p>
        </w:tc>
        <w:tc>
          <w:tcPr>
            <w:tcW w:w="0" w:type="auto"/>
          </w:tcPr>
          <w:p w14:paraId="44198771" w14:textId="3CC05832" w:rsidR="004577E5" w:rsidRPr="004577E5" w:rsidRDefault="004577E5" w:rsidP="004577E5">
            <w:pPr>
              <w:jc w:val="right"/>
              <w:rPr>
                <w:sz w:val="22"/>
                <w:szCs w:val="22"/>
              </w:rPr>
            </w:pPr>
            <w:r>
              <w:rPr>
                <w:rFonts w:cs="Calibri"/>
                <w:color w:val="000000"/>
                <w:sz w:val="22"/>
                <w:szCs w:val="22"/>
                <w:lang w:val="ga"/>
              </w:rPr>
              <w:t>14</w:t>
            </w:r>
          </w:p>
        </w:tc>
        <w:tc>
          <w:tcPr>
            <w:tcW w:w="2716" w:type="dxa"/>
          </w:tcPr>
          <w:p w14:paraId="226DCC06" w14:textId="6244BC5F" w:rsidR="004577E5" w:rsidRPr="004577E5" w:rsidRDefault="004577E5" w:rsidP="004577E5">
            <w:pPr>
              <w:jc w:val="right"/>
              <w:rPr>
                <w:sz w:val="22"/>
                <w:szCs w:val="22"/>
              </w:rPr>
            </w:pPr>
            <w:r>
              <w:rPr>
                <w:rFonts w:cs="Calibri"/>
                <w:color w:val="000000"/>
                <w:sz w:val="22"/>
                <w:szCs w:val="22"/>
                <w:lang w:val="ga"/>
              </w:rPr>
              <w:t>13.0%</w:t>
            </w:r>
          </w:p>
        </w:tc>
      </w:tr>
      <w:tr w:rsidR="004577E5" w:rsidRPr="004577E5" w14:paraId="306DC5F4" w14:textId="77777777" w:rsidTr="00E57050">
        <w:tc>
          <w:tcPr>
            <w:tcW w:w="2157" w:type="dxa"/>
          </w:tcPr>
          <w:p w14:paraId="1E236626" w14:textId="604236BE" w:rsidR="004577E5" w:rsidRPr="004577E5" w:rsidRDefault="004577E5" w:rsidP="004577E5">
            <w:pPr>
              <w:rPr>
                <w:sz w:val="22"/>
                <w:szCs w:val="22"/>
              </w:rPr>
            </w:pPr>
            <w:r>
              <w:rPr>
                <w:rFonts w:cs="Calibri"/>
                <w:color w:val="000000"/>
                <w:sz w:val="22"/>
                <w:szCs w:val="22"/>
                <w:lang w:val="ga"/>
              </w:rPr>
              <w:t>Ard-Mhúsaem na hÉireann</w:t>
            </w:r>
          </w:p>
        </w:tc>
        <w:tc>
          <w:tcPr>
            <w:tcW w:w="0" w:type="auto"/>
          </w:tcPr>
          <w:p w14:paraId="4F12712F" w14:textId="45AA2BB4" w:rsidR="004577E5" w:rsidRPr="004577E5" w:rsidRDefault="004577E5" w:rsidP="004577E5">
            <w:pPr>
              <w:jc w:val="right"/>
              <w:rPr>
                <w:sz w:val="22"/>
                <w:szCs w:val="22"/>
              </w:rPr>
            </w:pPr>
            <w:r>
              <w:rPr>
                <w:rFonts w:cs="Calibri"/>
                <w:color w:val="000000"/>
                <w:sz w:val="22"/>
                <w:szCs w:val="22"/>
                <w:lang w:val="ga"/>
              </w:rPr>
              <w:t>175</w:t>
            </w:r>
          </w:p>
        </w:tc>
        <w:tc>
          <w:tcPr>
            <w:tcW w:w="0" w:type="auto"/>
          </w:tcPr>
          <w:p w14:paraId="118CE674" w14:textId="49ECA21B" w:rsidR="004577E5" w:rsidRPr="004577E5" w:rsidRDefault="004577E5" w:rsidP="004577E5">
            <w:pPr>
              <w:jc w:val="right"/>
              <w:rPr>
                <w:sz w:val="22"/>
                <w:szCs w:val="22"/>
              </w:rPr>
            </w:pPr>
            <w:r>
              <w:rPr>
                <w:rFonts w:cs="Calibri"/>
                <w:color w:val="000000"/>
                <w:sz w:val="22"/>
                <w:szCs w:val="22"/>
                <w:lang w:val="ga"/>
              </w:rPr>
              <w:t>12</w:t>
            </w:r>
          </w:p>
        </w:tc>
        <w:tc>
          <w:tcPr>
            <w:tcW w:w="0" w:type="auto"/>
          </w:tcPr>
          <w:p w14:paraId="6571A377" w14:textId="1141373C" w:rsidR="004577E5" w:rsidRPr="004577E5" w:rsidRDefault="004577E5" w:rsidP="004577E5">
            <w:pPr>
              <w:jc w:val="right"/>
              <w:rPr>
                <w:sz w:val="22"/>
                <w:szCs w:val="22"/>
              </w:rPr>
            </w:pPr>
            <w:r>
              <w:rPr>
                <w:rFonts w:cs="Calibri"/>
                <w:color w:val="000000"/>
                <w:sz w:val="22"/>
                <w:szCs w:val="22"/>
                <w:lang w:val="ga"/>
              </w:rPr>
              <w:t>6.9%</w:t>
            </w:r>
          </w:p>
        </w:tc>
        <w:tc>
          <w:tcPr>
            <w:tcW w:w="0" w:type="auto"/>
          </w:tcPr>
          <w:p w14:paraId="5398F654" w14:textId="661B0429" w:rsidR="004577E5" w:rsidRPr="004577E5" w:rsidRDefault="004577E5" w:rsidP="004577E5">
            <w:pPr>
              <w:jc w:val="right"/>
              <w:rPr>
                <w:sz w:val="22"/>
                <w:szCs w:val="22"/>
              </w:rPr>
            </w:pPr>
            <w:r>
              <w:rPr>
                <w:rFonts w:cs="Calibri"/>
                <w:color w:val="000000"/>
                <w:sz w:val="22"/>
                <w:szCs w:val="22"/>
                <w:lang w:val="ga"/>
              </w:rPr>
              <w:t>181</w:t>
            </w:r>
          </w:p>
        </w:tc>
        <w:tc>
          <w:tcPr>
            <w:tcW w:w="0" w:type="auto"/>
          </w:tcPr>
          <w:p w14:paraId="2E2ED626" w14:textId="3A045D1E" w:rsidR="004577E5" w:rsidRPr="004577E5" w:rsidRDefault="004577E5" w:rsidP="004577E5">
            <w:pPr>
              <w:jc w:val="right"/>
              <w:rPr>
                <w:sz w:val="22"/>
                <w:szCs w:val="22"/>
              </w:rPr>
            </w:pPr>
            <w:r>
              <w:rPr>
                <w:rFonts w:cs="Calibri"/>
                <w:color w:val="000000"/>
                <w:sz w:val="22"/>
                <w:szCs w:val="22"/>
                <w:lang w:val="ga"/>
              </w:rPr>
              <w:t>12</w:t>
            </w:r>
          </w:p>
        </w:tc>
        <w:tc>
          <w:tcPr>
            <w:tcW w:w="2716" w:type="dxa"/>
          </w:tcPr>
          <w:p w14:paraId="55DA3D48" w14:textId="01FB79F5" w:rsidR="004577E5" w:rsidRPr="004577E5" w:rsidRDefault="004577E5" w:rsidP="004577E5">
            <w:pPr>
              <w:jc w:val="right"/>
              <w:rPr>
                <w:sz w:val="22"/>
                <w:szCs w:val="22"/>
              </w:rPr>
            </w:pPr>
            <w:r>
              <w:rPr>
                <w:rFonts w:cs="Calibri"/>
                <w:color w:val="000000"/>
                <w:sz w:val="22"/>
                <w:szCs w:val="22"/>
                <w:lang w:val="ga"/>
              </w:rPr>
              <w:t>6.6%</w:t>
            </w:r>
          </w:p>
        </w:tc>
      </w:tr>
      <w:tr w:rsidR="004577E5" w:rsidRPr="004577E5" w14:paraId="0081DF97" w14:textId="77777777" w:rsidTr="00E57050">
        <w:tc>
          <w:tcPr>
            <w:tcW w:w="2157" w:type="dxa"/>
          </w:tcPr>
          <w:p w14:paraId="674C49F0" w14:textId="5F19B335" w:rsidR="004577E5" w:rsidRPr="004577E5" w:rsidRDefault="004577E5" w:rsidP="004577E5">
            <w:pPr>
              <w:rPr>
                <w:sz w:val="22"/>
                <w:szCs w:val="22"/>
              </w:rPr>
            </w:pPr>
            <w:r>
              <w:rPr>
                <w:rFonts w:cs="Calibri"/>
                <w:color w:val="000000"/>
                <w:sz w:val="22"/>
                <w:szCs w:val="22"/>
                <w:lang w:val="ga"/>
              </w:rPr>
              <w:t>Raidió Teilifís Éireann (RTÉ)</w:t>
            </w:r>
          </w:p>
        </w:tc>
        <w:tc>
          <w:tcPr>
            <w:tcW w:w="0" w:type="auto"/>
          </w:tcPr>
          <w:p w14:paraId="74BD5EB7" w14:textId="66ABB87A" w:rsidR="004577E5" w:rsidRPr="004577E5" w:rsidRDefault="004577E5" w:rsidP="004577E5">
            <w:pPr>
              <w:jc w:val="right"/>
              <w:rPr>
                <w:sz w:val="22"/>
                <w:szCs w:val="22"/>
              </w:rPr>
            </w:pPr>
            <w:r>
              <w:rPr>
                <w:rFonts w:cs="Calibri"/>
                <w:color w:val="000000"/>
                <w:sz w:val="22"/>
                <w:szCs w:val="22"/>
                <w:lang w:val="ga"/>
              </w:rPr>
              <w:t>1,871</w:t>
            </w:r>
          </w:p>
        </w:tc>
        <w:tc>
          <w:tcPr>
            <w:tcW w:w="0" w:type="auto"/>
          </w:tcPr>
          <w:p w14:paraId="1FE78D37" w14:textId="4316662A" w:rsidR="004577E5" w:rsidRPr="004577E5" w:rsidRDefault="004577E5" w:rsidP="004577E5">
            <w:pPr>
              <w:jc w:val="right"/>
              <w:rPr>
                <w:sz w:val="22"/>
                <w:szCs w:val="22"/>
              </w:rPr>
            </w:pPr>
            <w:r>
              <w:rPr>
                <w:rFonts w:cs="Calibri"/>
                <w:color w:val="000000"/>
                <w:sz w:val="22"/>
                <w:szCs w:val="22"/>
                <w:lang w:val="ga"/>
              </w:rPr>
              <w:t>113</w:t>
            </w:r>
          </w:p>
        </w:tc>
        <w:tc>
          <w:tcPr>
            <w:tcW w:w="0" w:type="auto"/>
          </w:tcPr>
          <w:p w14:paraId="11213ED7" w14:textId="1AC87C57" w:rsidR="004577E5" w:rsidRPr="004577E5" w:rsidRDefault="004577E5" w:rsidP="004577E5">
            <w:pPr>
              <w:jc w:val="right"/>
              <w:rPr>
                <w:sz w:val="22"/>
                <w:szCs w:val="22"/>
              </w:rPr>
            </w:pPr>
            <w:r>
              <w:rPr>
                <w:rFonts w:cs="Calibri"/>
                <w:color w:val="000000"/>
                <w:sz w:val="22"/>
                <w:szCs w:val="22"/>
                <w:lang w:val="ga"/>
              </w:rPr>
              <w:t>6.0%</w:t>
            </w:r>
          </w:p>
        </w:tc>
        <w:tc>
          <w:tcPr>
            <w:tcW w:w="0" w:type="auto"/>
          </w:tcPr>
          <w:p w14:paraId="43747900" w14:textId="357B7E6C" w:rsidR="004577E5" w:rsidRPr="004577E5" w:rsidRDefault="004577E5" w:rsidP="004577E5">
            <w:pPr>
              <w:jc w:val="right"/>
              <w:rPr>
                <w:sz w:val="22"/>
                <w:szCs w:val="22"/>
              </w:rPr>
            </w:pPr>
            <w:r>
              <w:rPr>
                <w:rFonts w:cs="Calibri"/>
                <w:color w:val="000000"/>
                <w:sz w:val="22"/>
                <w:szCs w:val="22"/>
                <w:lang w:val="ga"/>
              </w:rPr>
              <w:t>1868</w:t>
            </w:r>
          </w:p>
        </w:tc>
        <w:tc>
          <w:tcPr>
            <w:tcW w:w="0" w:type="auto"/>
          </w:tcPr>
          <w:p w14:paraId="6652C5FF" w14:textId="54751167" w:rsidR="004577E5" w:rsidRPr="004577E5" w:rsidRDefault="004577E5" w:rsidP="004577E5">
            <w:pPr>
              <w:jc w:val="right"/>
              <w:rPr>
                <w:sz w:val="22"/>
                <w:szCs w:val="22"/>
              </w:rPr>
            </w:pPr>
            <w:r>
              <w:rPr>
                <w:rFonts w:cs="Calibri"/>
                <w:color w:val="000000"/>
                <w:sz w:val="22"/>
                <w:szCs w:val="22"/>
                <w:lang w:val="ga"/>
              </w:rPr>
              <w:t>117</w:t>
            </w:r>
          </w:p>
        </w:tc>
        <w:tc>
          <w:tcPr>
            <w:tcW w:w="2716" w:type="dxa"/>
          </w:tcPr>
          <w:p w14:paraId="1082AF0A" w14:textId="27825FA2" w:rsidR="004577E5" w:rsidRPr="004577E5" w:rsidRDefault="004577E5" w:rsidP="004577E5">
            <w:pPr>
              <w:jc w:val="right"/>
              <w:rPr>
                <w:sz w:val="22"/>
                <w:szCs w:val="22"/>
              </w:rPr>
            </w:pPr>
            <w:r>
              <w:rPr>
                <w:rFonts w:cs="Calibri"/>
                <w:color w:val="000000"/>
                <w:sz w:val="22"/>
                <w:szCs w:val="22"/>
                <w:lang w:val="ga"/>
              </w:rPr>
              <w:t>6.3%</w:t>
            </w:r>
          </w:p>
        </w:tc>
      </w:tr>
      <w:tr w:rsidR="004577E5" w:rsidRPr="004577E5" w14:paraId="3CE788A4" w14:textId="77777777" w:rsidTr="00E57050">
        <w:tc>
          <w:tcPr>
            <w:tcW w:w="2157" w:type="dxa"/>
          </w:tcPr>
          <w:p w14:paraId="1EB7F9AE" w14:textId="3DCBFE13" w:rsidR="004577E5" w:rsidRPr="004577E5" w:rsidRDefault="004577E5" w:rsidP="004577E5">
            <w:pPr>
              <w:rPr>
                <w:sz w:val="22"/>
                <w:szCs w:val="22"/>
              </w:rPr>
            </w:pPr>
            <w:r>
              <w:rPr>
                <w:rFonts w:cs="Calibri"/>
                <w:color w:val="000000"/>
                <w:sz w:val="22"/>
                <w:szCs w:val="22"/>
                <w:lang w:val="ga"/>
              </w:rPr>
              <w:t>Fís Éireann</w:t>
            </w:r>
          </w:p>
        </w:tc>
        <w:tc>
          <w:tcPr>
            <w:tcW w:w="0" w:type="auto"/>
          </w:tcPr>
          <w:p w14:paraId="12F23CD0" w14:textId="55A92E13" w:rsidR="004577E5" w:rsidRPr="004577E5" w:rsidRDefault="004577E5" w:rsidP="004577E5">
            <w:pPr>
              <w:jc w:val="right"/>
              <w:rPr>
                <w:sz w:val="22"/>
                <w:szCs w:val="22"/>
              </w:rPr>
            </w:pPr>
            <w:r>
              <w:rPr>
                <w:rFonts w:cs="Calibri"/>
                <w:color w:val="000000"/>
                <w:sz w:val="22"/>
                <w:szCs w:val="22"/>
                <w:lang w:val="ga"/>
              </w:rPr>
              <w:t>35</w:t>
            </w:r>
          </w:p>
        </w:tc>
        <w:tc>
          <w:tcPr>
            <w:tcW w:w="0" w:type="auto"/>
          </w:tcPr>
          <w:p w14:paraId="7213BEAB" w14:textId="40110751" w:rsidR="004577E5" w:rsidRPr="004577E5" w:rsidRDefault="004577E5" w:rsidP="004577E5">
            <w:pPr>
              <w:jc w:val="right"/>
              <w:rPr>
                <w:sz w:val="22"/>
                <w:szCs w:val="22"/>
              </w:rPr>
            </w:pPr>
            <w:r>
              <w:rPr>
                <w:rFonts w:cs="Calibri"/>
                <w:color w:val="000000"/>
                <w:sz w:val="22"/>
                <w:szCs w:val="22"/>
                <w:lang w:val="ga"/>
              </w:rPr>
              <w:t>7</w:t>
            </w:r>
          </w:p>
        </w:tc>
        <w:tc>
          <w:tcPr>
            <w:tcW w:w="0" w:type="auto"/>
          </w:tcPr>
          <w:p w14:paraId="7A868E6B" w14:textId="3E964928" w:rsidR="004577E5" w:rsidRPr="004577E5" w:rsidRDefault="004577E5" w:rsidP="004577E5">
            <w:pPr>
              <w:jc w:val="right"/>
              <w:rPr>
                <w:sz w:val="22"/>
                <w:szCs w:val="22"/>
              </w:rPr>
            </w:pPr>
            <w:r>
              <w:rPr>
                <w:rFonts w:cs="Calibri"/>
                <w:color w:val="000000"/>
                <w:sz w:val="22"/>
                <w:szCs w:val="22"/>
                <w:lang w:val="ga"/>
              </w:rPr>
              <w:t>20.0%</w:t>
            </w:r>
          </w:p>
        </w:tc>
        <w:tc>
          <w:tcPr>
            <w:tcW w:w="0" w:type="auto"/>
          </w:tcPr>
          <w:p w14:paraId="17129915" w14:textId="5DADD3CB" w:rsidR="004577E5" w:rsidRPr="004577E5" w:rsidRDefault="004577E5" w:rsidP="004577E5">
            <w:pPr>
              <w:jc w:val="right"/>
              <w:rPr>
                <w:sz w:val="22"/>
                <w:szCs w:val="22"/>
              </w:rPr>
            </w:pPr>
            <w:r>
              <w:rPr>
                <w:rFonts w:cs="Calibri"/>
                <w:color w:val="000000"/>
                <w:sz w:val="22"/>
                <w:szCs w:val="22"/>
                <w:lang w:val="ga"/>
              </w:rPr>
              <w:t>38</w:t>
            </w:r>
          </w:p>
        </w:tc>
        <w:tc>
          <w:tcPr>
            <w:tcW w:w="0" w:type="auto"/>
          </w:tcPr>
          <w:p w14:paraId="3F8777FF" w14:textId="2A297D87" w:rsidR="004577E5" w:rsidRPr="004577E5" w:rsidRDefault="004577E5" w:rsidP="004577E5">
            <w:pPr>
              <w:jc w:val="right"/>
              <w:rPr>
                <w:sz w:val="22"/>
                <w:szCs w:val="22"/>
              </w:rPr>
            </w:pPr>
            <w:r>
              <w:rPr>
                <w:rFonts w:cs="Calibri"/>
                <w:color w:val="000000"/>
                <w:sz w:val="22"/>
                <w:szCs w:val="22"/>
                <w:lang w:val="ga"/>
              </w:rPr>
              <w:t>8</w:t>
            </w:r>
          </w:p>
        </w:tc>
        <w:tc>
          <w:tcPr>
            <w:tcW w:w="2716" w:type="dxa"/>
          </w:tcPr>
          <w:p w14:paraId="4B134269" w14:textId="4F9B8319" w:rsidR="004577E5" w:rsidRPr="004577E5" w:rsidRDefault="004577E5" w:rsidP="004577E5">
            <w:pPr>
              <w:jc w:val="right"/>
              <w:rPr>
                <w:sz w:val="22"/>
                <w:szCs w:val="22"/>
              </w:rPr>
            </w:pPr>
            <w:r>
              <w:rPr>
                <w:rFonts w:cs="Calibri"/>
                <w:color w:val="000000"/>
                <w:sz w:val="22"/>
                <w:szCs w:val="22"/>
                <w:lang w:val="ga"/>
              </w:rPr>
              <w:t>21.1%</w:t>
            </w:r>
          </w:p>
        </w:tc>
      </w:tr>
      <w:tr w:rsidR="004577E5" w:rsidRPr="004577E5" w14:paraId="28E06618" w14:textId="77777777" w:rsidTr="00E57050">
        <w:tc>
          <w:tcPr>
            <w:tcW w:w="2157" w:type="dxa"/>
          </w:tcPr>
          <w:p w14:paraId="35195391" w14:textId="65416AF8" w:rsidR="004577E5" w:rsidRPr="004577E5" w:rsidRDefault="004577E5" w:rsidP="004577E5">
            <w:pPr>
              <w:rPr>
                <w:sz w:val="22"/>
                <w:szCs w:val="22"/>
              </w:rPr>
            </w:pPr>
            <w:r>
              <w:rPr>
                <w:rFonts w:cs="Calibri"/>
                <w:color w:val="000000"/>
                <w:sz w:val="22"/>
                <w:szCs w:val="22"/>
                <w:lang w:val="ga"/>
              </w:rPr>
              <w:t>Spórt Éireann</w:t>
            </w:r>
          </w:p>
        </w:tc>
        <w:tc>
          <w:tcPr>
            <w:tcW w:w="0" w:type="auto"/>
          </w:tcPr>
          <w:p w14:paraId="27A7A33D" w14:textId="495874AB" w:rsidR="004577E5" w:rsidRPr="004577E5" w:rsidRDefault="004577E5" w:rsidP="004577E5">
            <w:pPr>
              <w:jc w:val="right"/>
              <w:rPr>
                <w:sz w:val="22"/>
                <w:szCs w:val="22"/>
              </w:rPr>
            </w:pPr>
            <w:r>
              <w:rPr>
                <w:rFonts w:cs="Calibri"/>
                <w:color w:val="000000"/>
                <w:sz w:val="22"/>
                <w:szCs w:val="22"/>
                <w:lang w:val="ga"/>
              </w:rPr>
              <w:t>54</w:t>
            </w:r>
          </w:p>
        </w:tc>
        <w:tc>
          <w:tcPr>
            <w:tcW w:w="0" w:type="auto"/>
          </w:tcPr>
          <w:p w14:paraId="652E3286" w14:textId="20FBD83A" w:rsidR="004577E5" w:rsidRPr="004577E5" w:rsidRDefault="004577E5" w:rsidP="004577E5">
            <w:pPr>
              <w:jc w:val="right"/>
              <w:rPr>
                <w:sz w:val="22"/>
                <w:szCs w:val="22"/>
              </w:rPr>
            </w:pPr>
            <w:r>
              <w:rPr>
                <w:rFonts w:cs="Calibri"/>
                <w:color w:val="000000"/>
                <w:sz w:val="22"/>
                <w:szCs w:val="22"/>
                <w:lang w:val="ga"/>
              </w:rPr>
              <w:t>2</w:t>
            </w:r>
          </w:p>
        </w:tc>
        <w:tc>
          <w:tcPr>
            <w:tcW w:w="0" w:type="auto"/>
          </w:tcPr>
          <w:p w14:paraId="385536F1" w14:textId="1E2F934A" w:rsidR="004577E5" w:rsidRPr="004577E5" w:rsidRDefault="004577E5" w:rsidP="004577E5">
            <w:pPr>
              <w:jc w:val="right"/>
              <w:rPr>
                <w:sz w:val="22"/>
                <w:szCs w:val="22"/>
              </w:rPr>
            </w:pPr>
            <w:r>
              <w:rPr>
                <w:rFonts w:cs="Calibri"/>
                <w:color w:val="000000"/>
                <w:sz w:val="22"/>
                <w:szCs w:val="22"/>
                <w:lang w:val="ga"/>
              </w:rPr>
              <w:t>3.7%</w:t>
            </w:r>
          </w:p>
        </w:tc>
        <w:tc>
          <w:tcPr>
            <w:tcW w:w="0" w:type="auto"/>
          </w:tcPr>
          <w:p w14:paraId="3829837C" w14:textId="70A2F56D" w:rsidR="004577E5" w:rsidRPr="004577E5" w:rsidRDefault="004577E5" w:rsidP="004577E5">
            <w:pPr>
              <w:jc w:val="right"/>
              <w:rPr>
                <w:sz w:val="22"/>
                <w:szCs w:val="22"/>
              </w:rPr>
            </w:pPr>
            <w:r>
              <w:rPr>
                <w:rFonts w:cs="Calibri"/>
                <w:color w:val="000000"/>
                <w:sz w:val="22"/>
                <w:szCs w:val="22"/>
                <w:lang w:val="ga"/>
              </w:rPr>
              <w:t>54</w:t>
            </w:r>
          </w:p>
        </w:tc>
        <w:tc>
          <w:tcPr>
            <w:tcW w:w="0" w:type="auto"/>
          </w:tcPr>
          <w:p w14:paraId="2BA5EDE9" w14:textId="14C1671B" w:rsidR="004577E5" w:rsidRPr="004577E5" w:rsidRDefault="004577E5" w:rsidP="004577E5">
            <w:pPr>
              <w:jc w:val="right"/>
              <w:rPr>
                <w:sz w:val="22"/>
                <w:szCs w:val="22"/>
              </w:rPr>
            </w:pPr>
            <w:r>
              <w:rPr>
                <w:rFonts w:cs="Calibri"/>
                <w:color w:val="000000"/>
                <w:sz w:val="22"/>
                <w:szCs w:val="22"/>
                <w:lang w:val="ga"/>
              </w:rPr>
              <w:t>2</w:t>
            </w:r>
          </w:p>
        </w:tc>
        <w:tc>
          <w:tcPr>
            <w:tcW w:w="2716" w:type="dxa"/>
          </w:tcPr>
          <w:p w14:paraId="17A4D086" w14:textId="1C013E3C" w:rsidR="004577E5" w:rsidRPr="004577E5" w:rsidRDefault="004577E5" w:rsidP="004577E5">
            <w:pPr>
              <w:jc w:val="right"/>
              <w:rPr>
                <w:sz w:val="22"/>
                <w:szCs w:val="22"/>
              </w:rPr>
            </w:pPr>
            <w:r>
              <w:rPr>
                <w:rFonts w:cs="Calibri"/>
                <w:color w:val="000000"/>
                <w:sz w:val="22"/>
                <w:szCs w:val="22"/>
                <w:lang w:val="ga"/>
              </w:rPr>
              <w:t>3.7%</w:t>
            </w:r>
          </w:p>
        </w:tc>
      </w:tr>
      <w:tr w:rsidR="004577E5" w:rsidRPr="004577E5" w14:paraId="2111FAE9" w14:textId="77777777" w:rsidTr="00E57050">
        <w:tc>
          <w:tcPr>
            <w:tcW w:w="2157" w:type="dxa"/>
          </w:tcPr>
          <w:p w14:paraId="24C156FE" w14:textId="4F627A55" w:rsidR="004577E5" w:rsidRPr="004577E5" w:rsidRDefault="004577E5" w:rsidP="004577E5">
            <w:pPr>
              <w:rPr>
                <w:sz w:val="22"/>
                <w:szCs w:val="22"/>
              </w:rPr>
            </w:pPr>
            <w:r>
              <w:rPr>
                <w:rFonts w:cs="Calibri"/>
                <w:color w:val="000000"/>
                <w:sz w:val="22"/>
                <w:szCs w:val="22"/>
                <w:lang w:val="ga"/>
              </w:rPr>
              <w:t>TG4</w:t>
            </w:r>
          </w:p>
        </w:tc>
        <w:tc>
          <w:tcPr>
            <w:tcW w:w="0" w:type="auto"/>
          </w:tcPr>
          <w:p w14:paraId="283311A3" w14:textId="7AECE478" w:rsidR="004577E5" w:rsidRPr="004577E5" w:rsidRDefault="004577E5" w:rsidP="004577E5">
            <w:pPr>
              <w:jc w:val="right"/>
              <w:rPr>
                <w:sz w:val="22"/>
                <w:szCs w:val="22"/>
              </w:rPr>
            </w:pPr>
            <w:r>
              <w:rPr>
                <w:rFonts w:cs="Calibri"/>
                <w:color w:val="000000"/>
                <w:sz w:val="22"/>
                <w:szCs w:val="22"/>
                <w:lang w:val="ga"/>
              </w:rPr>
              <w:t>95</w:t>
            </w:r>
          </w:p>
        </w:tc>
        <w:tc>
          <w:tcPr>
            <w:tcW w:w="0" w:type="auto"/>
          </w:tcPr>
          <w:p w14:paraId="4A387002" w14:textId="12E4D827" w:rsidR="004577E5" w:rsidRPr="004577E5" w:rsidRDefault="004577E5" w:rsidP="004577E5">
            <w:pPr>
              <w:jc w:val="right"/>
              <w:rPr>
                <w:sz w:val="22"/>
                <w:szCs w:val="22"/>
              </w:rPr>
            </w:pPr>
            <w:r>
              <w:rPr>
                <w:rFonts w:cs="Calibri"/>
                <w:color w:val="000000"/>
                <w:sz w:val="22"/>
                <w:szCs w:val="22"/>
                <w:lang w:val="ga"/>
              </w:rPr>
              <w:t>6</w:t>
            </w:r>
          </w:p>
        </w:tc>
        <w:tc>
          <w:tcPr>
            <w:tcW w:w="0" w:type="auto"/>
          </w:tcPr>
          <w:p w14:paraId="722DD5BD" w14:textId="2413D252" w:rsidR="004577E5" w:rsidRPr="004577E5" w:rsidRDefault="004577E5" w:rsidP="004577E5">
            <w:pPr>
              <w:jc w:val="right"/>
              <w:rPr>
                <w:sz w:val="22"/>
                <w:szCs w:val="22"/>
              </w:rPr>
            </w:pPr>
            <w:r>
              <w:rPr>
                <w:rFonts w:cs="Calibri"/>
                <w:color w:val="000000"/>
                <w:sz w:val="22"/>
                <w:szCs w:val="22"/>
                <w:lang w:val="ga"/>
              </w:rPr>
              <w:t>6.3%</w:t>
            </w:r>
          </w:p>
        </w:tc>
        <w:tc>
          <w:tcPr>
            <w:tcW w:w="0" w:type="auto"/>
          </w:tcPr>
          <w:p w14:paraId="636DABC5" w14:textId="36AE38E8" w:rsidR="004577E5" w:rsidRPr="004577E5" w:rsidRDefault="004577E5" w:rsidP="004577E5">
            <w:pPr>
              <w:jc w:val="right"/>
              <w:rPr>
                <w:sz w:val="22"/>
                <w:szCs w:val="22"/>
              </w:rPr>
            </w:pPr>
            <w:r>
              <w:rPr>
                <w:rFonts w:cs="Calibri"/>
                <w:color w:val="000000"/>
                <w:sz w:val="22"/>
                <w:szCs w:val="22"/>
                <w:lang w:val="ga"/>
              </w:rPr>
              <w:t>108</w:t>
            </w:r>
          </w:p>
        </w:tc>
        <w:tc>
          <w:tcPr>
            <w:tcW w:w="0" w:type="auto"/>
          </w:tcPr>
          <w:p w14:paraId="01638501" w14:textId="5A9D4016" w:rsidR="004577E5" w:rsidRPr="004577E5" w:rsidRDefault="004577E5" w:rsidP="004577E5">
            <w:pPr>
              <w:jc w:val="right"/>
              <w:rPr>
                <w:sz w:val="22"/>
                <w:szCs w:val="22"/>
              </w:rPr>
            </w:pPr>
            <w:r>
              <w:rPr>
                <w:rFonts w:cs="Calibri"/>
                <w:color w:val="000000"/>
                <w:sz w:val="22"/>
                <w:szCs w:val="22"/>
                <w:lang w:val="ga"/>
              </w:rPr>
              <w:t>7</w:t>
            </w:r>
          </w:p>
        </w:tc>
        <w:tc>
          <w:tcPr>
            <w:tcW w:w="2716" w:type="dxa"/>
          </w:tcPr>
          <w:p w14:paraId="61F22212" w14:textId="76BD49B4" w:rsidR="004577E5" w:rsidRPr="004577E5" w:rsidRDefault="004577E5" w:rsidP="004577E5">
            <w:pPr>
              <w:jc w:val="right"/>
              <w:rPr>
                <w:sz w:val="22"/>
                <w:szCs w:val="22"/>
              </w:rPr>
            </w:pPr>
            <w:r>
              <w:rPr>
                <w:rFonts w:cs="Calibri"/>
                <w:color w:val="000000"/>
                <w:sz w:val="22"/>
                <w:szCs w:val="22"/>
                <w:lang w:val="ga"/>
              </w:rPr>
              <w:t>6.5%</w:t>
            </w:r>
          </w:p>
        </w:tc>
      </w:tr>
      <w:tr w:rsidR="004577E5" w:rsidRPr="004577E5" w14:paraId="558B936A" w14:textId="77777777" w:rsidTr="00E57050">
        <w:tc>
          <w:tcPr>
            <w:tcW w:w="2157" w:type="dxa"/>
          </w:tcPr>
          <w:p w14:paraId="47DE6AFC" w14:textId="51070AE4" w:rsidR="004577E5" w:rsidRPr="004577E5" w:rsidRDefault="004577E5" w:rsidP="004577E5">
            <w:pPr>
              <w:rPr>
                <w:sz w:val="22"/>
                <w:szCs w:val="22"/>
              </w:rPr>
            </w:pPr>
            <w:r>
              <w:rPr>
                <w:rFonts w:cs="Calibri"/>
                <w:color w:val="000000"/>
                <w:sz w:val="22"/>
                <w:szCs w:val="22"/>
                <w:lang w:val="ga"/>
              </w:rPr>
              <w:t>Turasóireacht Éireann</w:t>
            </w:r>
          </w:p>
        </w:tc>
        <w:tc>
          <w:tcPr>
            <w:tcW w:w="0" w:type="auto"/>
          </w:tcPr>
          <w:p w14:paraId="3ABB247B" w14:textId="4EEDAF5F" w:rsidR="004577E5" w:rsidRPr="004577E5" w:rsidRDefault="004577E5" w:rsidP="004577E5">
            <w:pPr>
              <w:jc w:val="right"/>
              <w:rPr>
                <w:sz w:val="22"/>
                <w:szCs w:val="22"/>
              </w:rPr>
            </w:pPr>
            <w:r>
              <w:rPr>
                <w:rFonts w:cs="Calibri"/>
                <w:color w:val="000000"/>
                <w:sz w:val="22"/>
                <w:szCs w:val="22"/>
                <w:lang w:val="ga"/>
              </w:rPr>
              <w:t>164</w:t>
            </w:r>
          </w:p>
        </w:tc>
        <w:tc>
          <w:tcPr>
            <w:tcW w:w="0" w:type="auto"/>
          </w:tcPr>
          <w:p w14:paraId="387361D8" w14:textId="7D686EF7" w:rsidR="004577E5" w:rsidRPr="004577E5" w:rsidRDefault="004577E5" w:rsidP="004577E5">
            <w:pPr>
              <w:jc w:val="right"/>
              <w:rPr>
                <w:sz w:val="22"/>
                <w:szCs w:val="22"/>
              </w:rPr>
            </w:pPr>
            <w:r>
              <w:rPr>
                <w:rFonts w:cs="Calibri"/>
                <w:color w:val="000000"/>
                <w:sz w:val="22"/>
                <w:szCs w:val="22"/>
                <w:lang w:val="ga"/>
              </w:rPr>
              <w:t>13</w:t>
            </w:r>
          </w:p>
        </w:tc>
        <w:tc>
          <w:tcPr>
            <w:tcW w:w="0" w:type="auto"/>
          </w:tcPr>
          <w:p w14:paraId="3D7D692B" w14:textId="0CF08155" w:rsidR="004577E5" w:rsidRPr="004577E5" w:rsidRDefault="004577E5" w:rsidP="004577E5">
            <w:pPr>
              <w:jc w:val="right"/>
              <w:rPr>
                <w:sz w:val="22"/>
                <w:szCs w:val="22"/>
              </w:rPr>
            </w:pPr>
            <w:r>
              <w:rPr>
                <w:rFonts w:cs="Calibri"/>
                <w:color w:val="000000"/>
                <w:sz w:val="22"/>
                <w:szCs w:val="22"/>
                <w:lang w:val="ga"/>
              </w:rPr>
              <w:t>7.9%</w:t>
            </w:r>
          </w:p>
        </w:tc>
        <w:tc>
          <w:tcPr>
            <w:tcW w:w="0" w:type="auto"/>
          </w:tcPr>
          <w:p w14:paraId="0F387E53" w14:textId="54C9DBBF" w:rsidR="004577E5" w:rsidRPr="004577E5" w:rsidRDefault="004577E5" w:rsidP="004577E5">
            <w:pPr>
              <w:jc w:val="right"/>
              <w:rPr>
                <w:sz w:val="22"/>
                <w:szCs w:val="22"/>
              </w:rPr>
            </w:pPr>
            <w:r>
              <w:rPr>
                <w:rFonts w:cs="Calibri"/>
                <w:color w:val="000000"/>
                <w:sz w:val="22"/>
                <w:szCs w:val="22"/>
                <w:lang w:val="ga"/>
              </w:rPr>
              <w:t>165</w:t>
            </w:r>
          </w:p>
        </w:tc>
        <w:tc>
          <w:tcPr>
            <w:tcW w:w="0" w:type="auto"/>
          </w:tcPr>
          <w:p w14:paraId="0552F89E" w14:textId="5DB07E8E" w:rsidR="004577E5" w:rsidRPr="004577E5" w:rsidRDefault="004577E5" w:rsidP="004577E5">
            <w:pPr>
              <w:jc w:val="right"/>
              <w:rPr>
                <w:sz w:val="22"/>
                <w:szCs w:val="22"/>
              </w:rPr>
            </w:pPr>
            <w:r>
              <w:rPr>
                <w:rFonts w:cs="Calibri"/>
                <w:color w:val="000000"/>
                <w:sz w:val="22"/>
                <w:szCs w:val="22"/>
                <w:lang w:val="ga"/>
              </w:rPr>
              <w:t>18</w:t>
            </w:r>
          </w:p>
        </w:tc>
        <w:tc>
          <w:tcPr>
            <w:tcW w:w="2716" w:type="dxa"/>
          </w:tcPr>
          <w:p w14:paraId="5B187D4B" w14:textId="56C16A49" w:rsidR="004577E5" w:rsidRPr="004577E5" w:rsidRDefault="004577E5" w:rsidP="004577E5">
            <w:pPr>
              <w:jc w:val="right"/>
              <w:rPr>
                <w:sz w:val="22"/>
                <w:szCs w:val="22"/>
              </w:rPr>
            </w:pPr>
            <w:r>
              <w:rPr>
                <w:rFonts w:cs="Calibri"/>
                <w:color w:val="000000"/>
                <w:sz w:val="22"/>
                <w:szCs w:val="22"/>
                <w:lang w:val="ga"/>
              </w:rPr>
              <w:t>10.9%</w:t>
            </w:r>
          </w:p>
        </w:tc>
      </w:tr>
      <w:tr w:rsidR="004577E5" w:rsidRPr="004577E5" w14:paraId="3936D5E0" w14:textId="77777777" w:rsidTr="00E57050">
        <w:tc>
          <w:tcPr>
            <w:tcW w:w="2157" w:type="dxa"/>
          </w:tcPr>
          <w:p w14:paraId="71064BD6" w14:textId="3D11FBEA" w:rsidR="004577E5" w:rsidRPr="004577E5" w:rsidRDefault="004577E5" w:rsidP="004577E5">
            <w:pPr>
              <w:rPr>
                <w:sz w:val="22"/>
                <w:szCs w:val="22"/>
              </w:rPr>
            </w:pPr>
            <w:r>
              <w:rPr>
                <w:rFonts w:cs="Calibri"/>
                <w:color w:val="000000"/>
                <w:sz w:val="22"/>
                <w:szCs w:val="22"/>
                <w:lang w:val="ga"/>
              </w:rPr>
              <w:t>Údarás na Gaeltachta</w:t>
            </w:r>
          </w:p>
        </w:tc>
        <w:tc>
          <w:tcPr>
            <w:tcW w:w="0" w:type="auto"/>
          </w:tcPr>
          <w:p w14:paraId="19985272" w14:textId="2F472209" w:rsidR="004577E5" w:rsidRPr="004577E5" w:rsidRDefault="004577E5" w:rsidP="004577E5">
            <w:pPr>
              <w:jc w:val="right"/>
              <w:rPr>
                <w:sz w:val="22"/>
                <w:szCs w:val="22"/>
              </w:rPr>
            </w:pPr>
            <w:r>
              <w:rPr>
                <w:rFonts w:cs="Calibri"/>
                <w:color w:val="000000"/>
                <w:sz w:val="22"/>
                <w:szCs w:val="22"/>
                <w:lang w:val="ga"/>
              </w:rPr>
              <w:t>87</w:t>
            </w:r>
          </w:p>
        </w:tc>
        <w:tc>
          <w:tcPr>
            <w:tcW w:w="0" w:type="auto"/>
          </w:tcPr>
          <w:p w14:paraId="039FA314" w14:textId="0AE7B20C" w:rsidR="004577E5" w:rsidRPr="004577E5" w:rsidRDefault="004577E5" w:rsidP="004577E5">
            <w:pPr>
              <w:jc w:val="right"/>
              <w:rPr>
                <w:sz w:val="22"/>
                <w:szCs w:val="22"/>
              </w:rPr>
            </w:pPr>
            <w:r>
              <w:rPr>
                <w:rFonts w:cs="Calibri"/>
                <w:color w:val="000000"/>
                <w:sz w:val="22"/>
                <w:szCs w:val="22"/>
                <w:lang w:val="ga"/>
              </w:rPr>
              <w:t>5</w:t>
            </w:r>
          </w:p>
        </w:tc>
        <w:tc>
          <w:tcPr>
            <w:tcW w:w="0" w:type="auto"/>
          </w:tcPr>
          <w:p w14:paraId="1E3FEA91" w14:textId="05154C18" w:rsidR="004577E5" w:rsidRPr="004577E5" w:rsidRDefault="004577E5" w:rsidP="004577E5">
            <w:pPr>
              <w:jc w:val="right"/>
              <w:rPr>
                <w:sz w:val="22"/>
                <w:szCs w:val="22"/>
              </w:rPr>
            </w:pPr>
            <w:r>
              <w:rPr>
                <w:rFonts w:cs="Calibri"/>
                <w:color w:val="000000"/>
                <w:sz w:val="22"/>
                <w:szCs w:val="22"/>
                <w:lang w:val="ga"/>
              </w:rPr>
              <w:t>5.7%</w:t>
            </w:r>
          </w:p>
        </w:tc>
        <w:tc>
          <w:tcPr>
            <w:tcW w:w="0" w:type="auto"/>
          </w:tcPr>
          <w:p w14:paraId="15168E47" w14:textId="5F000274" w:rsidR="004577E5" w:rsidRPr="004577E5" w:rsidRDefault="004577E5" w:rsidP="004577E5">
            <w:pPr>
              <w:jc w:val="right"/>
              <w:rPr>
                <w:sz w:val="22"/>
                <w:szCs w:val="22"/>
              </w:rPr>
            </w:pPr>
            <w:r>
              <w:rPr>
                <w:rFonts w:cs="Calibri"/>
                <w:color w:val="000000"/>
                <w:sz w:val="22"/>
                <w:szCs w:val="22"/>
                <w:lang w:val="ga"/>
              </w:rPr>
              <w:t>98</w:t>
            </w:r>
          </w:p>
        </w:tc>
        <w:tc>
          <w:tcPr>
            <w:tcW w:w="0" w:type="auto"/>
          </w:tcPr>
          <w:p w14:paraId="1D5CE5DA" w14:textId="56F4035F" w:rsidR="004577E5" w:rsidRPr="004577E5" w:rsidRDefault="004577E5" w:rsidP="004577E5">
            <w:pPr>
              <w:jc w:val="right"/>
              <w:rPr>
                <w:sz w:val="22"/>
                <w:szCs w:val="22"/>
              </w:rPr>
            </w:pPr>
            <w:r>
              <w:rPr>
                <w:rFonts w:cs="Calibri"/>
                <w:color w:val="000000"/>
                <w:sz w:val="22"/>
                <w:szCs w:val="22"/>
                <w:lang w:val="ga"/>
              </w:rPr>
              <w:t>4</w:t>
            </w:r>
          </w:p>
        </w:tc>
        <w:tc>
          <w:tcPr>
            <w:tcW w:w="2716" w:type="dxa"/>
          </w:tcPr>
          <w:p w14:paraId="0FEAAE8B" w14:textId="551761F0" w:rsidR="004577E5" w:rsidRPr="004577E5" w:rsidRDefault="004577E5" w:rsidP="004577E5">
            <w:pPr>
              <w:jc w:val="right"/>
              <w:rPr>
                <w:sz w:val="22"/>
                <w:szCs w:val="22"/>
              </w:rPr>
            </w:pPr>
            <w:r>
              <w:rPr>
                <w:rFonts w:cs="Calibri"/>
                <w:color w:val="000000"/>
                <w:sz w:val="22"/>
                <w:szCs w:val="22"/>
                <w:lang w:val="ga"/>
              </w:rPr>
              <w:t>4.1%</w:t>
            </w:r>
          </w:p>
        </w:tc>
      </w:tr>
      <w:tr w:rsidR="004577E5" w:rsidRPr="004577E5" w14:paraId="11F46154" w14:textId="77777777" w:rsidTr="00E57050">
        <w:tc>
          <w:tcPr>
            <w:tcW w:w="2157" w:type="dxa"/>
          </w:tcPr>
          <w:p w14:paraId="1EC0166D" w14:textId="15657B07" w:rsidR="004577E5" w:rsidRPr="004577E5" w:rsidRDefault="004577E5" w:rsidP="004577E5">
            <w:pPr>
              <w:rPr>
                <w:sz w:val="22"/>
                <w:szCs w:val="22"/>
              </w:rPr>
            </w:pPr>
            <w:r>
              <w:rPr>
                <w:rFonts w:cs="Calibri"/>
                <w:color w:val="000000"/>
                <w:sz w:val="22"/>
                <w:szCs w:val="22"/>
                <w:lang w:val="ga"/>
              </w:rPr>
              <w:t>Gníomhaireacht na hUltaise</w:t>
            </w:r>
          </w:p>
        </w:tc>
        <w:tc>
          <w:tcPr>
            <w:tcW w:w="0" w:type="auto"/>
          </w:tcPr>
          <w:p w14:paraId="4A292259" w14:textId="48C8B90E" w:rsidR="004577E5" w:rsidRPr="004577E5" w:rsidRDefault="004577E5" w:rsidP="004577E5">
            <w:pPr>
              <w:jc w:val="right"/>
              <w:rPr>
                <w:sz w:val="22"/>
                <w:szCs w:val="22"/>
              </w:rPr>
            </w:pPr>
            <w:r>
              <w:rPr>
                <w:rFonts w:cs="Calibri"/>
                <w:color w:val="000000"/>
                <w:sz w:val="22"/>
                <w:szCs w:val="22"/>
                <w:lang w:val="ga"/>
              </w:rPr>
              <w:t>12</w:t>
            </w:r>
          </w:p>
        </w:tc>
        <w:tc>
          <w:tcPr>
            <w:tcW w:w="0" w:type="auto"/>
          </w:tcPr>
          <w:p w14:paraId="27178680" w14:textId="072564D7" w:rsidR="004577E5" w:rsidRPr="004577E5" w:rsidRDefault="004577E5" w:rsidP="004577E5">
            <w:pPr>
              <w:jc w:val="right"/>
              <w:rPr>
                <w:sz w:val="22"/>
                <w:szCs w:val="22"/>
              </w:rPr>
            </w:pPr>
            <w:r>
              <w:rPr>
                <w:rFonts w:cs="Calibri"/>
                <w:color w:val="000000"/>
                <w:sz w:val="22"/>
                <w:szCs w:val="22"/>
                <w:lang w:val="ga"/>
              </w:rPr>
              <w:t>1</w:t>
            </w:r>
          </w:p>
        </w:tc>
        <w:tc>
          <w:tcPr>
            <w:tcW w:w="0" w:type="auto"/>
          </w:tcPr>
          <w:p w14:paraId="4C8FB1FE" w14:textId="7749D706" w:rsidR="004577E5" w:rsidRPr="004577E5" w:rsidRDefault="004577E5" w:rsidP="004577E5">
            <w:pPr>
              <w:jc w:val="right"/>
              <w:rPr>
                <w:sz w:val="22"/>
                <w:szCs w:val="22"/>
              </w:rPr>
            </w:pPr>
            <w:r>
              <w:rPr>
                <w:rFonts w:cs="Calibri"/>
                <w:color w:val="000000"/>
                <w:sz w:val="22"/>
                <w:szCs w:val="22"/>
                <w:lang w:val="ga"/>
              </w:rPr>
              <w:t>8.3%</w:t>
            </w:r>
          </w:p>
        </w:tc>
        <w:tc>
          <w:tcPr>
            <w:tcW w:w="0" w:type="auto"/>
          </w:tcPr>
          <w:p w14:paraId="3FAC40C7" w14:textId="1E6B14B4" w:rsidR="004577E5" w:rsidRPr="004577E5" w:rsidRDefault="004577E5" w:rsidP="004577E5">
            <w:pPr>
              <w:jc w:val="right"/>
              <w:rPr>
                <w:sz w:val="22"/>
                <w:szCs w:val="22"/>
              </w:rPr>
            </w:pPr>
            <w:r>
              <w:rPr>
                <w:rFonts w:cs="Calibri"/>
                <w:color w:val="000000"/>
                <w:sz w:val="22"/>
                <w:szCs w:val="22"/>
                <w:lang w:val="ga"/>
              </w:rPr>
              <w:t>13</w:t>
            </w:r>
          </w:p>
        </w:tc>
        <w:tc>
          <w:tcPr>
            <w:tcW w:w="0" w:type="auto"/>
          </w:tcPr>
          <w:p w14:paraId="4E3DF486" w14:textId="6A324207" w:rsidR="004577E5" w:rsidRPr="004577E5" w:rsidRDefault="004577E5" w:rsidP="004577E5">
            <w:pPr>
              <w:jc w:val="right"/>
              <w:rPr>
                <w:sz w:val="22"/>
                <w:szCs w:val="22"/>
              </w:rPr>
            </w:pPr>
            <w:r>
              <w:rPr>
                <w:rFonts w:cs="Calibri"/>
                <w:color w:val="000000"/>
                <w:sz w:val="22"/>
                <w:szCs w:val="22"/>
                <w:lang w:val="ga"/>
              </w:rPr>
              <w:t>4</w:t>
            </w:r>
          </w:p>
        </w:tc>
        <w:tc>
          <w:tcPr>
            <w:tcW w:w="2716" w:type="dxa"/>
          </w:tcPr>
          <w:p w14:paraId="39DA978A" w14:textId="7D1511D8" w:rsidR="004577E5" w:rsidRPr="004577E5" w:rsidRDefault="004577E5" w:rsidP="004577E5">
            <w:pPr>
              <w:jc w:val="right"/>
              <w:rPr>
                <w:sz w:val="22"/>
                <w:szCs w:val="22"/>
              </w:rPr>
            </w:pPr>
            <w:r>
              <w:rPr>
                <w:rFonts w:cs="Calibri"/>
                <w:color w:val="000000"/>
                <w:sz w:val="22"/>
                <w:szCs w:val="22"/>
                <w:lang w:val="ga"/>
              </w:rPr>
              <w:t>30.8%</w:t>
            </w:r>
          </w:p>
        </w:tc>
      </w:tr>
      <w:tr w:rsidR="004577E5" w:rsidRPr="004577E5" w14:paraId="7870CA38" w14:textId="77777777" w:rsidTr="00E57050">
        <w:trPr>
          <w:trHeight w:val="455"/>
        </w:trPr>
        <w:tc>
          <w:tcPr>
            <w:tcW w:w="2157" w:type="dxa"/>
          </w:tcPr>
          <w:p w14:paraId="710D63F5" w14:textId="4FE5CBBD" w:rsidR="004577E5" w:rsidRPr="004577E5" w:rsidRDefault="004577E5" w:rsidP="004577E5">
            <w:pPr>
              <w:spacing w:after="0"/>
              <w:rPr>
                <w:sz w:val="22"/>
                <w:szCs w:val="22"/>
              </w:rPr>
            </w:pPr>
            <w:r>
              <w:rPr>
                <w:b/>
                <w:bCs/>
                <w:sz w:val="22"/>
                <w:szCs w:val="22"/>
                <w:lang w:val="ga"/>
              </w:rPr>
              <w:t>Mór-Iomlán</w:t>
            </w:r>
          </w:p>
        </w:tc>
        <w:tc>
          <w:tcPr>
            <w:tcW w:w="0" w:type="auto"/>
          </w:tcPr>
          <w:p w14:paraId="13E16B49" w14:textId="77777777" w:rsidR="004577E5" w:rsidRPr="004577E5" w:rsidRDefault="004577E5" w:rsidP="004577E5">
            <w:pPr>
              <w:spacing w:after="0"/>
              <w:jc w:val="right"/>
              <w:rPr>
                <w:rFonts w:cs="Calibri"/>
                <w:b/>
                <w:bCs/>
                <w:color w:val="000000"/>
                <w:sz w:val="22"/>
                <w:szCs w:val="22"/>
              </w:rPr>
            </w:pPr>
            <w:r>
              <w:rPr>
                <w:rFonts w:cs="Calibri"/>
                <w:b/>
                <w:bCs/>
                <w:color w:val="000000"/>
                <w:sz w:val="22"/>
                <w:szCs w:val="22"/>
                <w:lang w:val="ga"/>
              </w:rPr>
              <w:t>3,609</w:t>
            </w:r>
          </w:p>
          <w:p w14:paraId="29C0A30B" w14:textId="66CAF9E3" w:rsidR="004577E5" w:rsidRPr="004577E5" w:rsidRDefault="004577E5" w:rsidP="004577E5">
            <w:pPr>
              <w:spacing w:after="0"/>
              <w:jc w:val="right"/>
              <w:rPr>
                <w:b/>
                <w:sz w:val="22"/>
                <w:szCs w:val="22"/>
              </w:rPr>
            </w:pPr>
          </w:p>
        </w:tc>
        <w:tc>
          <w:tcPr>
            <w:tcW w:w="0" w:type="auto"/>
          </w:tcPr>
          <w:p w14:paraId="49DD7FA0" w14:textId="77777777" w:rsidR="004577E5" w:rsidRPr="004577E5" w:rsidRDefault="004577E5" w:rsidP="004577E5">
            <w:pPr>
              <w:spacing w:after="0"/>
              <w:jc w:val="right"/>
              <w:rPr>
                <w:rFonts w:cs="Calibri"/>
                <w:b/>
                <w:bCs/>
                <w:color w:val="000000"/>
                <w:sz w:val="22"/>
                <w:szCs w:val="22"/>
              </w:rPr>
            </w:pPr>
            <w:r>
              <w:rPr>
                <w:rFonts w:cs="Calibri"/>
                <w:b/>
                <w:bCs/>
                <w:color w:val="000000"/>
                <w:sz w:val="22"/>
                <w:szCs w:val="22"/>
                <w:lang w:val="ga"/>
              </w:rPr>
              <w:t>227</w:t>
            </w:r>
          </w:p>
          <w:p w14:paraId="5E3BAC58" w14:textId="78E2EA45" w:rsidR="004577E5" w:rsidRPr="004577E5" w:rsidRDefault="004577E5" w:rsidP="004577E5">
            <w:pPr>
              <w:spacing w:after="0"/>
              <w:jc w:val="right"/>
              <w:rPr>
                <w:b/>
                <w:sz w:val="22"/>
                <w:szCs w:val="22"/>
              </w:rPr>
            </w:pPr>
          </w:p>
        </w:tc>
        <w:tc>
          <w:tcPr>
            <w:tcW w:w="0" w:type="auto"/>
          </w:tcPr>
          <w:p w14:paraId="324F9385" w14:textId="33570D03" w:rsidR="004577E5" w:rsidRPr="004577E5" w:rsidRDefault="004577E5" w:rsidP="004577E5">
            <w:pPr>
              <w:spacing w:after="0"/>
              <w:jc w:val="right"/>
              <w:rPr>
                <w:b/>
                <w:sz w:val="22"/>
                <w:szCs w:val="22"/>
              </w:rPr>
            </w:pPr>
            <w:r>
              <w:rPr>
                <w:b/>
                <w:bCs/>
                <w:sz w:val="22"/>
                <w:szCs w:val="22"/>
                <w:lang w:val="ga"/>
              </w:rPr>
              <w:t>6.3%</w:t>
            </w:r>
          </w:p>
        </w:tc>
        <w:tc>
          <w:tcPr>
            <w:tcW w:w="0" w:type="auto"/>
          </w:tcPr>
          <w:p w14:paraId="080C9BE3" w14:textId="77777777" w:rsidR="004577E5" w:rsidRDefault="004577E5" w:rsidP="004577E5">
            <w:pPr>
              <w:spacing w:after="0"/>
              <w:jc w:val="right"/>
              <w:rPr>
                <w:rFonts w:cs="Calibri"/>
                <w:b/>
                <w:bCs/>
                <w:color w:val="000000"/>
                <w:sz w:val="22"/>
                <w:szCs w:val="22"/>
              </w:rPr>
            </w:pPr>
            <w:r>
              <w:rPr>
                <w:rFonts w:cs="Calibri"/>
                <w:b/>
                <w:bCs/>
                <w:color w:val="000000"/>
                <w:sz w:val="22"/>
                <w:szCs w:val="22"/>
                <w:lang w:val="ga"/>
              </w:rPr>
              <w:t>3670</w:t>
            </w:r>
          </w:p>
          <w:p w14:paraId="31DB3035" w14:textId="5B8673FE" w:rsidR="004577E5" w:rsidRPr="004577E5" w:rsidRDefault="004577E5" w:rsidP="004577E5">
            <w:pPr>
              <w:spacing w:after="0"/>
              <w:jc w:val="right"/>
              <w:rPr>
                <w:b/>
                <w:sz w:val="22"/>
                <w:szCs w:val="22"/>
              </w:rPr>
            </w:pPr>
          </w:p>
        </w:tc>
        <w:tc>
          <w:tcPr>
            <w:tcW w:w="0" w:type="auto"/>
          </w:tcPr>
          <w:p w14:paraId="3E504F9F" w14:textId="77777777" w:rsidR="004577E5" w:rsidRDefault="004577E5" w:rsidP="004577E5">
            <w:pPr>
              <w:spacing w:after="0"/>
              <w:jc w:val="right"/>
              <w:rPr>
                <w:rFonts w:cs="Calibri"/>
                <w:b/>
                <w:bCs/>
                <w:color w:val="000000"/>
                <w:sz w:val="22"/>
                <w:szCs w:val="22"/>
              </w:rPr>
            </w:pPr>
            <w:r>
              <w:rPr>
                <w:rFonts w:cs="Calibri"/>
                <w:b/>
                <w:bCs/>
                <w:color w:val="000000"/>
                <w:sz w:val="22"/>
                <w:szCs w:val="22"/>
                <w:lang w:val="ga"/>
              </w:rPr>
              <w:t>271</w:t>
            </w:r>
          </w:p>
          <w:p w14:paraId="40D52165" w14:textId="04F8E56F" w:rsidR="004577E5" w:rsidRPr="004577E5" w:rsidRDefault="004577E5" w:rsidP="004577E5">
            <w:pPr>
              <w:spacing w:after="0"/>
              <w:jc w:val="right"/>
              <w:rPr>
                <w:b/>
                <w:sz w:val="22"/>
                <w:szCs w:val="22"/>
              </w:rPr>
            </w:pPr>
          </w:p>
        </w:tc>
        <w:tc>
          <w:tcPr>
            <w:tcW w:w="2716" w:type="dxa"/>
          </w:tcPr>
          <w:p w14:paraId="2F2D016E" w14:textId="77777777" w:rsidR="004577E5" w:rsidRDefault="004577E5" w:rsidP="004577E5">
            <w:pPr>
              <w:spacing w:after="0"/>
              <w:jc w:val="right"/>
              <w:rPr>
                <w:rFonts w:cs="Calibri"/>
                <w:b/>
                <w:bCs/>
                <w:color w:val="000000"/>
                <w:sz w:val="22"/>
                <w:szCs w:val="22"/>
              </w:rPr>
            </w:pPr>
            <w:r>
              <w:rPr>
                <w:rFonts w:cs="Calibri"/>
                <w:b/>
                <w:bCs/>
                <w:color w:val="000000"/>
                <w:sz w:val="22"/>
                <w:szCs w:val="22"/>
                <w:lang w:val="ga"/>
              </w:rPr>
              <w:t>7.4%</w:t>
            </w:r>
          </w:p>
          <w:p w14:paraId="4B6EE5C0" w14:textId="5FE54FD4" w:rsidR="004577E5" w:rsidRPr="004577E5" w:rsidRDefault="004577E5" w:rsidP="004577E5">
            <w:pPr>
              <w:spacing w:after="0"/>
              <w:jc w:val="right"/>
              <w:rPr>
                <w:b/>
                <w:sz w:val="22"/>
                <w:szCs w:val="22"/>
              </w:rPr>
            </w:pPr>
          </w:p>
        </w:tc>
      </w:tr>
    </w:tbl>
    <w:p w14:paraId="72BBB24B" w14:textId="3A14A238" w:rsidR="009D42EA" w:rsidRPr="004577E5" w:rsidRDefault="009D42EA" w:rsidP="00D556A0">
      <w:pPr>
        <w:rPr>
          <w:rFonts w:cs="Arial"/>
          <w:b/>
        </w:rPr>
      </w:pPr>
    </w:p>
    <w:p w14:paraId="44A012A3" w14:textId="77777777" w:rsidR="009D42EA" w:rsidRPr="00611BF3" w:rsidRDefault="009D42EA">
      <w:pPr>
        <w:spacing w:after="0"/>
        <w:rPr>
          <w:rFonts w:cs="Arial"/>
          <w:b/>
          <w:highlight w:val="green"/>
        </w:rPr>
      </w:pPr>
      <w:r>
        <w:rPr>
          <w:rFonts w:cs="Arial"/>
          <w:b/>
          <w:bCs/>
          <w:highlight w:val="green"/>
          <w:lang w:val="ga"/>
        </w:rPr>
        <w:br w:type="page"/>
      </w:r>
    </w:p>
    <w:p w14:paraId="6501D03E" w14:textId="276D6625" w:rsidR="00D556A0" w:rsidRPr="004D53C3" w:rsidRDefault="00D556A0" w:rsidP="001624B2">
      <w:pPr>
        <w:pStyle w:val="Heading2"/>
        <w:jc w:val="center"/>
        <w:rPr>
          <w:color w:val="000000" w:themeColor="text1"/>
        </w:rPr>
      </w:pPr>
      <w:bookmarkStart w:id="86" w:name="_Toc147910100"/>
      <w:r>
        <w:rPr>
          <w:bCs/>
          <w:color w:val="000000" w:themeColor="text1"/>
          <w:lang w:val="ga"/>
        </w:rPr>
        <w:t>An Roinn Iompair</w:t>
      </w:r>
      <w:bookmarkEnd w:id="86"/>
    </w:p>
    <w:p w14:paraId="2AF451CA" w14:textId="77777777" w:rsidR="001D6F34" w:rsidRPr="004D53C3" w:rsidRDefault="001D6F34" w:rsidP="001D6F34">
      <w:pPr>
        <w:rPr>
          <w:sz w:val="6"/>
          <w:szCs w:val="6"/>
        </w:rPr>
      </w:pPr>
    </w:p>
    <w:tbl>
      <w:tblPr>
        <w:tblStyle w:val="TableGrid1"/>
        <w:tblW w:w="11057" w:type="dxa"/>
        <w:tblInd w:w="-1281" w:type="dxa"/>
        <w:tblLook w:val="0020" w:firstRow="1" w:lastRow="0" w:firstColumn="0" w:lastColumn="0" w:noHBand="0" w:noVBand="0"/>
      </w:tblPr>
      <w:tblGrid>
        <w:gridCol w:w="2015"/>
        <w:gridCol w:w="1112"/>
        <w:gridCol w:w="1408"/>
        <w:gridCol w:w="1428"/>
        <w:gridCol w:w="1112"/>
        <w:gridCol w:w="1408"/>
        <w:gridCol w:w="2574"/>
      </w:tblGrid>
      <w:tr w:rsidR="00C77EBD" w:rsidRPr="004D53C3" w14:paraId="4F00C04D" w14:textId="77777777" w:rsidTr="000A4037">
        <w:trPr>
          <w:tblHeader/>
        </w:trPr>
        <w:tc>
          <w:tcPr>
            <w:tcW w:w="2015" w:type="dxa"/>
          </w:tcPr>
          <w:p w14:paraId="54AC79F8" w14:textId="77777777" w:rsidR="00C77EBD" w:rsidRPr="004D53C3" w:rsidRDefault="00C77EBD" w:rsidP="00F11BF2">
            <w:pPr>
              <w:rPr>
                <w:b/>
                <w:sz w:val="22"/>
                <w:szCs w:val="22"/>
              </w:rPr>
            </w:pPr>
            <w:r>
              <w:rPr>
                <w:b/>
                <w:bCs/>
                <w:sz w:val="22"/>
                <w:szCs w:val="22"/>
                <w:lang w:val="ga"/>
              </w:rPr>
              <w:t>Comhlacht Poiblí</w:t>
            </w:r>
          </w:p>
        </w:tc>
        <w:tc>
          <w:tcPr>
            <w:tcW w:w="0" w:type="auto"/>
          </w:tcPr>
          <w:p w14:paraId="50BEE0E2" w14:textId="77777777" w:rsidR="001530F1" w:rsidRPr="004D53C3" w:rsidRDefault="00844749" w:rsidP="001530F1">
            <w:pPr>
              <w:spacing w:after="0"/>
              <w:rPr>
                <w:b/>
                <w:sz w:val="22"/>
                <w:szCs w:val="22"/>
              </w:rPr>
            </w:pPr>
            <w:r>
              <w:rPr>
                <w:b/>
                <w:bCs/>
                <w:sz w:val="22"/>
                <w:szCs w:val="22"/>
                <w:lang w:val="ga"/>
              </w:rPr>
              <w:t xml:space="preserve">An líon </w:t>
            </w:r>
          </w:p>
          <w:p w14:paraId="3EB7FC6B" w14:textId="77777777" w:rsidR="001530F1" w:rsidRPr="004D53C3" w:rsidRDefault="00844749" w:rsidP="001530F1">
            <w:pPr>
              <w:spacing w:after="0"/>
              <w:rPr>
                <w:b/>
                <w:sz w:val="22"/>
                <w:szCs w:val="22"/>
              </w:rPr>
            </w:pPr>
            <w:r>
              <w:rPr>
                <w:b/>
                <w:bCs/>
                <w:sz w:val="22"/>
                <w:szCs w:val="22"/>
                <w:lang w:val="ga"/>
              </w:rPr>
              <w:t xml:space="preserve">iomlán </w:t>
            </w:r>
          </w:p>
          <w:p w14:paraId="084C7C87" w14:textId="77777777" w:rsidR="001530F1" w:rsidRPr="004D53C3" w:rsidRDefault="00844749" w:rsidP="001530F1">
            <w:pPr>
              <w:spacing w:after="0"/>
              <w:rPr>
                <w:b/>
                <w:sz w:val="22"/>
                <w:szCs w:val="22"/>
              </w:rPr>
            </w:pPr>
            <w:r>
              <w:rPr>
                <w:b/>
                <w:bCs/>
                <w:sz w:val="22"/>
                <w:szCs w:val="22"/>
                <w:lang w:val="ga"/>
              </w:rPr>
              <w:t xml:space="preserve">fostaithe </w:t>
            </w:r>
          </w:p>
          <w:p w14:paraId="77D00AD6" w14:textId="6F455623" w:rsidR="00C77EBD" w:rsidRPr="004D53C3" w:rsidRDefault="00844749" w:rsidP="001530F1">
            <w:pPr>
              <w:spacing w:after="0"/>
              <w:rPr>
                <w:b/>
                <w:sz w:val="22"/>
                <w:szCs w:val="22"/>
              </w:rPr>
            </w:pPr>
            <w:r>
              <w:rPr>
                <w:b/>
                <w:bCs/>
                <w:sz w:val="22"/>
                <w:szCs w:val="22"/>
                <w:lang w:val="ga"/>
              </w:rPr>
              <w:t>2021</w:t>
            </w:r>
          </w:p>
        </w:tc>
        <w:tc>
          <w:tcPr>
            <w:tcW w:w="0" w:type="auto"/>
          </w:tcPr>
          <w:p w14:paraId="54AB7BA2" w14:textId="77777777" w:rsidR="00820A9E" w:rsidRPr="004D53C3" w:rsidRDefault="00C77EBD" w:rsidP="00820A9E">
            <w:pPr>
              <w:spacing w:after="0"/>
              <w:rPr>
                <w:b/>
                <w:sz w:val="22"/>
                <w:szCs w:val="22"/>
              </w:rPr>
            </w:pPr>
            <w:r>
              <w:rPr>
                <w:b/>
                <w:bCs/>
                <w:sz w:val="22"/>
                <w:szCs w:val="22"/>
                <w:lang w:val="ga"/>
              </w:rPr>
              <w:t xml:space="preserve">An líon fostaithe a thuairiscigh míchumas </w:t>
            </w:r>
          </w:p>
          <w:p w14:paraId="033CBB97" w14:textId="597548D9" w:rsidR="00C77EBD" w:rsidRPr="004D53C3" w:rsidRDefault="00844749" w:rsidP="00F11BF2">
            <w:pPr>
              <w:rPr>
                <w:b/>
                <w:sz w:val="22"/>
                <w:szCs w:val="22"/>
              </w:rPr>
            </w:pPr>
            <w:r>
              <w:rPr>
                <w:b/>
                <w:bCs/>
                <w:sz w:val="22"/>
                <w:szCs w:val="22"/>
                <w:lang w:val="ga"/>
              </w:rPr>
              <w:t>2021</w:t>
            </w:r>
          </w:p>
        </w:tc>
        <w:tc>
          <w:tcPr>
            <w:tcW w:w="0" w:type="auto"/>
          </w:tcPr>
          <w:p w14:paraId="4BF54F78" w14:textId="429F5CF9" w:rsidR="00C77EBD" w:rsidRPr="004D53C3" w:rsidRDefault="00C77EBD" w:rsidP="00F11BF2">
            <w:pPr>
              <w:rPr>
                <w:b/>
                <w:sz w:val="22"/>
                <w:szCs w:val="22"/>
              </w:rPr>
            </w:pPr>
            <w:r>
              <w:rPr>
                <w:b/>
                <w:bCs/>
                <w:sz w:val="22"/>
                <w:szCs w:val="22"/>
                <w:lang w:val="ga"/>
              </w:rPr>
              <w:t>An % d’fhostaithe a thuairiscigh míchumas 2021</w:t>
            </w:r>
          </w:p>
        </w:tc>
        <w:tc>
          <w:tcPr>
            <w:tcW w:w="0" w:type="auto"/>
          </w:tcPr>
          <w:p w14:paraId="3946ABCF" w14:textId="77777777" w:rsidR="001530F1" w:rsidRPr="004D53C3" w:rsidRDefault="00C77EBD" w:rsidP="001530F1">
            <w:pPr>
              <w:spacing w:after="0"/>
              <w:rPr>
                <w:b/>
                <w:sz w:val="22"/>
                <w:szCs w:val="22"/>
              </w:rPr>
            </w:pPr>
            <w:r>
              <w:rPr>
                <w:b/>
                <w:bCs/>
                <w:sz w:val="22"/>
                <w:szCs w:val="22"/>
                <w:lang w:val="ga"/>
              </w:rPr>
              <w:t xml:space="preserve">An líon iomlán </w:t>
            </w:r>
          </w:p>
          <w:p w14:paraId="373F45BB" w14:textId="77777777" w:rsidR="001530F1" w:rsidRPr="004D53C3" w:rsidRDefault="00C77EBD" w:rsidP="001530F1">
            <w:pPr>
              <w:spacing w:after="0"/>
              <w:rPr>
                <w:b/>
                <w:sz w:val="22"/>
                <w:szCs w:val="22"/>
              </w:rPr>
            </w:pPr>
            <w:r>
              <w:rPr>
                <w:b/>
                <w:bCs/>
                <w:sz w:val="22"/>
                <w:szCs w:val="22"/>
                <w:lang w:val="ga"/>
              </w:rPr>
              <w:t>fostaithe</w:t>
            </w:r>
          </w:p>
          <w:p w14:paraId="1CF6909B" w14:textId="0AAC7B5C" w:rsidR="00C77EBD" w:rsidRPr="004D53C3" w:rsidRDefault="001530F1" w:rsidP="001530F1">
            <w:pPr>
              <w:spacing w:after="0"/>
              <w:rPr>
                <w:b/>
                <w:sz w:val="22"/>
                <w:szCs w:val="22"/>
              </w:rPr>
            </w:pPr>
            <w:r>
              <w:rPr>
                <w:b/>
                <w:bCs/>
                <w:sz w:val="22"/>
                <w:szCs w:val="22"/>
                <w:lang w:val="ga"/>
              </w:rPr>
              <w:t>2022</w:t>
            </w:r>
          </w:p>
        </w:tc>
        <w:tc>
          <w:tcPr>
            <w:tcW w:w="0" w:type="auto"/>
          </w:tcPr>
          <w:p w14:paraId="3A1644E7" w14:textId="601E6077" w:rsidR="00C77EBD" w:rsidRPr="004D53C3" w:rsidRDefault="00C77EBD" w:rsidP="00F11BF2">
            <w:pPr>
              <w:rPr>
                <w:b/>
                <w:sz w:val="22"/>
                <w:szCs w:val="22"/>
              </w:rPr>
            </w:pPr>
            <w:r>
              <w:rPr>
                <w:b/>
                <w:bCs/>
                <w:sz w:val="22"/>
                <w:szCs w:val="22"/>
                <w:lang w:val="ga"/>
              </w:rPr>
              <w:t>An líon fostaithe a thuairiscigh míchumas 2022</w:t>
            </w:r>
          </w:p>
        </w:tc>
        <w:tc>
          <w:tcPr>
            <w:tcW w:w="2574" w:type="dxa"/>
          </w:tcPr>
          <w:p w14:paraId="035E2D69" w14:textId="0B079343" w:rsidR="00C77EBD" w:rsidRPr="004D53C3" w:rsidRDefault="00C77EBD" w:rsidP="00F11BF2">
            <w:pPr>
              <w:rPr>
                <w:b/>
                <w:sz w:val="22"/>
                <w:szCs w:val="22"/>
              </w:rPr>
            </w:pPr>
            <w:r>
              <w:rPr>
                <w:b/>
                <w:bCs/>
                <w:sz w:val="22"/>
                <w:szCs w:val="22"/>
                <w:lang w:val="ga"/>
              </w:rPr>
              <w:t>An % d’fhostaithe a thuairiscigh míchumas 2022</w:t>
            </w:r>
          </w:p>
        </w:tc>
      </w:tr>
      <w:tr w:rsidR="004D53C3" w:rsidRPr="004D53C3" w14:paraId="479AFAAD" w14:textId="77777777" w:rsidTr="000A4037">
        <w:tc>
          <w:tcPr>
            <w:tcW w:w="2015" w:type="dxa"/>
          </w:tcPr>
          <w:p w14:paraId="6ADE3BC9" w14:textId="4E70D775" w:rsidR="004D53C3" w:rsidRPr="004D53C3" w:rsidRDefault="004D53C3" w:rsidP="004D53C3">
            <w:pPr>
              <w:rPr>
                <w:sz w:val="22"/>
                <w:szCs w:val="22"/>
              </w:rPr>
            </w:pPr>
            <w:r>
              <w:rPr>
                <w:rFonts w:cs="Calibri"/>
                <w:color w:val="000000"/>
                <w:sz w:val="22"/>
                <w:szCs w:val="22"/>
                <w:lang w:val="ga"/>
              </w:rPr>
              <w:t>Bus Éireann</w:t>
            </w:r>
          </w:p>
        </w:tc>
        <w:tc>
          <w:tcPr>
            <w:tcW w:w="0" w:type="auto"/>
          </w:tcPr>
          <w:p w14:paraId="6AA88AD9" w14:textId="4E882BC9" w:rsidR="004D53C3" w:rsidRPr="004D53C3" w:rsidRDefault="004D53C3" w:rsidP="004D53C3">
            <w:pPr>
              <w:jc w:val="right"/>
              <w:rPr>
                <w:sz w:val="22"/>
                <w:szCs w:val="22"/>
              </w:rPr>
            </w:pPr>
            <w:r>
              <w:rPr>
                <w:rFonts w:cs="Calibri"/>
                <w:color w:val="000000"/>
                <w:sz w:val="22"/>
                <w:szCs w:val="22"/>
                <w:lang w:val="ga"/>
              </w:rPr>
              <w:t>2,784</w:t>
            </w:r>
          </w:p>
        </w:tc>
        <w:tc>
          <w:tcPr>
            <w:tcW w:w="0" w:type="auto"/>
          </w:tcPr>
          <w:p w14:paraId="5EE39859" w14:textId="22452D72" w:rsidR="004D53C3" w:rsidRPr="004D53C3" w:rsidRDefault="004D53C3" w:rsidP="004D53C3">
            <w:pPr>
              <w:jc w:val="right"/>
              <w:rPr>
                <w:sz w:val="22"/>
                <w:szCs w:val="22"/>
              </w:rPr>
            </w:pPr>
            <w:r>
              <w:rPr>
                <w:rFonts w:cs="Calibri"/>
                <w:color w:val="000000"/>
                <w:sz w:val="22"/>
                <w:szCs w:val="22"/>
                <w:lang w:val="ga"/>
              </w:rPr>
              <w:t>122</w:t>
            </w:r>
          </w:p>
        </w:tc>
        <w:tc>
          <w:tcPr>
            <w:tcW w:w="0" w:type="auto"/>
          </w:tcPr>
          <w:p w14:paraId="5C586F4A" w14:textId="72982730" w:rsidR="004D53C3" w:rsidRPr="004D53C3" w:rsidRDefault="004D53C3" w:rsidP="004D53C3">
            <w:pPr>
              <w:jc w:val="right"/>
              <w:rPr>
                <w:sz w:val="22"/>
                <w:szCs w:val="22"/>
              </w:rPr>
            </w:pPr>
            <w:r>
              <w:rPr>
                <w:rFonts w:cs="Calibri"/>
                <w:color w:val="000000"/>
                <w:sz w:val="22"/>
                <w:szCs w:val="22"/>
                <w:lang w:val="ga"/>
              </w:rPr>
              <w:t>4.4%</w:t>
            </w:r>
          </w:p>
        </w:tc>
        <w:tc>
          <w:tcPr>
            <w:tcW w:w="0" w:type="auto"/>
          </w:tcPr>
          <w:p w14:paraId="47B2455F" w14:textId="332B09A4" w:rsidR="004D53C3" w:rsidRPr="004D53C3" w:rsidRDefault="004D53C3" w:rsidP="004D53C3">
            <w:pPr>
              <w:spacing w:after="0"/>
              <w:jc w:val="right"/>
              <w:rPr>
                <w:rFonts w:cs="Calibri"/>
                <w:color w:val="000000"/>
                <w:sz w:val="22"/>
                <w:szCs w:val="22"/>
              </w:rPr>
            </w:pPr>
            <w:r>
              <w:rPr>
                <w:rFonts w:cs="Calibri"/>
                <w:color w:val="000000"/>
                <w:sz w:val="22"/>
                <w:szCs w:val="22"/>
                <w:lang w:val="ga"/>
              </w:rPr>
              <w:t>2827</w:t>
            </w:r>
          </w:p>
        </w:tc>
        <w:tc>
          <w:tcPr>
            <w:tcW w:w="0" w:type="auto"/>
          </w:tcPr>
          <w:p w14:paraId="1D1C1F09" w14:textId="6CFB8AB2" w:rsidR="004D53C3" w:rsidRPr="004D53C3" w:rsidRDefault="004D53C3" w:rsidP="004D53C3">
            <w:pPr>
              <w:jc w:val="right"/>
              <w:rPr>
                <w:sz w:val="22"/>
                <w:szCs w:val="22"/>
              </w:rPr>
            </w:pPr>
            <w:r>
              <w:rPr>
                <w:rFonts w:cs="Calibri"/>
                <w:color w:val="000000"/>
                <w:sz w:val="22"/>
                <w:szCs w:val="22"/>
                <w:lang w:val="ga"/>
              </w:rPr>
              <w:t>121</w:t>
            </w:r>
          </w:p>
        </w:tc>
        <w:tc>
          <w:tcPr>
            <w:tcW w:w="2574" w:type="dxa"/>
          </w:tcPr>
          <w:p w14:paraId="5ADF67B9" w14:textId="56AA69C2" w:rsidR="004D53C3" w:rsidRPr="004D53C3" w:rsidRDefault="004D53C3" w:rsidP="004D53C3">
            <w:pPr>
              <w:jc w:val="right"/>
              <w:rPr>
                <w:sz w:val="22"/>
                <w:szCs w:val="22"/>
              </w:rPr>
            </w:pPr>
            <w:r>
              <w:rPr>
                <w:rFonts w:cs="Calibri"/>
                <w:color w:val="000000"/>
                <w:sz w:val="22"/>
                <w:szCs w:val="22"/>
                <w:lang w:val="ga"/>
              </w:rPr>
              <w:t>4.3%</w:t>
            </w:r>
          </w:p>
        </w:tc>
      </w:tr>
      <w:tr w:rsidR="004D53C3" w:rsidRPr="004D53C3" w14:paraId="3AB64512" w14:textId="77777777" w:rsidTr="000A4037">
        <w:tc>
          <w:tcPr>
            <w:tcW w:w="2015" w:type="dxa"/>
          </w:tcPr>
          <w:p w14:paraId="1F8F89DA" w14:textId="5A06794C" w:rsidR="004D53C3" w:rsidRPr="004D53C3" w:rsidRDefault="004D53C3" w:rsidP="004D53C3">
            <w:pPr>
              <w:rPr>
                <w:sz w:val="22"/>
                <w:szCs w:val="22"/>
              </w:rPr>
            </w:pPr>
            <w:r>
              <w:rPr>
                <w:rFonts w:cs="Calibri"/>
                <w:color w:val="000000"/>
                <w:sz w:val="22"/>
                <w:szCs w:val="22"/>
                <w:lang w:val="ga"/>
              </w:rPr>
              <w:t>An Coimisiún um Rialáil Eitlíochta</w:t>
            </w:r>
          </w:p>
        </w:tc>
        <w:tc>
          <w:tcPr>
            <w:tcW w:w="0" w:type="auto"/>
          </w:tcPr>
          <w:p w14:paraId="60A84337" w14:textId="592AE414" w:rsidR="004D53C3" w:rsidRPr="004D53C3" w:rsidRDefault="004D53C3" w:rsidP="004D53C3">
            <w:pPr>
              <w:jc w:val="right"/>
              <w:rPr>
                <w:sz w:val="22"/>
                <w:szCs w:val="22"/>
              </w:rPr>
            </w:pPr>
            <w:r>
              <w:rPr>
                <w:rFonts w:cs="Calibri"/>
                <w:color w:val="000000"/>
                <w:sz w:val="22"/>
                <w:szCs w:val="22"/>
                <w:lang w:val="ga"/>
              </w:rPr>
              <w:t>25</w:t>
            </w:r>
          </w:p>
        </w:tc>
        <w:tc>
          <w:tcPr>
            <w:tcW w:w="0" w:type="auto"/>
          </w:tcPr>
          <w:p w14:paraId="322778B6" w14:textId="14B04379" w:rsidR="004D53C3" w:rsidRPr="004D53C3" w:rsidRDefault="004D53C3" w:rsidP="004D53C3">
            <w:pPr>
              <w:jc w:val="right"/>
              <w:rPr>
                <w:sz w:val="22"/>
                <w:szCs w:val="22"/>
              </w:rPr>
            </w:pPr>
            <w:r>
              <w:rPr>
                <w:rFonts w:cs="Calibri"/>
                <w:color w:val="000000"/>
                <w:sz w:val="22"/>
                <w:szCs w:val="22"/>
                <w:lang w:val="ga"/>
              </w:rPr>
              <w:t>0</w:t>
            </w:r>
          </w:p>
        </w:tc>
        <w:tc>
          <w:tcPr>
            <w:tcW w:w="0" w:type="auto"/>
          </w:tcPr>
          <w:p w14:paraId="2F4EAEE4" w14:textId="66ECC2EF" w:rsidR="004D53C3" w:rsidRPr="004D53C3" w:rsidRDefault="004D53C3" w:rsidP="004D53C3">
            <w:pPr>
              <w:jc w:val="right"/>
              <w:rPr>
                <w:sz w:val="22"/>
                <w:szCs w:val="22"/>
              </w:rPr>
            </w:pPr>
            <w:r>
              <w:rPr>
                <w:rFonts w:cs="Calibri"/>
                <w:color w:val="000000"/>
                <w:sz w:val="22"/>
                <w:szCs w:val="22"/>
                <w:lang w:val="ga"/>
              </w:rPr>
              <w:t>0.0%</w:t>
            </w:r>
          </w:p>
        </w:tc>
        <w:tc>
          <w:tcPr>
            <w:tcW w:w="0" w:type="auto"/>
          </w:tcPr>
          <w:p w14:paraId="78983352" w14:textId="151DA469" w:rsidR="004D53C3" w:rsidRPr="004D53C3" w:rsidRDefault="004D53C3" w:rsidP="004D53C3">
            <w:pPr>
              <w:jc w:val="right"/>
              <w:rPr>
                <w:rFonts w:cs="Calibri"/>
                <w:color w:val="000000"/>
                <w:sz w:val="22"/>
                <w:szCs w:val="22"/>
              </w:rPr>
            </w:pPr>
            <w:r>
              <w:rPr>
                <w:rFonts w:cs="Calibri"/>
                <w:color w:val="000000"/>
                <w:sz w:val="22"/>
                <w:szCs w:val="22"/>
                <w:lang w:val="ga"/>
              </w:rPr>
              <w:t>27</w:t>
            </w:r>
          </w:p>
        </w:tc>
        <w:tc>
          <w:tcPr>
            <w:tcW w:w="0" w:type="auto"/>
          </w:tcPr>
          <w:p w14:paraId="01F5D079" w14:textId="0904B4DF" w:rsidR="004D53C3" w:rsidRPr="004D53C3" w:rsidRDefault="004D53C3" w:rsidP="004D53C3">
            <w:pPr>
              <w:jc w:val="right"/>
              <w:rPr>
                <w:sz w:val="22"/>
                <w:szCs w:val="22"/>
              </w:rPr>
            </w:pPr>
            <w:r>
              <w:rPr>
                <w:rFonts w:cs="Calibri"/>
                <w:color w:val="000000"/>
                <w:sz w:val="22"/>
                <w:szCs w:val="22"/>
                <w:lang w:val="ga"/>
              </w:rPr>
              <w:t>0</w:t>
            </w:r>
          </w:p>
        </w:tc>
        <w:tc>
          <w:tcPr>
            <w:tcW w:w="2574" w:type="dxa"/>
          </w:tcPr>
          <w:p w14:paraId="4E4B52DA" w14:textId="62A824CC" w:rsidR="004D53C3" w:rsidRPr="004D53C3" w:rsidRDefault="004D53C3" w:rsidP="004D53C3">
            <w:pPr>
              <w:jc w:val="right"/>
              <w:rPr>
                <w:sz w:val="22"/>
                <w:szCs w:val="22"/>
              </w:rPr>
            </w:pPr>
            <w:r>
              <w:rPr>
                <w:rFonts w:cs="Calibri"/>
                <w:color w:val="000000"/>
                <w:sz w:val="22"/>
                <w:szCs w:val="22"/>
                <w:lang w:val="ga"/>
              </w:rPr>
              <w:t>0.0%</w:t>
            </w:r>
          </w:p>
        </w:tc>
      </w:tr>
      <w:tr w:rsidR="004D53C3" w:rsidRPr="004D53C3" w14:paraId="20E34CB5" w14:textId="77777777" w:rsidTr="000A4037">
        <w:tc>
          <w:tcPr>
            <w:tcW w:w="2015" w:type="dxa"/>
          </w:tcPr>
          <w:p w14:paraId="7D84A624" w14:textId="456831A0" w:rsidR="004D53C3" w:rsidRPr="004D53C3" w:rsidRDefault="004D53C3" w:rsidP="004D53C3">
            <w:pPr>
              <w:rPr>
                <w:sz w:val="22"/>
                <w:szCs w:val="22"/>
              </w:rPr>
            </w:pPr>
            <w:r>
              <w:rPr>
                <w:rFonts w:cs="Calibri"/>
                <w:color w:val="000000"/>
                <w:sz w:val="22"/>
                <w:szCs w:val="22"/>
                <w:lang w:val="ga"/>
              </w:rPr>
              <w:t>An Coimisiún um Rialáil Iarnróid</w:t>
            </w:r>
          </w:p>
        </w:tc>
        <w:tc>
          <w:tcPr>
            <w:tcW w:w="0" w:type="auto"/>
          </w:tcPr>
          <w:p w14:paraId="64E6B4C7" w14:textId="0EFA7640" w:rsidR="004D53C3" w:rsidRPr="004D53C3" w:rsidRDefault="004D53C3" w:rsidP="004D53C3">
            <w:pPr>
              <w:jc w:val="right"/>
              <w:rPr>
                <w:sz w:val="22"/>
                <w:szCs w:val="22"/>
              </w:rPr>
            </w:pPr>
            <w:r>
              <w:rPr>
                <w:rFonts w:cs="Calibri"/>
                <w:color w:val="000000"/>
                <w:sz w:val="22"/>
                <w:szCs w:val="22"/>
                <w:lang w:val="ga"/>
              </w:rPr>
              <w:t>16</w:t>
            </w:r>
          </w:p>
        </w:tc>
        <w:tc>
          <w:tcPr>
            <w:tcW w:w="0" w:type="auto"/>
          </w:tcPr>
          <w:p w14:paraId="01B22052" w14:textId="79160150" w:rsidR="004D53C3" w:rsidRPr="004D53C3" w:rsidRDefault="004D53C3" w:rsidP="004D53C3">
            <w:pPr>
              <w:jc w:val="right"/>
              <w:rPr>
                <w:sz w:val="22"/>
                <w:szCs w:val="22"/>
              </w:rPr>
            </w:pPr>
            <w:r>
              <w:rPr>
                <w:rFonts w:cs="Calibri"/>
                <w:color w:val="000000"/>
                <w:sz w:val="22"/>
                <w:szCs w:val="22"/>
                <w:lang w:val="ga"/>
              </w:rPr>
              <w:t>0</w:t>
            </w:r>
          </w:p>
        </w:tc>
        <w:tc>
          <w:tcPr>
            <w:tcW w:w="0" w:type="auto"/>
          </w:tcPr>
          <w:p w14:paraId="298E9E17" w14:textId="39664CE5" w:rsidR="004D53C3" w:rsidRPr="004D53C3" w:rsidRDefault="004D53C3" w:rsidP="004D53C3">
            <w:pPr>
              <w:jc w:val="right"/>
              <w:rPr>
                <w:sz w:val="22"/>
                <w:szCs w:val="22"/>
              </w:rPr>
            </w:pPr>
            <w:r>
              <w:rPr>
                <w:rFonts w:cs="Calibri"/>
                <w:color w:val="000000"/>
                <w:sz w:val="22"/>
                <w:szCs w:val="22"/>
                <w:lang w:val="ga"/>
              </w:rPr>
              <w:t>0.0%</w:t>
            </w:r>
          </w:p>
        </w:tc>
        <w:tc>
          <w:tcPr>
            <w:tcW w:w="0" w:type="auto"/>
          </w:tcPr>
          <w:p w14:paraId="5F53A9F4" w14:textId="2D38FCBA" w:rsidR="004D53C3" w:rsidRPr="004D53C3" w:rsidRDefault="004D53C3" w:rsidP="004D53C3">
            <w:pPr>
              <w:jc w:val="right"/>
              <w:rPr>
                <w:rFonts w:cs="Calibri"/>
                <w:color w:val="000000"/>
                <w:sz w:val="22"/>
                <w:szCs w:val="22"/>
              </w:rPr>
            </w:pPr>
            <w:r>
              <w:rPr>
                <w:rFonts w:cs="Calibri"/>
                <w:color w:val="000000"/>
                <w:sz w:val="22"/>
                <w:szCs w:val="22"/>
                <w:lang w:val="ga"/>
              </w:rPr>
              <w:t>17</w:t>
            </w:r>
          </w:p>
        </w:tc>
        <w:tc>
          <w:tcPr>
            <w:tcW w:w="0" w:type="auto"/>
          </w:tcPr>
          <w:p w14:paraId="27ABDF11" w14:textId="149B7933" w:rsidR="004D53C3" w:rsidRPr="004D53C3" w:rsidRDefault="004D53C3" w:rsidP="004D53C3">
            <w:pPr>
              <w:jc w:val="right"/>
              <w:rPr>
                <w:sz w:val="22"/>
                <w:szCs w:val="22"/>
              </w:rPr>
            </w:pPr>
            <w:r>
              <w:rPr>
                <w:rFonts w:cs="Calibri"/>
                <w:color w:val="000000"/>
                <w:sz w:val="22"/>
                <w:szCs w:val="22"/>
                <w:lang w:val="ga"/>
              </w:rPr>
              <w:t>0</w:t>
            </w:r>
          </w:p>
        </w:tc>
        <w:tc>
          <w:tcPr>
            <w:tcW w:w="2574" w:type="dxa"/>
          </w:tcPr>
          <w:p w14:paraId="07995876" w14:textId="67988079" w:rsidR="004D53C3" w:rsidRPr="004D53C3" w:rsidRDefault="004D53C3" w:rsidP="004D53C3">
            <w:pPr>
              <w:jc w:val="right"/>
              <w:rPr>
                <w:sz w:val="22"/>
                <w:szCs w:val="22"/>
              </w:rPr>
            </w:pPr>
            <w:r>
              <w:rPr>
                <w:rFonts w:cs="Calibri"/>
                <w:color w:val="000000"/>
                <w:sz w:val="22"/>
                <w:szCs w:val="22"/>
                <w:lang w:val="ga"/>
              </w:rPr>
              <w:t>0.0%</w:t>
            </w:r>
          </w:p>
        </w:tc>
      </w:tr>
      <w:tr w:rsidR="004D53C3" w:rsidRPr="004D53C3" w14:paraId="2FCD7691" w14:textId="77777777" w:rsidTr="000A4037">
        <w:tc>
          <w:tcPr>
            <w:tcW w:w="2015" w:type="dxa"/>
          </w:tcPr>
          <w:p w14:paraId="4B028B2D" w14:textId="494498DF" w:rsidR="004D53C3" w:rsidRPr="004D53C3" w:rsidRDefault="004D53C3" w:rsidP="004D53C3">
            <w:pPr>
              <w:rPr>
                <w:sz w:val="22"/>
                <w:szCs w:val="22"/>
              </w:rPr>
            </w:pPr>
            <w:r>
              <w:rPr>
                <w:rFonts w:cs="Calibri"/>
                <w:color w:val="000000"/>
                <w:sz w:val="22"/>
                <w:szCs w:val="22"/>
                <w:lang w:val="ga"/>
              </w:rPr>
              <w:t>Córas Iompair Éireann</w:t>
            </w:r>
          </w:p>
        </w:tc>
        <w:tc>
          <w:tcPr>
            <w:tcW w:w="0" w:type="auto"/>
          </w:tcPr>
          <w:p w14:paraId="3BA22BDE" w14:textId="47146EAC" w:rsidR="004D53C3" w:rsidRPr="004D53C3" w:rsidRDefault="004D53C3" w:rsidP="004D53C3">
            <w:pPr>
              <w:jc w:val="right"/>
              <w:rPr>
                <w:sz w:val="22"/>
                <w:szCs w:val="22"/>
              </w:rPr>
            </w:pPr>
            <w:r>
              <w:rPr>
                <w:rFonts w:cs="Calibri"/>
                <w:color w:val="000000"/>
                <w:sz w:val="22"/>
                <w:szCs w:val="22"/>
                <w:lang w:val="ga"/>
              </w:rPr>
              <w:t>209</w:t>
            </w:r>
          </w:p>
        </w:tc>
        <w:tc>
          <w:tcPr>
            <w:tcW w:w="0" w:type="auto"/>
          </w:tcPr>
          <w:p w14:paraId="5779BA6A" w14:textId="2B7D902D" w:rsidR="004D53C3" w:rsidRPr="004D53C3" w:rsidRDefault="004D53C3" w:rsidP="004D53C3">
            <w:pPr>
              <w:jc w:val="right"/>
              <w:rPr>
                <w:sz w:val="22"/>
                <w:szCs w:val="22"/>
              </w:rPr>
            </w:pPr>
            <w:r>
              <w:rPr>
                <w:rFonts w:cs="Calibri"/>
                <w:color w:val="000000"/>
                <w:sz w:val="22"/>
                <w:szCs w:val="22"/>
                <w:lang w:val="ga"/>
              </w:rPr>
              <w:t>7</w:t>
            </w:r>
          </w:p>
        </w:tc>
        <w:tc>
          <w:tcPr>
            <w:tcW w:w="0" w:type="auto"/>
          </w:tcPr>
          <w:p w14:paraId="73F15B62" w14:textId="229CCBA1" w:rsidR="004D53C3" w:rsidRPr="004D53C3" w:rsidRDefault="004D53C3" w:rsidP="004D53C3">
            <w:pPr>
              <w:jc w:val="right"/>
              <w:rPr>
                <w:sz w:val="22"/>
                <w:szCs w:val="22"/>
              </w:rPr>
            </w:pPr>
            <w:r>
              <w:rPr>
                <w:rFonts w:cs="Calibri"/>
                <w:color w:val="000000"/>
                <w:sz w:val="22"/>
                <w:szCs w:val="22"/>
                <w:lang w:val="ga"/>
              </w:rPr>
              <w:t>3.3%</w:t>
            </w:r>
          </w:p>
        </w:tc>
        <w:tc>
          <w:tcPr>
            <w:tcW w:w="0" w:type="auto"/>
          </w:tcPr>
          <w:p w14:paraId="0D4BA781" w14:textId="7E444854" w:rsidR="004D53C3" w:rsidRPr="004D53C3" w:rsidRDefault="004D53C3" w:rsidP="004D53C3">
            <w:pPr>
              <w:jc w:val="right"/>
              <w:rPr>
                <w:rFonts w:cs="Calibri"/>
                <w:color w:val="000000"/>
                <w:sz w:val="22"/>
                <w:szCs w:val="22"/>
              </w:rPr>
            </w:pPr>
            <w:r>
              <w:rPr>
                <w:rFonts w:cs="Calibri"/>
                <w:color w:val="000000"/>
                <w:sz w:val="22"/>
                <w:szCs w:val="22"/>
                <w:lang w:val="ga"/>
              </w:rPr>
              <w:t>215</w:t>
            </w:r>
          </w:p>
        </w:tc>
        <w:tc>
          <w:tcPr>
            <w:tcW w:w="0" w:type="auto"/>
          </w:tcPr>
          <w:p w14:paraId="2A65BEBB" w14:textId="2B85571F" w:rsidR="004D53C3" w:rsidRPr="004D53C3" w:rsidRDefault="004D53C3" w:rsidP="004D53C3">
            <w:pPr>
              <w:jc w:val="right"/>
              <w:rPr>
                <w:sz w:val="22"/>
                <w:szCs w:val="22"/>
              </w:rPr>
            </w:pPr>
            <w:r>
              <w:rPr>
                <w:rFonts w:cs="Calibri"/>
                <w:color w:val="000000"/>
                <w:sz w:val="22"/>
                <w:szCs w:val="22"/>
                <w:lang w:val="ga"/>
              </w:rPr>
              <w:t>8</w:t>
            </w:r>
          </w:p>
        </w:tc>
        <w:tc>
          <w:tcPr>
            <w:tcW w:w="2574" w:type="dxa"/>
          </w:tcPr>
          <w:p w14:paraId="1C52CE9F" w14:textId="60857E0B" w:rsidR="004D53C3" w:rsidRPr="004D53C3" w:rsidRDefault="004D53C3" w:rsidP="004D53C3">
            <w:pPr>
              <w:jc w:val="right"/>
              <w:rPr>
                <w:sz w:val="22"/>
                <w:szCs w:val="22"/>
              </w:rPr>
            </w:pPr>
            <w:r>
              <w:rPr>
                <w:rFonts w:cs="Calibri"/>
                <w:color w:val="000000"/>
                <w:sz w:val="22"/>
                <w:szCs w:val="22"/>
                <w:lang w:val="ga"/>
              </w:rPr>
              <w:t>3.7%</w:t>
            </w:r>
          </w:p>
        </w:tc>
      </w:tr>
      <w:tr w:rsidR="004D53C3" w:rsidRPr="004D53C3" w14:paraId="05208A5D" w14:textId="77777777" w:rsidTr="000A4037">
        <w:tc>
          <w:tcPr>
            <w:tcW w:w="2015" w:type="dxa"/>
          </w:tcPr>
          <w:p w14:paraId="784A531E" w14:textId="67A9835E" w:rsidR="004D53C3" w:rsidRPr="004D53C3" w:rsidRDefault="004D53C3" w:rsidP="004D53C3">
            <w:pPr>
              <w:rPr>
                <w:sz w:val="22"/>
                <w:szCs w:val="22"/>
              </w:rPr>
            </w:pPr>
            <w:bookmarkStart w:id="87" w:name="_Hlk145921318"/>
            <w:r>
              <w:rPr>
                <w:rFonts w:cs="Calibri"/>
                <w:color w:val="000000"/>
                <w:sz w:val="22"/>
                <w:szCs w:val="22"/>
                <w:lang w:val="ga"/>
              </w:rPr>
              <w:t>Údarás Aerfort Bhaile Átha Cliath cpt</w:t>
            </w:r>
          </w:p>
        </w:tc>
        <w:tc>
          <w:tcPr>
            <w:tcW w:w="0" w:type="auto"/>
          </w:tcPr>
          <w:p w14:paraId="566399D0" w14:textId="554603BA" w:rsidR="004D53C3" w:rsidRPr="004D53C3" w:rsidRDefault="004D53C3" w:rsidP="004D53C3">
            <w:pPr>
              <w:jc w:val="right"/>
              <w:rPr>
                <w:sz w:val="22"/>
                <w:szCs w:val="22"/>
              </w:rPr>
            </w:pPr>
            <w:r>
              <w:rPr>
                <w:rFonts w:cs="Calibri"/>
                <w:color w:val="000000"/>
                <w:sz w:val="22"/>
                <w:szCs w:val="22"/>
                <w:lang w:val="ga"/>
              </w:rPr>
              <w:t>2,425</w:t>
            </w:r>
          </w:p>
        </w:tc>
        <w:tc>
          <w:tcPr>
            <w:tcW w:w="0" w:type="auto"/>
          </w:tcPr>
          <w:p w14:paraId="46109A67" w14:textId="658D1DD0" w:rsidR="004D53C3" w:rsidRPr="004D53C3" w:rsidRDefault="004D53C3" w:rsidP="004D53C3">
            <w:pPr>
              <w:jc w:val="right"/>
              <w:rPr>
                <w:sz w:val="22"/>
                <w:szCs w:val="22"/>
              </w:rPr>
            </w:pPr>
            <w:r>
              <w:rPr>
                <w:rFonts w:cs="Calibri"/>
                <w:color w:val="000000"/>
                <w:sz w:val="22"/>
                <w:szCs w:val="22"/>
                <w:lang w:val="ga"/>
              </w:rPr>
              <w:t>151</w:t>
            </w:r>
          </w:p>
        </w:tc>
        <w:tc>
          <w:tcPr>
            <w:tcW w:w="0" w:type="auto"/>
          </w:tcPr>
          <w:p w14:paraId="06003318" w14:textId="15C11565" w:rsidR="004D53C3" w:rsidRPr="004D53C3" w:rsidRDefault="004D53C3" w:rsidP="004D53C3">
            <w:pPr>
              <w:jc w:val="right"/>
              <w:rPr>
                <w:sz w:val="22"/>
                <w:szCs w:val="22"/>
              </w:rPr>
            </w:pPr>
            <w:r>
              <w:rPr>
                <w:rFonts w:cs="Calibri"/>
                <w:color w:val="000000"/>
                <w:sz w:val="22"/>
                <w:szCs w:val="22"/>
                <w:lang w:val="ga"/>
              </w:rPr>
              <w:t>6.2%</w:t>
            </w:r>
          </w:p>
        </w:tc>
        <w:tc>
          <w:tcPr>
            <w:tcW w:w="0" w:type="auto"/>
          </w:tcPr>
          <w:p w14:paraId="50B4D2BF" w14:textId="1C97B9C6" w:rsidR="004D53C3" w:rsidRPr="004D53C3" w:rsidRDefault="004D53C3" w:rsidP="004D53C3">
            <w:pPr>
              <w:jc w:val="right"/>
              <w:rPr>
                <w:rFonts w:cs="Calibri"/>
                <w:color w:val="000000"/>
                <w:sz w:val="22"/>
                <w:szCs w:val="22"/>
              </w:rPr>
            </w:pPr>
            <w:r>
              <w:rPr>
                <w:rFonts w:cs="Calibri"/>
                <w:color w:val="000000"/>
                <w:sz w:val="22"/>
                <w:szCs w:val="22"/>
                <w:lang w:val="ga"/>
              </w:rPr>
              <w:t>2919</w:t>
            </w:r>
          </w:p>
        </w:tc>
        <w:tc>
          <w:tcPr>
            <w:tcW w:w="0" w:type="auto"/>
          </w:tcPr>
          <w:p w14:paraId="4405B79D" w14:textId="356BFF94" w:rsidR="004D53C3" w:rsidRPr="004D53C3" w:rsidRDefault="004D53C3" w:rsidP="004D53C3">
            <w:pPr>
              <w:jc w:val="right"/>
              <w:rPr>
                <w:sz w:val="22"/>
                <w:szCs w:val="22"/>
              </w:rPr>
            </w:pPr>
            <w:r>
              <w:rPr>
                <w:rFonts w:cs="Calibri"/>
                <w:color w:val="000000"/>
                <w:sz w:val="22"/>
                <w:szCs w:val="22"/>
                <w:lang w:val="ga"/>
              </w:rPr>
              <w:t>206</w:t>
            </w:r>
          </w:p>
        </w:tc>
        <w:tc>
          <w:tcPr>
            <w:tcW w:w="2574" w:type="dxa"/>
          </w:tcPr>
          <w:p w14:paraId="2A61CDCA" w14:textId="7C414EE6" w:rsidR="004D53C3" w:rsidRPr="004D53C3" w:rsidRDefault="004D53C3" w:rsidP="004D53C3">
            <w:pPr>
              <w:jc w:val="right"/>
              <w:rPr>
                <w:sz w:val="22"/>
                <w:szCs w:val="22"/>
              </w:rPr>
            </w:pPr>
            <w:r>
              <w:rPr>
                <w:rFonts w:cs="Calibri"/>
                <w:color w:val="000000"/>
                <w:sz w:val="22"/>
                <w:szCs w:val="22"/>
                <w:lang w:val="ga"/>
              </w:rPr>
              <w:t>7.1%</w:t>
            </w:r>
          </w:p>
        </w:tc>
      </w:tr>
      <w:bookmarkEnd w:id="87"/>
      <w:tr w:rsidR="004D53C3" w:rsidRPr="004D53C3" w14:paraId="664A5F0A" w14:textId="77777777" w:rsidTr="000A4037">
        <w:tc>
          <w:tcPr>
            <w:tcW w:w="2015" w:type="dxa"/>
          </w:tcPr>
          <w:p w14:paraId="4C68CC4E" w14:textId="6D219D9D" w:rsidR="004D53C3" w:rsidRPr="004D53C3" w:rsidRDefault="004D53C3" w:rsidP="004D53C3">
            <w:pPr>
              <w:rPr>
                <w:sz w:val="22"/>
                <w:szCs w:val="22"/>
              </w:rPr>
            </w:pPr>
            <w:r>
              <w:rPr>
                <w:rFonts w:cs="Calibri"/>
                <w:color w:val="000000"/>
                <w:sz w:val="22"/>
                <w:szCs w:val="22"/>
                <w:lang w:val="ga"/>
              </w:rPr>
              <w:t>Bus Átha Cliath</w:t>
            </w:r>
          </w:p>
        </w:tc>
        <w:tc>
          <w:tcPr>
            <w:tcW w:w="0" w:type="auto"/>
          </w:tcPr>
          <w:p w14:paraId="6B72A0DA" w14:textId="647B625B" w:rsidR="004D53C3" w:rsidRPr="004D53C3" w:rsidRDefault="004D53C3" w:rsidP="004D53C3">
            <w:pPr>
              <w:jc w:val="right"/>
              <w:rPr>
                <w:sz w:val="22"/>
                <w:szCs w:val="22"/>
              </w:rPr>
            </w:pPr>
            <w:r>
              <w:rPr>
                <w:rFonts w:cs="Calibri"/>
                <w:color w:val="000000"/>
                <w:sz w:val="22"/>
                <w:szCs w:val="22"/>
                <w:lang w:val="ga"/>
              </w:rPr>
              <w:t>3,680</w:t>
            </w:r>
          </w:p>
        </w:tc>
        <w:tc>
          <w:tcPr>
            <w:tcW w:w="0" w:type="auto"/>
          </w:tcPr>
          <w:p w14:paraId="2791C734" w14:textId="00F3D33E" w:rsidR="004D53C3" w:rsidRPr="004D53C3" w:rsidRDefault="004D53C3" w:rsidP="004D53C3">
            <w:pPr>
              <w:jc w:val="right"/>
              <w:rPr>
                <w:sz w:val="22"/>
                <w:szCs w:val="22"/>
              </w:rPr>
            </w:pPr>
            <w:r>
              <w:rPr>
                <w:rFonts w:cs="Calibri"/>
                <w:color w:val="000000"/>
                <w:sz w:val="22"/>
                <w:szCs w:val="22"/>
                <w:lang w:val="ga"/>
              </w:rPr>
              <w:t>241</w:t>
            </w:r>
          </w:p>
        </w:tc>
        <w:tc>
          <w:tcPr>
            <w:tcW w:w="0" w:type="auto"/>
          </w:tcPr>
          <w:p w14:paraId="1E93E10C" w14:textId="63D64F9B" w:rsidR="004D53C3" w:rsidRPr="004D53C3" w:rsidRDefault="004D53C3" w:rsidP="004D53C3">
            <w:pPr>
              <w:jc w:val="right"/>
              <w:rPr>
                <w:sz w:val="22"/>
                <w:szCs w:val="22"/>
              </w:rPr>
            </w:pPr>
            <w:r>
              <w:rPr>
                <w:rFonts w:cs="Calibri"/>
                <w:color w:val="000000"/>
                <w:sz w:val="22"/>
                <w:szCs w:val="22"/>
                <w:lang w:val="ga"/>
              </w:rPr>
              <w:t>6.5%</w:t>
            </w:r>
          </w:p>
        </w:tc>
        <w:tc>
          <w:tcPr>
            <w:tcW w:w="0" w:type="auto"/>
          </w:tcPr>
          <w:p w14:paraId="2A2D43F4" w14:textId="03BEB321" w:rsidR="004D53C3" w:rsidRPr="004D53C3" w:rsidRDefault="004D53C3" w:rsidP="004D53C3">
            <w:pPr>
              <w:jc w:val="right"/>
              <w:rPr>
                <w:rFonts w:cs="Calibri"/>
                <w:color w:val="000000"/>
                <w:sz w:val="22"/>
                <w:szCs w:val="22"/>
              </w:rPr>
            </w:pPr>
            <w:r>
              <w:rPr>
                <w:rFonts w:cs="Calibri"/>
                <w:color w:val="000000"/>
                <w:sz w:val="22"/>
                <w:szCs w:val="22"/>
                <w:lang w:val="ga"/>
              </w:rPr>
              <w:t>3824</w:t>
            </w:r>
          </w:p>
        </w:tc>
        <w:tc>
          <w:tcPr>
            <w:tcW w:w="0" w:type="auto"/>
          </w:tcPr>
          <w:p w14:paraId="2594C321" w14:textId="0B3896E7" w:rsidR="004D53C3" w:rsidRPr="004D53C3" w:rsidRDefault="004D53C3" w:rsidP="004D53C3">
            <w:pPr>
              <w:jc w:val="right"/>
              <w:rPr>
                <w:sz w:val="22"/>
                <w:szCs w:val="22"/>
              </w:rPr>
            </w:pPr>
            <w:r>
              <w:rPr>
                <w:rFonts w:cs="Calibri"/>
                <w:color w:val="000000"/>
                <w:sz w:val="22"/>
                <w:szCs w:val="22"/>
                <w:lang w:val="ga"/>
              </w:rPr>
              <w:t>242</w:t>
            </w:r>
          </w:p>
        </w:tc>
        <w:tc>
          <w:tcPr>
            <w:tcW w:w="2574" w:type="dxa"/>
          </w:tcPr>
          <w:p w14:paraId="570E9A82" w14:textId="707CC4C3" w:rsidR="004D53C3" w:rsidRPr="004D53C3" w:rsidRDefault="004D53C3" w:rsidP="004D53C3">
            <w:pPr>
              <w:jc w:val="right"/>
              <w:rPr>
                <w:sz w:val="22"/>
                <w:szCs w:val="22"/>
              </w:rPr>
            </w:pPr>
            <w:r>
              <w:rPr>
                <w:rFonts w:cs="Calibri"/>
                <w:color w:val="000000"/>
                <w:sz w:val="22"/>
                <w:szCs w:val="22"/>
                <w:lang w:val="ga"/>
              </w:rPr>
              <w:t>6.3%</w:t>
            </w:r>
          </w:p>
        </w:tc>
      </w:tr>
      <w:tr w:rsidR="004D53C3" w:rsidRPr="004D53C3" w14:paraId="26C00D6C" w14:textId="77777777" w:rsidTr="000A4037">
        <w:tc>
          <w:tcPr>
            <w:tcW w:w="2015" w:type="dxa"/>
          </w:tcPr>
          <w:p w14:paraId="4E2CFF76" w14:textId="3DA88287" w:rsidR="004D53C3" w:rsidRPr="004D53C3" w:rsidRDefault="004D53C3" w:rsidP="004D53C3">
            <w:pPr>
              <w:rPr>
                <w:sz w:val="22"/>
                <w:szCs w:val="22"/>
              </w:rPr>
            </w:pPr>
            <w:r>
              <w:rPr>
                <w:rFonts w:cs="Calibri"/>
                <w:color w:val="000000"/>
                <w:sz w:val="22"/>
                <w:szCs w:val="22"/>
                <w:lang w:val="ga"/>
              </w:rPr>
              <w:t>Cuideachta Poirt Bhaile Átha Cliath</w:t>
            </w:r>
          </w:p>
        </w:tc>
        <w:tc>
          <w:tcPr>
            <w:tcW w:w="0" w:type="auto"/>
          </w:tcPr>
          <w:p w14:paraId="2F51433C" w14:textId="5EE95C82" w:rsidR="004D53C3" w:rsidRPr="004D53C3" w:rsidRDefault="004D53C3" w:rsidP="004D53C3">
            <w:pPr>
              <w:jc w:val="right"/>
              <w:rPr>
                <w:sz w:val="22"/>
                <w:szCs w:val="22"/>
              </w:rPr>
            </w:pPr>
            <w:r>
              <w:rPr>
                <w:rFonts w:cs="Calibri"/>
                <w:color w:val="000000"/>
                <w:sz w:val="22"/>
                <w:szCs w:val="22"/>
                <w:lang w:val="ga"/>
              </w:rPr>
              <w:t>153</w:t>
            </w:r>
          </w:p>
        </w:tc>
        <w:tc>
          <w:tcPr>
            <w:tcW w:w="0" w:type="auto"/>
          </w:tcPr>
          <w:p w14:paraId="5B8D27D1" w14:textId="36F2DF6E" w:rsidR="004D53C3" w:rsidRPr="004D53C3" w:rsidRDefault="004D53C3" w:rsidP="004D53C3">
            <w:pPr>
              <w:jc w:val="right"/>
              <w:rPr>
                <w:sz w:val="22"/>
                <w:szCs w:val="22"/>
              </w:rPr>
            </w:pPr>
            <w:r>
              <w:rPr>
                <w:rFonts w:cs="Calibri"/>
                <w:color w:val="000000"/>
                <w:sz w:val="22"/>
                <w:szCs w:val="22"/>
                <w:lang w:val="ga"/>
              </w:rPr>
              <w:t>5</w:t>
            </w:r>
          </w:p>
        </w:tc>
        <w:tc>
          <w:tcPr>
            <w:tcW w:w="0" w:type="auto"/>
          </w:tcPr>
          <w:p w14:paraId="513D60A8" w14:textId="2501B3EC" w:rsidR="004D53C3" w:rsidRPr="004D53C3" w:rsidRDefault="004D53C3" w:rsidP="004D53C3">
            <w:pPr>
              <w:jc w:val="right"/>
              <w:rPr>
                <w:sz w:val="22"/>
                <w:szCs w:val="22"/>
              </w:rPr>
            </w:pPr>
            <w:r>
              <w:rPr>
                <w:rFonts w:cs="Calibri"/>
                <w:color w:val="000000"/>
                <w:sz w:val="22"/>
                <w:szCs w:val="22"/>
                <w:lang w:val="ga"/>
              </w:rPr>
              <w:t>3.3%</w:t>
            </w:r>
          </w:p>
        </w:tc>
        <w:tc>
          <w:tcPr>
            <w:tcW w:w="0" w:type="auto"/>
          </w:tcPr>
          <w:p w14:paraId="3AB1DDCE" w14:textId="45EAB66E" w:rsidR="004D53C3" w:rsidRPr="004D53C3" w:rsidRDefault="004D53C3" w:rsidP="004D53C3">
            <w:pPr>
              <w:jc w:val="right"/>
              <w:rPr>
                <w:rFonts w:cs="Calibri"/>
                <w:color w:val="000000"/>
                <w:sz w:val="22"/>
                <w:szCs w:val="22"/>
              </w:rPr>
            </w:pPr>
            <w:r>
              <w:rPr>
                <w:rFonts w:cs="Calibri"/>
                <w:color w:val="000000"/>
                <w:sz w:val="22"/>
                <w:szCs w:val="22"/>
                <w:lang w:val="ga"/>
              </w:rPr>
              <w:t>148</w:t>
            </w:r>
          </w:p>
        </w:tc>
        <w:tc>
          <w:tcPr>
            <w:tcW w:w="0" w:type="auto"/>
          </w:tcPr>
          <w:p w14:paraId="5496FA55" w14:textId="1501CFFF" w:rsidR="004D53C3" w:rsidRPr="004D53C3" w:rsidRDefault="004D53C3" w:rsidP="004D53C3">
            <w:pPr>
              <w:jc w:val="right"/>
              <w:rPr>
                <w:sz w:val="22"/>
                <w:szCs w:val="22"/>
              </w:rPr>
            </w:pPr>
            <w:r>
              <w:rPr>
                <w:rFonts w:cs="Calibri"/>
                <w:color w:val="000000"/>
                <w:sz w:val="22"/>
                <w:szCs w:val="22"/>
                <w:lang w:val="ga"/>
              </w:rPr>
              <w:t>6</w:t>
            </w:r>
          </w:p>
        </w:tc>
        <w:tc>
          <w:tcPr>
            <w:tcW w:w="2574" w:type="dxa"/>
          </w:tcPr>
          <w:p w14:paraId="3F0E6832" w14:textId="7D956CBD" w:rsidR="004D53C3" w:rsidRPr="004D53C3" w:rsidRDefault="004D53C3" w:rsidP="004D53C3">
            <w:pPr>
              <w:jc w:val="right"/>
              <w:rPr>
                <w:sz w:val="22"/>
                <w:szCs w:val="22"/>
              </w:rPr>
            </w:pPr>
            <w:r>
              <w:rPr>
                <w:rFonts w:cs="Calibri"/>
                <w:color w:val="000000"/>
                <w:sz w:val="22"/>
                <w:szCs w:val="22"/>
                <w:lang w:val="ga"/>
              </w:rPr>
              <w:t>4.1%</w:t>
            </w:r>
          </w:p>
        </w:tc>
      </w:tr>
      <w:tr w:rsidR="004D53C3" w:rsidRPr="004D53C3" w14:paraId="10866F66" w14:textId="77777777" w:rsidTr="000A4037">
        <w:tc>
          <w:tcPr>
            <w:tcW w:w="2015" w:type="dxa"/>
          </w:tcPr>
          <w:p w14:paraId="30CFB81C" w14:textId="04A43D81" w:rsidR="004D53C3" w:rsidRPr="004D53C3" w:rsidRDefault="004D53C3" w:rsidP="004D53C3">
            <w:pPr>
              <w:rPr>
                <w:sz w:val="22"/>
                <w:szCs w:val="22"/>
              </w:rPr>
            </w:pPr>
            <w:r>
              <w:rPr>
                <w:rFonts w:cs="Calibri"/>
                <w:color w:val="000000"/>
                <w:sz w:val="22"/>
                <w:szCs w:val="22"/>
                <w:lang w:val="ga"/>
              </w:rPr>
              <w:t>Iarnród Éireann</w:t>
            </w:r>
          </w:p>
        </w:tc>
        <w:tc>
          <w:tcPr>
            <w:tcW w:w="0" w:type="auto"/>
          </w:tcPr>
          <w:p w14:paraId="2BD6D5C7" w14:textId="7B8A95E8" w:rsidR="004D53C3" w:rsidRPr="004D53C3" w:rsidRDefault="004D53C3" w:rsidP="004D53C3">
            <w:pPr>
              <w:jc w:val="right"/>
              <w:rPr>
                <w:sz w:val="22"/>
                <w:szCs w:val="22"/>
              </w:rPr>
            </w:pPr>
            <w:r>
              <w:rPr>
                <w:rFonts w:cs="Calibri"/>
                <w:color w:val="000000"/>
                <w:sz w:val="22"/>
                <w:szCs w:val="22"/>
                <w:lang w:val="ga"/>
              </w:rPr>
              <w:t>4,244</w:t>
            </w:r>
          </w:p>
        </w:tc>
        <w:tc>
          <w:tcPr>
            <w:tcW w:w="0" w:type="auto"/>
          </w:tcPr>
          <w:p w14:paraId="6BD3F155" w14:textId="0AB57694" w:rsidR="004D53C3" w:rsidRPr="004D53C3" w:rsidRDefault="004D53C3" w:rsidP="004D53C3">
            <w:pPr>
              <w:jc w:val="right"/>
              <w:rPr>
                <w:sz w:val="22"/>
                <w:szCs w:val="22"/>
              </w:rPr>
            </w:pPr>
            <w:r>
              <w:rPr>
                <w:rFonts w:cs="Calibri"/>
                <w:color w:val="000000"/>
                <w:sz w:val="22"/>
                <w:szCs w:val="22"/>
                <w:lang w:val="ga"/>
              </w:rPr>
              <w:t>199</w:t>
            </w:r>
          </w:p>
        </w:tc>
        <w:tc>
          <w:tcPr>
            <w:tcW w:w="0" w:type="auto"/>
          </w:tcPr>
          <w:p w14:paraId="3CDE3301" w14:textId="0D3B70A8" w:rsidR="004D53C3" w:rsidRPr="004D53C3" w:rsidRDefault="004D53C3" w:rsidP="004D53C3">
            <w:pPr>
              <w:jc w:val="right"/>
              <w:rPr>
                <w:sz w:val="22"/>
                <w:szCs w:val="22"/>
              </w:rPr>
            </w:pPr>
            <w:r>
              <w:rPr>
                <w:rFonts w:cs="Calibri"/>
                <w:color w:val="000000"/>
                <w:sz w:val="22"/>
                <w:szCs w:val="22"/>
                <w:lang w:val="ga"/>
              </w:rPr>
              <w:t>4.7%</w:t>
            </w:r>
          </w:p>
        </w:tc>
        <w:tc>
          <w:tcPr>
            <w:tcW w:w="0" w:type="auto"/>
          </w:tcPr>
          <w:p w14:paraId="33578136" w14:textId="586571B3" w:rsidR="004D53C3" w:rsidRPr="004D53C3" w:rsidRDefault="004D53C3" w:rsidP="004D53C3">
            <w:pPr>
              <w:jc w:val="right"/>
              <w:rPr>
                <w:rFonts w:cs="Calibri"/>
                <w:color w:val="000000"/>
                <w:sz w:val="22"/>
                <w:szCs w:val="22"/>
              </w:rPr>
            </w:pPr>
            <w:r>
              <w:rPr>
                <w:rFonts w:cs="Calibri"/>
                <w:color w:val="000000"/>
                <w:sz w:val="22"/>
                <w:szCs w:val="22"/>
                <w:lang w:val="ga"/>
              </w:rPr>
              <w:t>4528</w:t>
            </w:r>
          </w:p>
        </w:tc>
        <w:tc>
          <w:tcPr>
            <w:tcW w:w="0" w:type="auto"/>
          </w:tcPr>
          <w:p w14:paraId="3F04B1E9" w14:textId="01952655" w:rsidR="004D53C3" w:rsidRPr="004D53C3" w:rsidRDefault="004D53C3" w:rsidP="004D53C3">
            <w:pPr>
              <w:jc w:val="right"/>
              <w:rPr>
                <w:sz w:val="22"/>
                <w:szCs w:val="22"/>
              </w:rPr>
            </w:pPr>
            <w:r>
              <w:rPr>
                <w:rFonts w:cs="Calibri"/>
                <w:color w:val="000000"/>
                <w:sz w:val="22"/>
                <w:szCs w:val="22"/>
                <w:lang w:val="ga"/>
              </w:rPr>
              <w:t>239</w:t>
            </w:r>
          </w:p>
        </w:tc>
        <w:tc>
          <w:tcPr>
            <w:tcW w:w="2574" w:type="dxa"/>
          </w:tcPr>
          <w:p w14:paraId="322A0173" w14:textId="68799142" w:rsidR="004D53C3" w:rsidRPr="004D53C3" w:rsidRDefault="004D53C3" w:rsidP="004D53C3">
            <w:pPr>
              <w:jc w:val="right"/>
              <w:rPr>
                <w:sz w:val="22"/>
                <w:szCs w:val="22"/>
              </w:rPr>
            </w:pPr>
            <w:r>
              <w:rPr>
                <w:rFonts w:cs="Calibri"/>
                <w:color w:val="000000"/>
                <w:sz w:val="22"/>
                <w:szCs w:val="22"/>
                <w:lang w:val="ga"/>
              </w:rPr>
              <w:t>5.3%</w:t>
            </w:r>
          </w:p>
        </w:tc>
      </w:tr>
      <w:tr w:rsidR="004D53C3" w:rsidRPr="004D53C3" w14:paraId="26A1907D" w14:textId="77777777" w:rsidTr="000A4037">
        <w:tc>
          <w:tcPr>
            <w:tcW w:w="2015" w:type="dxa"/>
          </w:tcPr>
          <w:p w14:paraId="106C4EA2" w14:textId="2BD823C7" w:rsidR="004D53C3" w:rsidRPr="004D53C3" w:rsidRDefault="004D53C3" w:rsidP="004D53C3">
            <w:pPr>
              <w:rPr>
                <w:sz w:val="22"/>
                <w:szCs w:val="22"/>
              </w:rPr>
            </w:pPr>
            <w:r>
              <w:rPr>
                <w:rFonts w:cs="Calibri"/>
                <w:color w:val="000000"/>
                <w:sz w:val="22"/>
                <w:szCs w:val="22"/>
                <w:lang w:val="ga"/>
              </w:rPr>
              <w:t>Údarás Eitlíochta na hÉireann</w:t>
            </w:r>
          </w:p>
        </w:tc>
        <w:tc>
          <w:tcPr>
            <w:tcW w:w="0" w:type="auto"/>
          </w:tcPr>
          <w:p w14:paraId="261167A2" w14:textId="6F51FC4E" w:rsidR="004D53C3" w:rsidRPr="004D53C3" w:rsidRDefault="004D53C3" w:rsidP="004D53C3">
            <w:pPr>
              <w:jc w:val="right"/>
              <w:rPr>
                <w:sz w:val="22"/>
                <w:szCs w:val="22"/>
              </w:rPr>
            </w:pPr>
            <w:r>
              <w:rPr>
                <w:rFonts w:cs="Calibri"/>
                <w:color w:val="000000"/>
                <w:sz w:val="22"/>
                <w:szCs w:val="22"/>
                <w:lang w:val="ga"/>
              </w:rPr>
              <w:t>711</w:t>
            </w:r>
          </w:p>
        </w:tc>
        <w:tc>
          <w:tcPr>
            <w:tcW w:w="0" w:type="auto"/>
          </w:tcPr>
          <w:p w14:paraId="04C16FF9" w14:textId="0F2B9151" w:rsidR="004D53C3" w:rsidRPr="004D53C3" w:rsidRDefault="004D53C3" w:rsidP="004D53C3">
            <w:pPr>
              <w:jc w:val="right"/>
              <w:rPr>
                <w:sz w:val="22"/>
                <w:szCs w:val="22"/>
              </w:rPr>
            </w:pPr>
            <w:r>
              <w:rPr>
                <w:rFonts w:cs="Calibri"/>
                <w:color w:val="000000"/>
                <w:sz w:val="22"/>
                <w:szCs w:val="22"/>
                <w:lang w:val="ga"/>
              </w:rPr>
              <w:t>37</w:t>
            </w:r>
          </w:p>
        </w:tc>
        <w:tc>
          <w:tcPr>
            <w:tcW w:w="0" w:type="auto"/>
          </w:tcPr>
          <w:p w14:paraId="0BF146D4" w14:textId="63667BAB" w:rsidR="004D53C3" w:rsidRPr="004D53C3" w:rsidRDefault="004D53C3" w:rsidP="004D53C3">
            <w:pPr>
              <w:jc w:val="right"/>
              <w:rPr>
                <w:sz w:val="22"/>
                <w:szCs w:val="22"/>
              </w:rPr>
            </w:pPr>
            <w:r>
              <w:rPr>
                <w:rFonts w:cs="Calibri"/>
                <w:color w:val="000000"/>
                <w:sz w:val="22"/>
                <w:szCs w:val="22"/>
                <w:lang w:val="ga"/>
              </w:rPr>
              <w:t>5.2%</w:t>
            </w:r>
          </w:p>
        </w:tc>
        <w:tc>
          <w:tcPr>
            <w:tcW w:w="0" w:type="auto"/>
          </w:tcPr>
          <w:p w14:paraId="4236DC4D" w14:textId="46C7D4C4" w:rsidR="004D53C3" w:rsidRPr="004D53C3" w:rsidRDefault="004D53C3" w:rsidP="004D53C3">
            <w:pPr>
              <w:jc w:val="right"/>
              <w:rPr>
                <w:sz w:val="22"/>
                <w:szCs w:val="22"/>
              </w:rPr>
            </w:pPr>
            <w:r>
              <w:rPr>
                <w:rFonts w:cs="Calibri"/>
                <w:color w:val="000000"/>
                <w:sz w:val="22"/>
                <w:szCs w:val="22"/>
                <w:lang w:val="ga"/>
              </w:rPr>
              <w:t>751</w:t>
            </w:r>
          </w:p>
        </w:tc>
        <w:tc>
          <w:tcPr>
            <w:tcW w:w="0" w:type="auto"/>
          </w:tcPr>
          <w:p w14:paraId="4DAE5308" w14:textId="51EC434D" w:rsidR="004D53C3" w:rsidRPr="004D53C3" w:rsidRDefault="004D53C3" w:rsidP="004D53C3">
            <w:pPr>
              <w:jc w:val="right"/>
              <w:rPr>
                <w:sz w:val="22"/>
                <w:szCs w:val="22"/>
              </w:rPr>
            </w:pPr>
            <w:r>
              <w:rPr>
                <w:rFonts w:cs="Calibri"/>
                <w:color w:val="000000"/>
                <w:sz w:val="22"/>
                <w:szCs w:val="22"/>
                <w:lang w:val="ga"/>
              </w:rPr>
              <w:t>38</w:t>
            </w:r>
          </w:p>
        </w:tc>
        <w:tc>
          <w:tcPr>
            <w:tcW w:w="2574" w:type="dxa"/>
          </w:tcPr>
          <w:p w14:paraId="33B44AAD" w14:textId="1AC681E5" w:rsidR="004D53C3" w:rsidRPr="004D53C3" w:rsidRDefault="004D53C3" w:rsidP="004D53C3">
            <w:pPr>
              <w:jc w:val="right"/>
              <w:rPr>
                <w:sz w:val="22"/>
                <w:szCs w:val="22"/>
              </w:rPr>
            </w:pPr>
            <w:r>
              <w:rPr>
                <w:rFonts w:cs="Calibri"/>
                <w:color w:val="000000"/>
                <w:sz w:val="22"/>
                <w:szCs w:val="22"/>
                <w:lang w:val="ga"/>
              </w:rPr>
              <w:t>5.1%</w:t>
            </w:r>
          </w:p>
        </w:tc>
      </w:tr>
      <w:tr w:rsidR="004D53C3" w:rsidRPr="004D53C3" w14:paraId="167566D9" w14:textId="77777777" w:rsidTr="000A4037">
        <w:tc>
          <w:tcPr>
            <w:tcW w:w="2015" w:type="dxa"/>
          </w:tcPr>
          <w:p w14:paraId="1F30C362" w14:textId="1DE15FB0" w:rsidR="004D53C3" w:rsidRPr="004D53C3" w:rsidRDefault="004D53C3" w:rsidP="004D53C3">
            <w:pPr>
              <w:rPr>
                <w:sz w:val="22"/>
                <w:szCs w:val="22"/>
              </w:rPr>
            </w:pPr>
            <w:r>
              <w:rPr>
                <w:rFonts w:cs="Calibri"/>
                <w:color w:val="000000"/>
                <w:sz w:val="22"/>
                <w:szCs w:val="22"/>
                <w:lang w:val="ga"/>
              </w:rPr>
              <w:t>Údarás Náisiúnta Iompair</w:t>
            </w:r>
          </w:p>
        </w:tc>
        <w:tc>
          <w:tcPr>
            <w:tcW w:w="0" w:type="auto"/>
          </w:tcPr>
          <w:p w14:paraId="2CC45461" w14:textId="2A443610" w:rsidR="004D53C3" w:rsidRPr="004D53C3" w:rsidRDefault="004D53C3" w:rsidP="004D53C3">
            <w:pPr>
              <w:jc w:val="right"/>
              <w:rPr>
                <w:sz w:val="22"/>
                <w:szCs w:val="22"/>
              </w:rPr>
            </w:pPr>
            <w:r>
              <w:rPr>
                <w:rFonts w:cs="Calibri"/>
                <w:color w:val="000000"/>
                <w:sz w:val="22"/>
                <w:szCs w:val="22"/>
                <w:lang w:val="ga"/>
              </w:rPr>
              <w:t>211</w:t>
            </w:r>
          </w:p>
        </w:tc>
        <w:tc>
          <w:tcPr>
            <w:tcW w:w="0" w:type="auto"/>
          </w:tcPr>
          <w:p w14:paraId="02E5D58C" w14:textId="0625FBFC" w:rsidR="004D53C3" w:rsidRPr="004D53C3" w:rsidRDefault="004D53C3" w:rsidP="004D53C3">
            <w:pPr>
              <w:jc w:val="right"/>
              <w:rPr>
                <w:sz w:val="22"/>
                <w:szCs w:val="22"/>
              </w:rPr>
            </w:pPr>
            <w:r>
              <w:rPr>
                <w:rFonts w:cs="Calibri"/>
                <w:color w:val="000000"/>
                <w:sz w:val="22"/>
                <w:szCs w:val="22"/>
                <w:lang w:val="ga"/>
              </w:rPr>
              <w:t>11</w:t>
            </w:r>
          </w:p>
        </w:tc>
        <w:tc>
          <w:tcPr>
            <w:tcW w:w="0" w:type="auto"/>
          </w:tcPr>
          <w:p w14:paraId="463E1A33" w14:textId="1DDA7E18" w:rsidR="004D53C3" w:rsidRPr="004D53C3" w:rsidRDefault="004D53C3" w:rsidP="004D53C3">
            <w:pPr>
              <w:jc w:val="right"/>
              <w:rPr>
                <w:sz w:val="22"/>
                <w:szCs w:val="22"/>
              </w:rPr>
            </w:pPr>
            <w:r>
              <w:rPr>
                <w:rFonts w:cs="Calibri"/>
                <w:color w:val="000000"/>
                <w:sz w:val="22"/>
                <w:szCs w:val="22"/>
                <w:lang w:val="ga"/>
              </w:rPr>
              <w:t>5.2%</w:t>
            </w:r>
          </w:p>
        </w:tc>
        <w:tc>
          <w:tcPr>
            <w:tcW w:w="0" w:type="auto"/>
          </w:tcPr>
          <w:p w14:paraId="577FF52A" w14:textId="7B3A3CE4" w:rsidR="004D53C3" w:rsidRPr="004D53C3" w:rsidRDefault="004D53C3" w:rsidP="004D53C3">
            <w:pPr>
              <w:jc w:val="right"/>
              <w:rPr>
                <w:sz w:val="22"/>
                <w:szCs w:val="22"/>
              </w:rPr>
            </w:pPr>
            <w:r>
              <w:rPr>
                <w:rFonts w:cs="Calibri"/>
                <w:color w:val="000000"/>
                <w:sz w:val="22"/>
                <w:szCs w:val="22"/>
                <w:lang w:val="ga"/>
              </w:rPr>
              <w:t>240</w:t>
            </w:r>
          </w:p>
        </w:tc>
        <w:tc>
          <w:tcPr>
            <w:tcW w:w="0" w:type="auto"/>
          </w:tcPr>
          <w:p w14:paraId="62ED268B" w14:textId="6FDEB232" w:rsidR="004D53C3" w:rsidRPr="004D53C3" w:rsidRDefault="004D53C3" w:rsidP="004D53C3">
            <w:pPr>
              <w:jc w:val="right"/>
              <w:rPr>
                <w:sz w:val="22"/>
                <w:szCs w:val="22"/>
              </w:rPr>
            </w:pPr>
            <w:r>
              <w:rPr>
                <w:rFonts w:cs="Calibri"/>
                <w:color w:val="000000"/>
                <w:sz w:val="22"/>
                <w:szCs w:val="22"/>
                <w:lang w:val="ga"/>
              </w:rPr>
              <w:t>18</w:t>
            </w:r>
          </w:p>
        </w:tc>
        <w:tc>
          <w:tcPr>
            <w:tcW w:w="2574" w:type="dxa"/>
          </w:tcPr>
          <w:p w14:paraId="3EEC9DFA" w14:textId="4C71FDC4" w:rsidR="004D53C3" w:rsidRPr="004D53C3" w:rsidRDefault="004D53C3" w:rsidP="004D53C3">
            <w:pPr>
              <w:jc w:val="right"/>
              <w:rPr>
                <w:sz w:val="22"/>
                <w:szCs w:val="22"/>
              </w:rPr>
            </w:pPr>
            <w:r>
              <w:rPr>
                <w:rFonts w:cs="Calibri"/>
                <w:color w:val="000000"/>
                <w:sz w:val="22"/>
                <w:szCs w:val="22"/>
                <w:lang w:val="ga"/>
              </w:rPr>
              <w:t>7.5%</w:t>
            </w:r>
          </w:p>
        </w:tc>
      </w:tr>
      <w:tr w:rsidR="004D53C3" w:rsidRPr="004D53C3" w14:paraId="74209BFF" w14:textId="77777777" w:rsidTr="000A4037">
        <w:tc>
          <w:tcPr>
            <w:tcW w:w="2015" w:type="dxa"/>
          </w:tcPr>
          <w:p w14:paraId="30F7634E" w14:textId="6A20A6F8" w:rsidR="004D53C3" w:rsidRPr="004D53C3" w:rsidRDefault="004D53C3" w:rsidP="004D53C3">
            <w:pPr>
              <w:rPr>
                <w:sz w:val="22"/>
                <w:szCs w:val="22"/>
              </w:rPr>
            </w:pPr>
            <w:r>
              <w:rPr>
                <w:rFonts w:cs="Calibri"/>
                <w:color w:val="000000"/>
                <w:sz w:val="22"/>
                <w:szCs w:val="22"/>
                <w:lang w:val="ga"/>
              </w:rPr>
              <w:t>Cuideachta Phort Chorcaí</w:t>
            </w:r>
          </w:p>
        </w:tc>
        <w:tc>
          <w:tcPr>
            <w:tcW w:w="0" w:type="auto"/>
          </w:tcPr>
          <w:p w14:paraId="1DA98453" w14:textId="1FFFB5A0" w:rsidR="004D53C3" w:rsidRPr="004D53C3" w:rsidRDefault="004D53C3" w:rsidP="004D53C3">
            <w:pPr>
              <w:jc w:val="right"/>
              <w:rPr>
                <w:sz w:val="22"/>
                <w:szCs w:val="22"/>
              </w:rPr>
            </w:pPr>
            <w:r>
              <w:rPr>
                <w:rFonts w:cs="Calibri"/>
                <w:color w:val="000000"/>
                <w:sz w:val="22"/>
                <w:szCs w:val="22"/>
                <w:lang w:val="ga"/>
              </w:rPr>
              <w:t>150</w:t>
            </w:r>
          </w:p>
        </w:tc>
        <w:tc>
          <w:tcPr>
            <w:tcW w:w="0" w:type="auto"/>
          </w:tcPr>
          <w:p w14:paraId="0B462797" w14:textId="61C65F59" w:rsidR="004D53C3" w:rsidRPr="004D53C3" w:rsidRDefault="004D53C3" w:rsidP="004D53C3">
            <w:pPr>
              <w:jc w:val="right"/>
              <w:rPr>
                <w:sz w:val="22"/>
                <w:szCs w:val="22"/>
              </w:rPr>
            </w:pPr>
            <w:r>
              <w:rPr>
                <w:rFonts w:cs="Calibri"/>
                <w:color w:val="000000"/>
                <w:sz w:val="22"/>
                <w:szCs w:val="22"/>
                <w:lang w:val="ga"/>
              </w:rPr>
              <w:t>6</w:t>
            </w:r>
          </w:p>
        </w:tc>
        <w:tc>
          <w:tcPr>
            <w:tcW w:w="0" w:type="auto"/>
          </w:tcPr>
          <w:p w14:paraId="1D69919E" w14:textId="75F2B318" w:rsidR="004D53C3" w:rsidRPr="004D53C3" w:rsidRDefault="004D53C3" w:rsidP="004D53C3">
            <w:pPr>
              <w:jc w:val="right"/>
              <w:rPr>
                <w:sz w:val="22"/>
                <w:szCs w:val="22"/>
              </w:rPr>
            </w:pPr>
            <w:r>
              <w:rPr>
                <w:rFonts w:cs="Calibri"/>
                <w:color w:val="000000"/>
                <w:sz w:val="22"/>
                <w:szCs w:val="22"/>
                <w:lang w:val="ga"/>
              </w:rPr>
              <w:t>4.0%</w:t>
            </w:r>
          </w:p>
        </w:tc>
        <w:tc>
          <w:tcPr>
            <w:tcW w:w="0" w:type="auto"/>
          </w:tcPr>
          <w:p w14:paraId="760411FE" w14:textId="043EE0EE" w:rsidR="004D53C3" w:rsidRPr="004D53C3" w:rsidRDefault="004D53C3" w:rsidP="004D53C3">
            <w:pPr>
              <w:jc w:val="right"/>
              <w:rPr>
                <w:sz w:val="22"/>
                <w:szCs w:val="22"/>
              </w:rPr>
            </w:pPr>
            <w:r>
              <w:rPr>
                <w:rFonts w:cs="Calibri"/>
                <w:color w:val="000000"/>
                <w:sz w:val="22"/>
                <w:szCs w:val="22"/>
                <w:lang w:val="ga"/>
              </w:rPr>
              <w:t>169</w:t>
            </w:r>
          </w:p>
        </w:tc>
        <w:tc>
          <w:tcPr>
            <w:tcW w:w="0" w:type="auto"/>
          </w:tcPr>
          <w:p w14:paraId="153334F0" w14:textId="4D670992" w:rsidR="004D53C3" w:rsidRPr="004D53C3" w:rsidRDefault="004D53C3" w:rsidP="004D53C3">
            <w:pPr>
              <w:jc w:val="right"/>
              <w:rPr>
                <w:sz w:val="22"/>
                <w:szCs w:val="22"/>
              </w:rPr>
            </w:pPr>
            <w:r>
              <w:rPr>
                <w:rFonts w:cs="Calibri"/>
                <w:color w:val="000000"/>
                <w:sz w:val="22"/>
                <w:szCs w:val="22"/>
                <w:lang w:val="ga"/>
              </w:rPr>
              <w:t>12</w:t>
            </w:r>
          </w:p>
        </w:tc>
        <w:tc>
          <w:tcPr>
            <w:tcW w:w="2574" w:type="dxa"/>
          </w:tcPr>
          <w:p w14:paraId="688291CF" w14:textId="4C211E4C" w:rsidR="004D53C3" w:rsidRPr="004D53C3" w:rsidRDefault="004D53C3" w:rsidP="004D53C3">
            <w:pPr>
              <w:jc w:val="right"/>
              <w:rPr>
                <w:sz w:val="22"/>
                <w:szCs w:val="22"/>
              </w:rPr>
            </w:pPr>
            <w:r>
              <w:rPr>
                <w:rFonts w:cs="Calibri"/>
                <w:color w:val="000000"/>
                <w:sz w:val="22"/>
                <w:szCs w:val="22"/>
                <w:lang w:val="ga"/>
              </w:rPr>
              <w:t>7.1%</w:t>
            </w:r>
          </w:p>
        </w:tc>
      </w:tr>
      <w:tr w:rsidR="004D53C3" w:rsidRPr="004D53C3" w14:paraId="7243F611" w14:textId="77777777" w:rsidTr="000A4037">
        <w:tc>
          <w:tcPr>
            <w:tcW w:w="2015" w:type="dxa"/>
          </w:tcPr>
          <w:p w14:paraId="337259B4" w14:textId="365651F0" w:rsidR="004D53C3" w:rsidRPr="004D53C3" w:rsidRDefault="004D53C3" w:rsidP="004D53C3">
            <w:pPr>
              <w:rPr>
                <w:sz w:val="22"/>
                <w:szCs w:val="22"/>
              </w:rPr>
            </w:pPr>
            <w:r>
              <w:rPr>
                <w:rFonts w:cs="Calibri"/>
                <w:color w:val="000000"/>
                <w:sz w:val="22"/>
                <w:szCs w:val="22"/>
                <w:lang w:val="ga"/>
              </w:rPr>
              <w:t>Cuideachta Chuan Phort Láirge</w:t>
            </w:r>
          </w:p>
        </w:tc>
        <w:tc>
          <w:tcPr>
            <w:tcW w:w="0" w:type="auto"/>
          </w:tcPr>
          <w:p w14:paraId="44E83006" w14:textId="341B2684" w:rsidR="004D53C3" w:rsidRPr="004D53C3" w:rsidRDefault="004D53C3" w:rsidP="004D53C3">
            <w:pPr>
              <w:jc w:val="right"/>
              <w:rPr>
                <w:sz w:val="22"/>
                <w:szCs w:val="22"/>
              </w:rPr>
            </w:pPr>
            <w:r>
              <w:rPr>
                <w:rFonts w:cs="Calibri"/>
                <w:color w:val="000000"/>
                <w:sz w:val="22"/>
                <w:szCs w:val="22"/>
                <w:lang w:val="ga"/>
              </w:rPr>
              <w:t>42</w:t>
            </w:r>
          </w:p>
        </w:tc>
        <w:tc>
          <w:tcPr>
            <w:tcW w:w="0" w:type="auto"/>
          </w:tcPr>
          <w:p w14:paraId="1A8723A8" w14:textId="1D810274" w:rsidR="004D53C3" w:rsidRPr="004D53C3" w:rsidRDefault="004D53C3" w:rsidP="004D53C3">
            <w:pPr>
              <w:jc w:val="right"/>
              <w:rPr>
                <w:sz w:val="22"/>
                <w:szCs w:val="22"/>
              </w:rPr>
            </w:pPr>
            <w:r>
              <w:rPr>
                <w:rFonts w:cs="Calibri"/>
                <w:color w:val="000000"/>
                <w:sz w:val="22"/>
                <w:szCs w:val="22"/>
                <w:lang w:val="ga"/>
              </w:rPr>
              <w:t>3</w:t>
            </w:r>
          </w:p>
        </w:tc>
        <w:tc>
          <w:tcPr>
            <w:tcW w:w="0" w:type="auto"/>
          </w:tcPr>
          <w:p w14:paraId="4D6FB6D4" w14:textId="552DD876" w:rsidR="004D53C3" w:rsidRPr="004D53C3" w:rsidRDefault="004D53C3" w:rsidP="004D53C3">
            <w:pPr>
              <w:jc w:val="right"/>
              <w:rPr>
                <w:sz w:val="22"/>
                <w:szCs w:val="22"/>
              </w:rPr>
            </w:pPr>
            <w:r>
              <w:rPr>
                <w:rFonts w:cs="Calibri"/>
                <w:color w:val="000000"/>
                <w:sz w:val="22"/>
                <w:szCs w:val="22"/>
                <w:lang w:val="ga"/>
              </w:rPr>
              <w:t>7.1%</w:t>
            </w:r>
          </w:p>
        </w:tc>
        <w:tc>
          <w:tcPr>
            <w:tcW w:w="0" w:type="auto"/>
          </w:tcPr>
          <w:p w14:paraId="51C5B1D7" w14:textId="7B47C5BA" w:rsidR="004D53C3" w:rsidRPr="004D53C3" w:rsidRDefault="004D53C3" w:rsidP="004D53C3">
            <w:pPr>
              <w:jc w:val="right"/>
              <w:rPr>
                <w:sz w:val="22"/>
                <w:szCs w:val="22"/>
              </w:rPr>
            </w:pPr>
            <w:r>
              <w:rPr>
                <w:rFonts w:cs="Calibri"/>
                <w:color w:val="000000"/>
                <w:sz w:val="22"/>
                <w:szCs w:val="22"/>
                <w:lang w:val="ga"/>
              </w:rPr>
              <w:t>41</w:t>
            </w:r>
          </w:p>
        </w:tc>
        <w:tc>
          <w:tcPr>
            <w:tcW w:w="0" w:type="auto"/>
          </w:tcPr>
          <w:p w14:paraId="2844623E" w14:textId="04E704FA" w:rsidR="004D53C3" w:rsidRPr="004D53C3" w:rsidRDefault="004D53C3" w:rsidP="004D53C3">
            <w:pPr>
              <w:jc w:val="right"/>
              <w:rPr>
                <w:sz w:val="22"/>
                <w:szCs w:val="22"/>
              </w:rPr>
            </w:pPr>
            <w:r>
              <w:rPr>
                <w:rFonts w:cs="Calibri"/>
                <w:color w:val="000000"/>
                <w:sz w:val="22"/>
                <w:szCs w:val="22"/>
                <w:lang w:val="ga"/>
              </w:rPr>
              <w:t>3</w:t>
            </w:r>
          </w:p>
        </w:tc>
        <w:tc>
          <w:tcPr>
            <w:tcW w:w="2574" w:type="dxa"/>
          </w:tcPr>
          <w:p w14:paraId="6279B5E5" w14:textId="452C86D2" w:rsidR="004D53C3" w:rsidRPr="004D53C3" w:rsidRDefault="004D53C3" w:rsidP="004D53C3">
            <w:pPr>
              <w:jc w:val="right"/>
              <w:rPr>
                <w:sz w:val="22"/>
                <w:szCs w:val="22"/>
              </w:rPr>
            </w:pPr>
            <w:r>
              <w:rPr>
                <w:rFonts w:cs="Calibri"/>
                <w:color w:val="000000"/>
                <w:sz w:val="22"/>
                <w:szCs w:val="22"/>
                <w:lang w:val="ga"/>
              </w:rPr>
              <w:t>7.3%</w:t>
            </w:r>
          </w:p>
        </w:tc>
      </w:tr>
      <w:tr w:rsidR="004D53C3" w:rsidRPr="004D53C3" w14:paraId="61513E83" w14:textId="77777777" w:rsidTr="000A4037">
        <w:tc>
          <w:tcPr>
            <w:tcW w:w="2015" w:type="dxa"/>
          </w:tcPr>
          <w:p w14:paraId="3443EF40" w14:textId="2892387C" w:rsidR="004D53C3" w:rsidRPr="004D53C3" w:rsidRDefault="004D53C3" w:rsidP="004D53C3">
            <w:pPr>
              <w:rPr>
                <w:sz w:val="22"/>
                <w:szCs w:val="22"/>
              </w:rPr>
            </w:pPr>
            <w:r>
              <w:rPr>
                <w:rFonts w:cs="Calibri"/>
                <w:color w:val="000000"/>
                <w:sz w:val="22"/>
                <w:szCs w:val="22"/>
                <w:lang w:val="ga"/>
              </w:rPr>
              <w:t>An tÚdarás um Shábháilteacht ar Bhóithre</w:t>
            </w:r>
          </w:p>
        </w:tc>
        <w:tc>
          <w:tcPr>
            <w:tcW w:w="0" w:type="auto"/>
          </w:tcPr>
          <w:p w14:paraId="2D3E3481" w14:textId="6307C1D5" w:rsidR="004D53C3" w:rsidRPr="004D53C3" w:rsidRDefault="004D53C3" w:rsidP="004D53C3">
            <w:pPr>
              <w:jc w:val="right"/>
              <w:rPr>
                <w:sz w:val="22"/>
                <w:szCs w:val="22"/>
              </w:rPr>
            </w:pPr>
            <w:r>
              <w:rPr>
                <w:rFonts w:cs="Calibri"/>
                <w:color w:val="000000"/>
                <w:sz w:val="22"/>
                <w:szCs w:val="22"/>
                <w:lang w:val="ga"/>
              </w:rPr>
              <w:t>430</w:t>
            </w:r>
          </w:p>
        </w:tc>
        <w:tc>
          <w:tcPr>
            <w:tcW w:w="0" w:type="auto"/>
          </w:tcPr>
          <w:p w14:paraId="467112ED" w14:textId="1BCAF1C2" w:rsidR="004D53C3" w:rsidRPr="004D53C3" w:rsidRDefault="004D53C3" w:rsidP="004D53C3">
            <w:pPr>
              <w:jc w:val="right"/>
              <w:rPr>
                <w:sz w:val="22"/>
                <w:szCs w:val="22"/>
              </w:rPr>
            </w:pPr>
            <w:r>
              <w:rPr>
                <w:rFonts w:cs="Calibri"/>
                <w:color w:val="000000"/>
                <w:sz w:val="22"/>
                <w:szCs w:val="22"/>
                <w:lang w:val="ga"/>
              </w:rPr>
              <w:t>23</w:t>
            </w:r>
          </w:p>
        </w:tc>
        <w:tc>
          <w:tcPr>
            <w:tcW w:w="0" w:type="auto"/>
          </w:tcPr>
          <w:p w14:paraId="7AEFF4AC" w14:textId="2105B625" w:rsidR="004D53C3" w:rsidRPr="004D53C3" w:rsidRDefault="004D53C3" w:rsidP="004D53C3">
            <w:pPr>
              <w:jc w:val="right"/>
              <w:rPr>
                <w:sz w:val="22"/>
                <w:szCs w:val="22"/>
              </w:rPr>
            </w:pPr>
            <w:r>
              <w:rPr>
                <w:rFonts w:cs="Calibri"/>
                <w:color w:val="000000"/>
                <w:sz w:val="22"/>
                <w:szCs w:val="22"/>
                <w:lang w:val="ga"/>
              </w:rPr>
              <w:t>5.3%</w:t>
            </w:r>
          </w:p>
        </w:tc>
        <w:tc>
          <w:tcPr>
            <w:tcW w:w="0" w:type="auto"/>
          </w:tcPr>
          <w:p w14:paraId="628A5DDF" w14:textId="0B79646A" w:rsidR="004D53C3" w:rsidRPr="004D53C3" w:rsidRDefault="004D53C3" w:rsidP="004D53C3">
            <w:pPr>
              <w:jc w:val="right"/>
              <w:rPr>
                <w:sz w:val="22"/>
                <w:szCs w:val="22"/>
              </w:rPr>
            </w:pPr>
            <w:r>
              <w:rPr>
                <w:rFonts w:cs="Calibri"/>
                <w:color w:val="000000"/>
                <w:sz w:val="22"/>
                <w:szCs w:val="22"/>
                <w:lang w:val="ga"/>
              </w:rPr>
              <w:t>405</w:t>
            </w:r>
          </w:p>
        </w:tc>
        <w:tc>
          <w:tcPr>
            <w:tcW w:w="0" w:type="auto"/>
          </w:tcPr>
          <w:p w14:paraId="714029B9" w14:textId="2DB6A39E" w:rsidR="004D53C3" w:rsidRPr="004D53C3" w:rsidRDefault="004D53C3" w:rsidP="004D53C3">
            <w:pPr>
              <w:jc w:val="right"/>
              <w:rPr>
                <w:sz w:val="22"/>
                <w:szCs w:val="22"/>
              </w:rPr>
            </w:pPr>
            <w:r>
              <w:rPr>
                <w:rFonts w:cs="Calibri"/>
                <w:color w:val="000000"/>
                <w:sz w:val="22"/>
                <w:szCs w:val="22"/>
                <w:lang w:val="ga"/>
              </w:rPr>
              <w:t>25</w:t>
            </w:r>
          </w:p>
        </w:tc>
        <w:tc>
          <w:tcPr>
            <w:tcW w:w="2574" w:type="dxa"/>
          </w:tcPr>
          <w:p w14:paraId="458D85C2" w14:textId="583CFE54" w:rsidR="004D53C3" w:rsidRPr="004D53C3" w:rsidRDefault="004D53C3" w:rsidP="004D53C3">
            <w:pPr>
              <w:jc w:val="right"/>
              <w:rPr>
                <w:sz w:val="22"/>
                <w:szCs w:val="22"/>
              </w:rPr>
            </w:pPr>
            <w:r>
              <w:rPr>
                <w:rFonts w:cs="Calibri"/>
                <w:color w:val="000000"/>
                <w:sz w:val="22"/>
                <w:szCs w:val="22"/>
                <w:lang w:val="ga"/>
              </w:rPr>
              <w:t>6.2%</w:t>
            </w:r>
          </w:p>
        </w:tc>
      </w:tr>
      <w:tr w:rsidR="004D53C3" w:rsidRPr="004D53C3" w14:paraId="53D60921" w14:textId="77777777" w:rsidTr="000A4037">
        <w:tc>
          <w:tcPr>
            <w:tcW w:w="2015" w:type="dxa"/>
          </w:tcPr>
          <w:p w14:paraId="04D81C08" w14:textId="0C8DC4CB" w:rsidR="004D53C3" w:rsidRPr="004D53C3" w:rsidRDefault="004D53C3" w:rsidP="004D53C3">
            <w:pPr>
              <w:rPr>
                <w:sz w:val="22"/>
                <w:szCs w:val="22"/>
              </w:rPr>
            </w:pPr>
            <w:r>
              <w:rPr>
                <w:rFonts w:cs="Calibri"/>
                <w:color w:val="000000"/>
                <w:sz w:val="22"/>
                <w:szCs w:val="22"/>
                <w:lang w:val="ga"/>
              </w:rPr>
              <w:t>Cuideachta Phort na Sionainne agus Fhainge</w:t>
            </w:r>
          </w:p>
        </w:tc>
        <w:tc>
          <w:tcPr>
            <w:tcW w:w="0" w:type="auto"/>
          </w:tcPr>
          <w:p w14:paraId="71B81CB8" w14:textId="15BEAAF5" w:rsidR="004D53C3" w:rsidRPr="004D53C3" w:rsidRDefault="004D53C3" w:rsidP="004D53C3">
            <w:pPr>
              <w:jc w:val="right"/>
              <w:rPr>
                <w:sz w:val="22"/>
                <w:szCs w:val="22"/>
              </w:rPr>
            </w:pPr>
            <w:r>
              <w:rPr>
                <w:rFonts w:cs="Calibri"/>
                <w:color w:val="000000"/>
                <w:sz w:val="22"/>
                <w:szCs w:val="22"/>
                <w:lang w:val="ga"/>
              </w:rPr>
              <w:t>63</w:t>
            </w:r>
          </w:p>
        </w:tc>
        <w:tc>
          <w:tcPr>
            <w:tcW w:w="0" w:type="auto"/>
          </w:tcPr>
          <w:p w14:paraId="3F32B96D" w14:textId="01851403" w:rsidR="004D53C3" w:rsidRPr="004D53C3" w:rsidRDefault="004D53C3" w:rsidP="004D53C3">
            <w:pPr>
              <w:jc w:val="right"/>
              <w:rPr>
                <w:sz w:val="22"/>
                <w:szCs w:val="22"/>
              </w:rPr>
            </w:pPr>
            <w:r>
              <w:rPr>
                <w:rFonts w:cs="Calibri"/>
                <w:color w:val="000000"/>
                <w:sz w:val="22"/>
                <w:szCs w:val="22"/>
                <w:lang w:val="ga"/>
              </w:rPr>
              <w:t>2</w:t>
            </w:r>
          </w:p>
        </w:tc>
        <w:tc>
          <w:tcPr>
            <w:tcW w:w="0" w:type="auto"/>
          </w:tcPr>
          <w:p w14:paraId="18006ABC" w14:textId="3CC5F144" w:rsidR="004D53C3" w:rsidRPr="004D53C3" w:rsidRDefault="004D53C3" w:rsidP="004D53C3">
            <w:pPr>
              <w:jc w:val="right"/>
              <w:rPr>
                <w:sz w:val="22"/>
                <w:szCs w:val="22"/>
              </w:rPr>
            </w:pPr>
            <w:r>
              <w:rPr>
                <w:rFonts w:cs="Calibri"/>
                <w:color w:val="000000"/>
                <w:sz w:val="22"/>
                <w:szCs w:val="22"/>
                <w:lang w:val="ga"/>
              </w:rPr>
              <w:t>3.2%</w:t>
            </w:r>
          </w:p>
        </w:tc>
        <w:tc>
          <w:tcPr>
            <w:tcW w:w="0" w:type="auto"/>
          </w:tcPr>
          <w:p w14:paraId="630B637F" w14:textId="4B0DE317" w:rsidR="004D53C3" w:rsidRPr="004D53C3" w:rsidRDefault="004D53C3" w:rsidP="004D53C3">
            <w:pPr>
              <w:jc w:val="right"/>
              <w:rPr>
                <w:sz w:val="22"/>
                <w:szCs w:val="22"/>
              </w:rPr>
            </w:pPr>
            <w:r>
              <w:rPr>
                <w:rFonts w:cs="Calibri"/>
                <w:color w:val="000000"/>
                <w:sz w:val="22"/>
                <w:szCs w:val="22"/>
                <w:lang w:val="ga"/>
              </w:rPr>
              <w:t>65</w:t>
            </w:r>
          </w:p>
        </w:tc>
        <w:tc>
          <w:tcPr>
            <w:tcW w:w="0" w:type="auto"/>
          </w:tcPr>
          <w:p w14:paraId="46F4D7A0" w14:textId="52AFB219" w:rsidR="004D53C3" w:rsidRPr="004D53C3" w:rsidRDefault="004D53C3" w:rsidP="004D53C3">
            <w:pPr>
              <w:jc w:val="right"/>
              <w:rPr>
                <w:sz w:val="22"/>
                <w:szCs w:val="22"/>
              </w:rPr>
            </w:pPr>
            <w:r>
              <w:rPr>
                <w:rFonts w:cs="Calibri"/>
                <w:color w:val="000000"/>
                <w:sz w:val="22"/>
                <w:szCs w:val="22"/>
                <w:lang w:val="ga"/>
              </w:rPr>
              <w:t>4</w:t>
            </w:r>
          </w:p>
        </w:tc>
        <w:tc>
          <w:tcPr>
            <w:tcW w:w="2574" w:type="dxa"/>
          </w:tcPr>
          <w:p w14:paraId="3A0102D2" w14:textId="36F5C6C4" w:rsidR="004D53C3" w:rsidRPr="004D53C3" w:rsidRDefault="004D53C3" w:rsidP="004D53C3">
            <w:pPr>
              <w:jc w:val="right"/>
              <w:rPr>
                <w:sz w:val="22"/>
                <w:szCs w:val="22"/>
              </w:rPr>
            </w:pPr>
            <w:r>
              <w:rPr>
                <w:rFonts w:cs="Calibri"/>
                <w:color w:val="000000"/>
                <w:sz w:val="22"/>
                <w:szCs w:val="22"/>
                <w:lang w:val="ga"/>
              </w:rPr>
              <w:t>6.2%</w:t>
            </w:r>
          </w:p>
        </w:tc>
      </w:tr>
      <w:tr w:rsidR="004D53C3" w:rsidRPr="004D53C3" w14:paraId="29DC3523" w14:textId="77777777" w:rsidTr="000A4037">
        <w:tc>
          <w:tcPr>
            <w:tcW w:w="2015" w:type="dxa"/>
          </w:tcPr>
          <w:p w14:paraId="552924D5" w14:textId="79438842" w:rsidR="004D53C3" w:rsidRPr="004D53C3" w:rsidRDefault="004D53C3" w:rsidP="004D53C3">
            <w:pPr>
              <w:rPr>
                <w:sz w:val="22"/>
                <w:szCs w:val="22"/>
              </w:rPr>
            </w:pPr>
            <w:r>
              <w:rPr>
                <w:rFonts w:cs="Calibri"/>
                <w:color w:val="000000"/>
                <w:sz w:val="22"/>
                <w:szCs w:val="22"/>
                <w:lang w:val="ga"/>
              </w:rPr>
              <w:t>Grúpa na Sionainne cpt</w:t>
            </w:r>
          </w:p>
        </w:tc>
        <w:tc>
          <w:tcPr>
            <w:tcW w:w="0" w:type="auto"/>
          </w:tcPr>
          <w:p w14:paraId="2676E429" w14:textId="08FFCDE7" w:rsidR="004D53C3" w:rsidRPr="004D53C3" w:rsidRDefault="004D53C3" w:rsidP="004D53C3">
            <w:pPr>
              <w:jc w:val="right"/>
              <w:rPr>
                <w:sz w:val="22"/>
                <w:szCs w:val="22"/>
              </w:rPr>
            </w:pPr>
            <w:r>
              <w:rPr>
                <w:rFonts w:cs="Calibri"/>
                <w:color w:val="000000"/>
                <w:sz w:val="22"/>
                <w:szCs w:val="22"/>
                <w:lang w:val="ga"/>
              </w:rPr>
              <w:t>430</w:t>
            </w:r>
          </w:p>
        </w:tc>
        <w:tc>
          <w:tcPr>
            <w:tcW w:w="0" w:type="auto"/>
          </w:tcPr>
          <w:p w14:paraId="3A1BB822" w14:textId="5F697787" w:rsidR="004D53C3" w:rsidRPr="004D53C3" w:rsidRDefault="004D53C3" w:rsidP="004D53C3">
            <w:pPr>
              <w:jc w:val="right"/>
              <w:rPr>
                <w:sz w:val="22"/>
                <w:szCs w:val="22"/>
              </w:rPr>
            </w:pPr>
            <w:r>
              <w:rPr>
                <w:rFonts w:cs="Calibri"/>
                <w:color w:val="000000"/>
                <w:sz w:val="22"/>
                <w:szCs w:val="22"/>
                <w:lang w:val="ga"/>
              </w:rPr>
              <w:t>16</w:t>
            </w:r>
          </w:p>
        </w:tc>
        <w:tc>
          <w:tcPr>
            <w:tcW w:w="0" w:type="auto"/>
          </w:tcPr>
          <w:p w14:paraId="5473D5E1" w14:textId="6E9245BF" w:rsidR="004D53C3" w:rsidRPr="004D53C3" w:rsidRDefault="004D53C3" w:rsidP="004D53C3">
            <w:pPr>
              <w:jc w:val="right"/>
              <w:rPr>
                <w:sz w:val="22"/>
                <w:szCs w:val="22"/>
              </w:rPr>
            </w:pPr>
            <w:r>
              <w:rPr>
                <w:rFonts w:cs="Calibri"/>
                <w:color w:val="000000"/>
                <w:sz w:val="22"/>
                <w:szCs w:val="22"/>
                <w:lang w:val="ga"/>
              </w:rPr>
              <w:t>3.7%</w:t>
            </w:r>
          </w:p>
        </w:tc>
        <w:tc>
          <w:tcPr>
            <w:tcW w:w="0" w:type="auto"/>
          </w:tcPr>
          <w:p w14:paraId="7AE0F74B" w14:textId="6ECDC61D" w:rsidR="004D53C3" w:rsidRPr="004D53C3" w:rsidRDefault="004D53C3" w:rsidP="004D53C3">
            <w:pPr>
              <w:jc w:val="right"/>
              <w:rPr>
                <w:sz w:val="22"/>
                <w:szCs w:val="22"/>
              </w:rPr>
            </w:pPr>
            <w:r>
              <w:rPr>
                <w:rFonts w:cs="Calibri"/>
                <w:color w:val="000000"/>
                <w:sz w:val="22"/>
                <w:szCs w:val="22"/>
                <w:lang w:val="ga"/>
              </w:rPr>
              <w:t>400</w:t>
            </w:r>
          </w:p>
        </w:tc>
        <w:tc>
          <w:tcPr>
            <w:tcW w:w="0" w:type="auto"/>
          </w:tcPr>
          <w:p w14:paraId="237C014B" w14:textId="395050C9" w:rsidR="004D53C3" w:rsidRPr="004D53C3" w:rsidRDefault="004D53C3" w:rsidP="004D53C3">
            <w:pPr>
              <w:jc w:val="right"/>
              <w:rPr>
                <w:sz w:val="22"/>
                <w:szCs w:val="22"/>
              </w:rPr>
            </w:pPr>
            <w:r>
              <w:rPr>
                <w:rFonts w:cs="Calibri"/>
                <w:color w:val="000000"/>
                <w:sz w:val="22"/>
                <w:szCs w:val="22"/>
                <w:lang w:val="ga"/>
              </w:rPr>
              <w:t>16</w:t>
            </w:r>
          </w:p>
        </w:tc>
        <w:tc>
          <w:tcPr>
            <w:tcW w:w="2574" w:type="dxa"/>
          </w:tcPr>
          <w:p w14:paraId="674A5643" w14:textId="0DD71669" w:rsidR="004D53C3" w:rsidRPr="004D53C3" w:rsidRDefault="004D53C3" w:rsidP="004D53C3">
            <w:pPr>
              <w:jc w:val="right"/>
              <w:rPr>
                <w:sz w:val="22"/>
                <w:szCs w:val="22"/>
              </w:rPr>
            </w:pPr>
            <w:r>
              <w:rPr>
                <w:rFonts w:cs="Calibri"/>
                <w:color w:val="000000"/>
                <w:sz w:val="22"/>
                <w:szCs w:val="22"/>
                <w:lang w:val="ga"/>
              </w:rPr>
              <w:t>4.0%</w:t>
            </w:r>
          </w:p>
        </w:tc>
      </w:tr>
      <w:tr w:rsidR="004D53C3" w:rsidRPr="004D53C3" w14:paraId="16ECB405" w14:textId="77777777" w:rsidTr="000A4037">
        <w:tc>
          <w:tcPr>
            <w:tcW w:w="2015" w:type="dxa"/>
          </w:tcPr>
          <w:p w14:paraId="7FEF4FA9" w14:textId="2ECF5279" w:rsidR="004D53C3" w:rsidRPr="004D53C3" w:rsidRDefault="004D53C3" w:rsidP="004D53C3">
            <w:pPr>
              <w:rPr>
                <w:sz w:val="22"/>
                <w:szCs w:val="22"/>
              </w:rPr>
            </w:pPr>
            <w:r>
              <w:rPr>
                <w:rFonts w:cs="Calibri"/>
                <w:color w:val="000000"/>
                <w:sz w:val="22"/>
                <w:szCs w:val="22"/>
                <w:lang w:val="ga"/>
              </w:rPr>
              <w:t>Bonneagar Iompair Éireann</w:t>
            </w:r>
          </w:p>
        </w:tc>
        <w:tc>
          <w:tcPr>
            <w:tcW w:w="0" w:type="auto"/>
          </w:tcPr>
          <w:p w14:paraId="1ACFFF55" w14:textId="6C8C064B" w:rsidR="004D53C3" w:rsidRPr="004D53C3" w:rsidRDefault="004D53C3" w:rsidP="004D53C3">
            <w:pPr>
              <w:jc w:val="right"/>
              <w:rPr>
                <w:sz w:val="22"/>
                <w:szCs w:val="22"/>
              </w:rPr>
            </w:pPr>
            <w:r>
              <w:rPr>
                <w:rFonts w:cs="Calibri"/>
                <w:color w:val="000000"/>
                <w:sz w:val="22"/>
                <w:szCs w:val="22"/>
                <w:lang w:val="ga"/>
              </w:rPr>
              <w:t>281</w:t>
            </w:r>
          </w:p>
        </w:tc>
        <w:tc>
          <w:tcPr>
            <w:tcW w:w="0" w:type="auto"/>
          </w:tcPr>
          <w:p w14:paraId="388319F3" w14:textId="1F50786D" w:rsidR="004D53C3" w:rsidRPr="004D53C3" w:rsidRDefault="004D53C3" w:rsidP="004D53C3">
            <w:pPr>
              <w:jc w:val="right"/>
              <w:rPr>
                <w:sz w:val="22"/>
                <w:szCs w:val="22"/>
              </w:rPr>
            </w:pPr>
            <w:r>
              <w:rPr>
                <w:rFonts w:cs="Calibri"/>
                <w:color w:val="000000"/>
                <w:sz w:val="22"/>
                <w:szCs w:val="22"/>
                <w:lang w:val="ga"/>
              </w:rPr>
              <w:t>12</w:t>
            </w:r>
          </w:p>
        </w:tc>
        <w:tc>
          <w:tcPr>
            <w:tcW w:w="0" w:type="auto"/>
          </w:tcPr>
          <w:p w14:paraId="1887505A" w14:textId="4B05C415" w:rsidR="004D53C3" w:rsidRPr="004D53C3" w:rsidRDefault="004D53C3" w:rsidP="004D53C3">
            <w:pPr>
              <w:jc w:val="right"/>
              <w:rPr>
                <w:sz w:val="22"/>
                <w:szCs w:val="22"/>
              </w:rPr>
            </w:pPr>
            <w:r>
              <w:rPr>
                <w:rFonts w:cs="Calibri"/>
                <w:color w:val="000000"/>
                <w:sz w:val="22"/>
                <w:szCs w:val="22"/>
                <w:lang w:val="ga"/>
              </w:rPr>
              <w:t>4.3%</w:t>
            </w:r>
          </w:p>
        </w:tc>
        <w:tc>
          <w:tcPr>
            <w:tcW w:w="0" w:type="auto"/>
          </w:tcPr>
          <w:p w14:paraId="1A2254B4" w14:textId="673641CA" w:rsidR="004D53C3" w:rsidRPr="004D53C3" w:rsidRDefault="004D53C3" w:rsidP="004D53C3">
            <w:pPr>
              <w:jc w:val="right"/>
              <w:rPr>
                <w:sz w:val="22"/>
                <w:szCs w:val="22"/>
              </w:rPr>
            </w:pPr>
            <w:r>
              <w:rPr>
                <w:rFonts w:cs="Calibri"/>
                <w:color w:val="000000"/>
                <w:sz w:val="22"/>
                <w:szCs w:val="22"/>
                <w:lang w:val="ga"/>
              </w:rPr>
              <w:t>295</w:t>
            </w:r>
          </w:p>
        </w:tc>
        <w:tc>
          <w:tcPr>
            <w:tcW w:w="0" w:type="auto"/>
          </w:tcPr>
          <w:p w14:paraId="32184639" w14:textId="5937F17B" w:rsidR="004D53C3" w:rsidRPr="004D53C3" w:rsidRDefault="004D53C3" w:rsidP="004D53C3">
            <w:pPr>
              <w:jc w:val="right"/>
              <w:rPr>
                <w:sz w:val="22"/>
                <w:szCs w:val="22"/>
              </w:rPr>
            </w:pPr>
            <w:r>
              <w:rPr>
                <w:rFonts w:cs="Calibri"/>
                <w:color w:val="000000"/>
                <w:sz w:val="22"/>
                <w:szCs w:val="22"/>
                <w:lang w:val="ga"/>
              </w:rPr>
              <w:t>15</w:t>
            </w:r>
          </w:p>
        </w:tc>
        <w:tc>
          <w:tcPr>
            <w:tcW w:w="2574" w:type="dxa"/>
          </w:tcPr>
          <w:p w14:paraId="684AC176" w14:textId="0F837F62" w:rsidR="004D53C3" w:rsidRPr="004D53C3" w:rsidRDefault="004D53C3" w:rsidP="004D53C3">
            <w:pPr>
              <w:jc w:val="right"/>
              <w:rPr>
                <w:sz w:val="22"/>
                <w:szCs w:val="22"/>
              </w:rPr>
            </w:pPr>
            <w:r>
              <w:rPr>
                <w:rFonts w:cs="Calibri"/>
                <w:color w:val="000000"/>
                <w:sz w:val="22"/>
                <w:szCs w:val="22"/>
                <w:lang w:val="ga"/>
              </w:rPr>
              <w:t>5.1%</w:t>
            </w:r>
          </w:p>
        </w:tc>
      </w:tr>
      <w:tr w:rsidR="004D53C3" w:rsidRPr="004C3D5B" w14:paraId="211D042A" w14:textId="77777777" w:rsidTr="000A4037">
        <w:trPr>
          <w:trHeight w:val="529"/>
        </w:trPr>
        <w:tc>
          <w:tcPr>
            <w:tcW w:w="2015" w:type="dxa"/>
          </w:tcPr>
          <w:p w14:paraId="45F72AB0" w14:textId="77777777" w:rsidR="004D53C3" w:rsidRPr="004D53C3" w:rsidRDefault="004D53C3" w:rsidP="004D53C3">
            <w:pPr>
              <w:spacing w:after="0"/>
              <w:rPr>
                <w:b/>
                <w:sz w:val="22"/>
                <w:szCs w:val="22"/>
              </w:rPr>
            </w:pPr>
            <w:r>
              <w:rPr>
                <w:b/>
                <w:bCs/>
                <w:sz w:val="22"/>
                <w:szCs w:val="22"/>
                <w:lang w:val="ga"/>
              </w:rPr>
              <w:t xml:space="preserve">Mór-Iomlán </w:t>
            </w:r>
          </w:p>
          <w:p w14:paraId="169F8CFA" w14:textId="6B15FF7C" w:rsidR="004D53C3" w:rsidRPr="004D53C3" w:rsidRDefault="004D53C3" w:rsidP="004D53C3">
            <w:pPr>
              <w:spacing w:after="0"/>
              <w:rPr>
                <w:sz w:val="22"/>
                <w:szCs w:val="22"/>
              </w:rPr>
            </w:pPr>
          </w:p>
        </w:tc>
        <w:tc>
          <w:tcPr>
            <w:tcW w:w="0" w:type="auto"/>
          </w:tcPr>
          <w:p w14:paraId="374036EA" w14:textId="77777777" w:rsidR="004D53C3" w:rsidRPr="004D53C3" w:rsidRDefault="004D53C3" w:rsidP="004D53C3">
            <w:pPr>
              <w:spacing w:after="0"/>
              <w:jc w:val="right"/>
              <w:rPr>
                <w:rFonts w:cs="Calibri"/>
                <w:b/>
                <w:bCs/>
                <w:color w:val="000000"/>
                <w:sz w:val="22"/>
                <w:szCs w:val="22"/>
              </w:rPr>
            </w:pPr>
            <w:r>
              <w:rPr>
                <w:rFonts w:cs="Calibri"/>
                <w:b/>
                <w:bCs/>
                <w:color w:val="000000"/>
                <w:sz w:val="22"/>
                <w:szCs w:val="22"/>
                <w:lang w:val="ga"/>
              </w:rPr>
              <w:t>15,854</w:t>
            </w:r>
          </w:p>
          <w:p w14:paraId="01EFFEA8" w14:textId="6004B94A" w:rsidR="004D53C3" w:rsidRPr="004D53C3" w:rsidRDefault="004D53C3" w:rsidP="004D53C3">
            <w:pPr>
              <w:spacing w:after="0"/>
              <w:jc w:val="right"/>
              <w:rPr>
                <w:b/>
                <w:sz w:val="22"/>
                <w:szCs w:val="22"/>
              </w:rPr>
            </w:pPr>
          </w:p>
        </w:tc>
        <w:tc>
          <w:tcPr>
            <w:tcW w:w="0" w:type="auto"/>
          </w:tcPr>
          <w:p w14:paraId="35878E51" w14:textId="77777777" w:rsidR="004D53C3" w:rsidRPr="004D53C3" w:rsidRDefault="004D53C3" w:rsidP="004D53C3">
            <w:pPr>
              <w:spacing w:after="0"/>
              <w:jc w:val="right"/>
              <w:rPr>
                <w:rFonts w:cs="Calibri"/>
                <w:b/>
                <w:bCs/>
                <w:color w:val="000000"/>
                <w:sz w:val="22"/>
                <w:szCs w:val="22"/>
              </w:rPr>
            </w:pPr>
            <w:r>
              <w:rPr>
                <w:rFonts w:cs="Calibri"/>
                <w:b/>
                <w:bCs/>
                <w:color w:val="000000"/>
                <w:sz w:val="22"/>
                <w:szCs w:val="22"/>
                <w:lang w:val="ga"/>
              </w:rPr>
              <w:t>835</w:t>
            </w:r>
          </w:p>
          <w:p w14:paraId="6F093078" w14:textId="4792A65B" w:rsidR="004D53C3" w:rsidRPr="004D53C3" w:rsidRDefault="004D53C3" w:rsidP="004D53C3">
            <w:pPr>
              <w:spacing w:after="0"/>
              <w:jc w:val="right"/>
              <w:rPr>
                <w:b/>
                <w:sz w:val="22"/>
                <w:szCs w:val="22"/>
              </w:rPr>
            </w:pPr>
          </w:p>
        </w:tc>
        <w:tc>
          <w:tcPr>
            <w:tcW w:w="0" w:type="auto"/>
          </w:tcPr>
          <w:p w14:paraId="4E9569B3" w14:textId="36426646" w:rsidR="004D53C3" w:rsidRPr="004D53C3" w:rsidRDefault="004D53C3" w:rsidP="004D53C3">
            <w:pPr>
              <w:spacing w:after="0"/>
              <w:jc w:val="right"/>
              <w:rPr>
                <w:b/>
                <w:sz w:val="22"/>
                <w:szCs w:val="22"/>
              </w:rPr>
            </w:pPr>
            <w:r>
              <w:rPr>
                <w:b/>
                <w:bCs/>
                <w:sz w:val="22"/>
                <w:szCs w:val="22"/>
                <w:lang w:val="ga"/>
              </w:rPr>
              <w:t>5.3%</w:t>
            </w:r>
          </w:p>
        </w:tc>
        <w:tc>
          <w:tcPr>
            <w:tcW w:w="0" w:type="auto"/>
          </w:tcPr>
          <w:p w14:paraId="250E3C2F" w14:textId="77777777" w:rsidR="004D53C3" w:rsidRDefault="004D53C3" w:rsidP="004D53C3">
            <w:pPr>
              <w:spacing w:after="0"/>
              <w:jc w:val="right"/>
              <w:rPr>
                <w:rFonts w:cs="Calibri"/>
                <w:b/>
                <w:bCs/>
                <w:color w:val="000000"/>
                <w:sz w:val="22"/>
                <w:szCs w:val="22"/>
              </w:rPr>
            </w:pPr>
            <w:r>
              <w:rPr>
                <w:rFonts w:cs="Calibri"/>
                <w:b/>
                <w:bCs/>
                <w:color w:val="000000"/>
                <w:sz w:val="22"/>
                <w:szCs w:val="22"/>
                <w:lang w:val="ga"/>
              </w:rPr>
              <w:t>16871</w:t>
            </w:r>
          </w:p>
          <w:p w14:paraId="5504DD68" w14:textId="738F4940" w:rsidR="004D53C3" w:rsidRPr="004D53C3" w:rsidRDefault="004D53C3" w:rsidP="004D53C3">
            <w:pPr>
              <w:spacing w:after="0"/>
              <w:jc w:val="right"/>
              <w:rPr>
                <w:b/>
                <w:sz w:val="22"/>
                <w:szCs w:val="22"/>
              </w:rPr>
            </w:pPr>
          </w:p>
        </w:tc>
        <w:tc>
          <w:tcPr>
            <w:tcW w:w="0" w:type="auto"/>
          </w:tcPr>
          <w:p w14:paraId="5B452DCF" w14:textId="77777777" w:rsidR="004D53C3" w:rsidRDefault="004D53C3" w:rsidP="004D53C3">
            <w:pPr>
              <w:spacing w:after="0"/>
              <w:jc w:val="right"/>
              <w:rPr>
                <w:rFonts w:cs="Calibri"/>
                <w:b/>
                <w:bCs/>
                <w:color w:val="000000"/>
                <w:sz w:val="22"/>
                <w:szCs w:val="22"/>
              </w:rPr>
            </w:pPr>
            <w:r>
              <w:rPr>
                <w:rFonts w:cs="Calibri"/>
                <w:b/>
                <w:bCs/>
                <w:color w:val="000000"/>
                <w:sz w:val="22"/>
                <w:szCs w:val="22"/>
                <w:lang w:val="ga"/>
              </w:rPr>
              <w:t>953</w:t>
            </w:r>
          </w:p>
          <w:p w14:paraId="36AEAF68" w14:textId="33D7A986" w:rsidR="004D53C3" w:rsidRPr="004D53C3" w:rsidRDefault="004D53C3" w:rsidP="004D53C3">
            <w:pPr>
              <w:spacing w:after="0"/>
              <w:jc w:val="right"/>
              <w:rPr>
                <w:b/>
                <w:sz w:val="22"/>
                <w:szCs w:val="22"/>
              </w:rPr>
            </w:pPr>
          </w:p>
        </w:tc>
        <w:tc>
          <w:tcPr>
            <w:tcW w:w="2574" w:type="dxa"/>
          </w:tcPr>
          <w:p w14:paraId="49D022EB" w14:textId="77777777" w:rsidR="004D53C3" w:rsidRDefault="004D53C3" w:rsidP="004D53C3">
            <w:pPr>
              <w:spacing w:after="0"/>
              <w:jc w:val="right"/>
              <w:rPr>
                <w:rFonts w:cs="Calibri"/>
                <w:b/>
                <w:bCs/>
                <w:color w:val="000000"/>
                <w:sz w:val="22"/>
                <w:szCs w:val="22"/>
              </w:rPr>
            </w:pPr>
            <w:r>
              <w:rPr>
                <w:rFonts w:cs="Calibri"/>
                <w:b/>
                <w:bCs/>
                <w:color w:val="000000"/>
                <w:sz w:val="22"/>
                <w:szCs w:val="22"/>
                <w:lang w:val="ga"/>
              </w:rPr>
              <w:t>5.6%</w:t>
            </w:r>
          </w:p>
          <w:p w14:paraId="668BED57" w14:textId="5D17E185" w:rsidR="004D53C3" w:rsidRPr="004C3D5B" w:rsidRDefault="004D53C3" w:rsidP="004D53C3">
            <w:pPr>
              <w:spacing w:after="0"/>
              <w:jc w:val="right"/>
              <w:rPr>
                <w:b/>
                <w:sz w:val="22"/>
                <w:szCs w:val="22"/>
              </w:rPr>
            </w:pPr>
          </w:p>
        </w:tc>
      </w:tr>
    </w:tbl>
    <w:p w14:paraId="22B0434A" w14:textId="3C7F08FA" w:rsidR="00973B13" w:rsidRPr="004C3D5B" w:rsidRDefault="005D2DC5" w:rsidP="00092F8C">
      <w:pPr>
        <w:jc w:val="both"/>
      </w:pPr>
      <w:r>
        <w:rPr>
          <w:lang w:val="ga"/>
        </w:rPr>
        <w:br w:type="page"/>
      </w:r>
    </w:p>
    <w:p w14:paraId="1D9C6174" w14:textId="7B77C184" w:rsidR="00113CEE" w:rsidRPr="004C3D5B" w:rsidRDefault="00113CEE" w:rsidP="00973B13">
      <w:pPr>
        <w:rPr>
          <w:sz w:val="22"/>
          <w:szCs w:val="22"/>
        </w:rPr>
      </w:pPr>
    </w:p>
    <w:p w14:paraId="3C47D98B" w14:textId="35EC2B85" w:rsidR="00456933" w:rsidRPr="004C3D5B" w:rsidRDefault="00456933" w:rsidP="00973B13">
      <w:pPr>
        <w:rPr>
          <w:sz w:val="22"/>
          <w:szCs w:val="22"/>
        </w:rPr>
      </w:pPr>
    </w:p>
    <w:p w14:paraId="404E5C4B" w14:textId="116B51CC" w:rsidR="00456933" w:rsidRPr="004C3D5B" w:rsidRDefault="00456933" w:rsidP="00973B13">
      <w:pPr>
        <w:rPr>
          <w:sz w:val="22"/>
          <w:szCs w:val="22"/>
        </w:rPr>
      </w:pPr>
    </w:p>
    <w:p w14:paraId="5D2DADA3" w14:textId="12D1D03F" w:rsidR="00456933" w:rsidRPr="004C3D5B" w:rsidRDefault="00456933" w:rsidP="00973B13">
      <w:pPr>
        <w:rPr>
          <w:sz w:val="22"/>
          <w:szCs w:val="22"/>
        </w:rPr>
      </w:pPr>
    </w:p>
    <w:p w14:paraId="162ECA78" w14:textId="77777777" w:rsidR="00456933" w:rsidRPr="004C3D5B" w:rsidRDefault="00456933" w:rsidP="00973B13">
      <w:pPr>
        <w:rPr>
          <w:sz w:val="22"/>
          <w:szCs w:val="22"/>
        </w:rPr>
      </w:pPr>
    </w:p>
    <w:p w14:paraId="7EB9E877" w14:textId="5397BF8B" w:rsidR="00113CEE" w:rsidRPr="004C3D5B" w:rsidRDefault="00113CEE" w:rsidP="00973B13">
      <w:pPr>
        <w:rPr>
          <w:rFonts w:ascii="Rockwell" w:hAnsi="Rockwell"/>
        </w:rPr>
      </w:pPr>
    </w:p>
    <w:p w14:paraId="7F9C26D6" w14:textId="5B10434C" w:rsidR="00113CEE" w:rsidRPr="004C3D5B" w:rsidRDefault="00113CEE" w:rsidP="00973B13">
      <w:pPr>
        <w:rPr>
          <w:rFonts w:ascii="Rockwell" w:hAnsi="Rockwell"/>
        </w:rPr>
      </w:pPr>
    </w:p>
    <w:p w14:paraId="19F29BA5" w14:textId="2FC26BC5" w:rsidR="00113CEE" w:rsidRPr="004C3D5B" w:rsidRDefault="00113CEE" w:rsidP="00973B13">
      <w:pPr>
        <w:rPr>
          <w:rFonts w:ascii="Rockwell" w:hAnsi="Rockwell"/>
        </w:rPr>
      </w:pPr>
    </w:p>
    <w:p w14:paraId="3BFBEFEA" w14:textId="3B4C75C2" w:rsidR="00C85DAB" w:rsidRPr="004C3D5B" w:rsidRDefault="00C85DAB" w:rsidP="00973B13">
      <w:pPr>
        <w:rPr>
          <w:rFonts w:ascii="Rockwell" w:hAnsi="Rockwell"/>
        </w:rPr>
      </w:pPr>
    </w:p>
    <w:p w14:paraId="7333DB08" w14:textId="01928858" w:rsidR="00C85DAB" w:rsidRPr="004C3D5B" w:rsidRDefault="00C85DAB" w:rsidP="00973B13">
      <w:pPr>
        <w:rPr>
          <w:rFonts w:ascii="Rockwell" w:hAnsi="Rockwell"/>
        </w:rPr>
      </w:pPr>
    </w:p>
    <w:p w14:paraId="5D2D3C50" w14:textId="4DF2CB23" w:rsidR="00973B13" w:rsidRPr="004C3D5B" w:rsidRDefault="00973B13" w:rsidP="00973B13">
      <w:pPr>
        <w:rPr>
          <w:rFonts w:ascii="Rockwell" w:hAnsi="Rockwell"/>
        </w:rPr>
      </w:pPr>
      <w:r>
        <w:rPr>
          <w:noProof/>
          <w:lang w:val="ga"/>
        </w:rPr>
        <w:drawing>
          <wp:inline distT="0" distB="0" distL="0" distR="0" wp14:anchorId="133B2093" wp14:editId="256D2AE7">
            <wp:extent cx="1173480" cy="485775"/>
            <wp:effectExtent l="0" t="0" r="7620" b="9525"/>
            <wp:docPr id="2" name="Picture 11" descr="Lógó Ú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4C3D5B" w:rsidRDefault="00973B13" w:rsidP="00973B13">
      <w:pPr>
        <w:rPr>
          <w:rFonts w:ascii="Rockwell" w:hAnsi="Rockwell"/>
        </w:rPr>
      </w:pPr>
    </w:p>
    <w:p w14:paraId="40FE3F27" w14:textId="77777777" w:rsidR="00973B13" w:rsidRPr="004C3D5B" w:rsidRDefault="00973B13" w:rsidP="00973B13">
      <w:pPr>
        <w:rPr>
          <w:rFonts w:ascii="Rockwell" w:hAnsi="Rockwell"/>
          <w:b/>
        </w:rPr>
      </w:pPr>
      <w:r>
        <w:rPr>
          <w:rFonts w:ascii="Rockwell" w:hAnsi="Rockwell"/>
          <w:b/>
          <w:bCs/>
          <w:lang w:val="ga"/>
        </w:rPr>
        <w:t>An tÚdarás Náisiúnta Míchumais</w:t>
      </w:r>
    </w:p>
    <w:p w14:paraId="74C98053" w14:textId="77777777" w:rsidR="00973B13" w:rsidRPr="004C3D5B" w:rsidRDefault="00973B13" w:rsidP="00973B13">
      <w:pPr>
        <w:rPr>
          <w:rFonts w:ascii="Rockwell" w:hAnsi="Rockwell"/>
        </w:rPr>
      </w:pPr>
      <w:r>
        <w:rPr>
          <w:rFonts w:ascii="Rockwell" w:hAnsi="Rockwell"/>
          <w:lang w:val="ga"/>
        </w:rPr>
        <w:t>25 Bóthar Chluaidh, Baile Átha Cliath 4</w:t>
      </w:r>
    </w:p>
    <w:p w14:paraId="714CE317" w14:textId="77777777" w:rsidR="00973B13" w:rsidRPr="004C3D5B" w:rsidRDefault="00973B13" w:rsidP="00973B13">
      <w:pPr>
        <w:rPr>
          <w:rFonts w:ascii="Rockwell" w:hAnsi="Rockwell"/>
        </w:rPr>
      </w:pPr>
      <w:r>
        <w:rPr>
          <w:rFonts w:ascii="Rockwell" w:hAnsi="Rockwell"/>
          <w:b/>
          <w:bCs/>
          <w:lang w:val="ga"/>
        </w:rPr>
        <w:t>Teileafón</w:t>
      </w:r>
      <w:r>
        <w:rPr>
          <w:rFonts w:ascii="Rockwell" w:hAnsi="Rockwell"/>
          <w:lang w:val="ga"/>
        </w:rPr>
        <w:t>: (01) 608 0400</w:t>
      </w:r>
    </w:p>
    <w:p w14:paraId="4AE67706" w14:textId="1CD55BB5" w:rsidR="00072B1D" w:rsidRPr="004C3D5B" w:rsidRDefault="00F67E44" w:rsidP="00072B1D">
      <w:pPr>
        <w:rPr>
          <w:rFonts w:ascii="Rockwell" w:hAnsi="Rockwell"/>
          <w:b/>
          <w:color w:val="0000FF"/>
          <w:u w:val="single"/>
        </w:rPr>
      </w:pPr>
      <w:hyperlink r:id="rId14" w:history="1">
        <w:r>
          <w:rPr>
            <w:rStyle w:val="Hyperlink"/>
            <w:rFonts w:ascii="Rockwell" w:hAnsi="Rockwell"/>
            <w:b/>
            <w:bCs/>
            <w:lang w:val="ga"/>
          </w:rPr>
          <w:t>www.nda.ie</w:t>
        </w:r>
      </w:hyperlink>
    </w:p>
    <w:p w14:paraId="519B5A91" w14:textId="2A16E1F0" w:rsidR="00973B13" w:rsidRPr="004C3D5B" w:rsidRDefault="00973B13" w:rsidP="001B54BB">
      <w:pPr>
        <w:spacing w:before="240" w:line="360" w:lineRule="auto"/>
        <w:rPr>
          <w:rFonts w:ascii="Rockwell" w:hAnsi="Rockwell"/>
        </w:rPr>
      </w:pPr>
      <w:r>
        <w:rPr>
          <w:rFonts w:ascii="Rockwell" w:hAnsi="Rockwell"/>
          <w:b/>
          <w:bCs/>
          <w:sz w:val="32"/>
          <w:szCs w:val="32"/>
          <w:lang w:val="ga"/>
        </w:rPr>
        <w:t>Is é an tÚdarás Náisiúnta Míchumais an comhlacht neamhspleách stáit a sholáthraíonn comhairle fhianaisebhunaithe don Rialtas maidir leis an mbeartas míchumais agus le cleachtais mhíchumais agus a chuireann an Dearadh Uilíoch chun cinn in Éirinn.</w:t>
      </w:r>
    </w:p>
    <w:p w14:paraId="43F041D8" w14:textId="169293D3" w:rsidR="00973B13" w:rsidRPr="00A970B1" w:rsidRDefault="00973B13" w:rsidP="00973B13">
      <w:pPr>
        <w:rPr>
          <w:rFonts w:ascii="Rockwell" w:hAnsi="Rockwell"/>
          <w:b/>
          <w:sz w:val="32"/>
          <w:szCs w:val="32"/>
        </w:rPr>
      </w:pPr>
      <w:r>
        <w:rPr>
          <w:rFonts w:ascii="Rockwell" w:hAnsi="Rockwell"/>
          <w:b/>
          <w:bCs/>
          <w:sz w:val="32"/>
          <w:szCs w:val="32"/>
          <w:lang w:val="ga"/>
        </w:rPr>
        <w:t xml:space="preserve"> </w:t>
      </w:r>
    </w:p>
    <w:sectPr w:rsidR="00973B13" w:rsidRPr="00A970B1">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0D7A" w14:textId="77777777" w:rsidR="00EA3060" w:rsidRDefault="00EA3060">
      <w:r>
        <w:separator/>
      </w:r>
    </w:p>
  </w:endnote>
  <w:endnote w:type="continuationSeparator" w:id="0">
    <w:p w14:paraId="47F61FF3" w14:textId="77777777" w:rsidR="00EA3060" w:rsidRDefault="00EA3060">
      <w:r>
        <w:continuationSeparator/>
      </w:r>
    </w:p>
  </w:endnote>
  <w:endnote w:type="continuationNotice" w:id="1">
    <w:p w14:paraId="21A0A20A" w14:textId="77777777" w:rsidR="00EA3060" w:rsidRDefault="00EA3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353454" w:rsidRDefault="00353454" w:rsidP="00D316AD">
    <w:pPr>
      <w:pStyle w:val="Footer"/>
      <w:jc w:val="right"/>
    </w:pPr>
    <w:r>
      <w:rPr>
        <w:lang w:val="ga"/>
      </w:rPr>
      <w:tab/>
    </w:r>
    <w:r>
      <w:rPr>
        <w:lang w:val="g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601EED13" w:rsidR="00353454" w:rsidRDefault="00353454">
        <w:pPr>
          <w:pStyle w:val="Footer"/>
          <w:jc w:val="right"/>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p w14:paraId="0597C103" w14:textId="77777777" w:rsidR="00353454" w:rsidRDefault="00353454"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543D6D97" w:rsidR="00353454" w:rsidRDefault="00353454">
        <w:pPr>
          <w:pStyle w:val="Footer"/>
          <w:jc w:val="right"/>
        </w:pPr>
        <w:r>
          <w:rPr>
            <w:lang w:val="ga"/>
          </w:rPr>
          <w:fldChar w:fldCharType="begin"/>
        </w:r>
        <w:r>
          <w:rPr>
            <w:lang w:val="ga"/>
          </w:rPr>
          <w:instrText xml:space="preserve"> PAGE   \* MERGEFORMAT </w:instrText>
        </w:r>
        <w:r>
          <w:rPr>
            <w:lang w:val="ga"/>
          </w:rPr>
          <w:fldChar w:fldCharType="separate"/>
        </w:r>
        <w:r>
          <w:rPr>
            <w:noProof/>
            <w:lang w:val="ga"/>
          </w:rPr>
          <w:t>6</w:t>
        </w:r>
        <w:r>
          <w:rPr>
            <w:noProof/>
            <w:lang w:val="ga"/>
          </w:rPr>
          <w:t>5</w:t>
        </w:r>
        <w:r>
          <w:rPr>
            <w:noProof/>
            <w:lang w:val="ga"/>
          </w:rPr>
          <w:fldChar w:fldCharType="end"/>
        </w:r>
      </w:p>
    </w:sdtContent>
  </w:sdt>
  <w:p w14:paraId="48F84672" w14:textId="1CFE189F" w:rsidR="00353454" w:rsidRDefault="0035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C34D" w14:textId="77777777" w:rsidR="00EA3060" w:rsidRDefault="00EA3060">
      <w:r>
        <w:separator/>
      </w:r>
    </w:p>
  </w:footnote>
  <w:footnote w:type="continuationSeparator" w:id="0">
    <w:p w14:paraId="608DD842" w14:textId="77777777" w:rsidR="00EA3060" w:rsidRDefault="00EA3060">
      <w:r>
        <w:continuationSeparator/>
      </w:r>
    </w:p>
  </w:footnote>
  <w:footnote w:type="continuationNotice" w:id="1">
    <w:p w14:paraId="03EB923D" w14:textId="77777777" w:rsidR="00EA3060" w:rsidRDefault="00EA30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B9521418"/>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756051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62124B"/>
    <w:multiLevelType w:val="hybridMultilevel"/>
    <w:tmpl w:val="B5261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564ADE"/>
    <w:multiLevelType w:val="hybridMultilevel"/>
    <w:tmpl w:val="FFFFFFFF"/>
    <w:lvl w:ilvl="0" w:tplc="EFD205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A03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475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8AEB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E9C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F6C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637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4B6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089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BC00D3"/>
    <w:multiLevelType w:val="hybridMultilevel"/>
    <w:tmpl w:val="9C74B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5D383C"/>
    <w:multiLevelType w:val="hybridMultilevel"/>
    <w:tmpl w:val="19EE46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785EBB"/>
    <w:multiLevelType w:val="hybridMultilevel"/>
    <w:tmpl w:val="D4ECE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FA65DD"/>
    <w:multiLevelType w:val="hybridMultilevel"/>
    <w:tmpl w:val="F1306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C57682"/>
    <w:multiLevelType w:val="hybridMultilevel"/>
    <w:tmpl w:val="3A8C8F1A"/>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3" w15:restartNumberingAfterBreak="0">
    <w:nsid w:val="31234F16"/>
    <w:multiLevelType w:val="hybridMultilevel"/>
    <w:tmpl w:val="A9A2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F36418"/>
    <w:multiLevelType w:val="hybridMultilevel"/>
    <w:tmpl w:val="5372BC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33D719C"/>
    <w:multiLevelType w:val="hybridMultilevel"/>
    <w:tmpl w:val="85F6B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C16CDF"/>
    <w:multiLevelType w:val="hybridMultilevel"/>
    <w:tmpl w:val="DE8422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39D2E79"/>
    <w:multiLevelType w:val="hybridMultilevel"/>
    <w:tmpl w:val="2AF458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52B33CC"/>
    <w:multiLevelType w:val="hybridMultilevel"/>
    <w:tmpl w:val="B8FC1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B9A14BE"/>
    <w:multiLevelType w:val="hybridMultilevel"/>
    <w:tmpl w:val="1AD4A5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F373B01"/>
    <w:multiLevelType w:val="hybridMultilevel"/>
    <w:tmpl w:val="BAC6B4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BA10748"/>
    <w:multiLevelType w:val="hybridMultilevel"/>
    <w:tmpl w:val="F25431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BD8336D"/>
    <w:multiLevelType w:val="hybridMultilevel"/>
    <w:tmpl w:val="313C3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C900E7"/>
    <w:multiLevelType w:val="hybridMultilevel"/>
    <w:tmpl w:val="AB72A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A3123AF"/>
    <w:multiLevelType w:val="hybridMultilevel"/>
    <w:tmpl w:val="33C46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8937069"/>
    <w:multiLevelType w:val="hybridMultilevel"/>
    <w:tmpl w:val="47D2A01C"/>
    <w:lvl w:ilvl="0" w:tplc="AD6A4C94">
      <w:start w:val="40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C3D7266"/>
    <w:multiLevelType w:val="hybridMultilevel"/>
    <w:tmpl w:val="F35A5C66"/>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num w:numId="1" w16cid:durableId="734204901">
    <w:abstractNumId w:val="5"/>
  </w:num>
  <w:num w:numId="2" w16cid:durableId="894003372">
    <w:abstractNumId w:val="3"/>
  </w:num>
  <w:num w:numId="3" w16cid:durableId="1472140141">
    <w:abstractNumId w:val="2"/>
  </w:num>
  <w:num w:numId="4" w16cid:durableId="624041602">
    <w:abstractNumId w:val="4"/>
  </w:num>
  <w:num w:numId="5" w16cid:durableId="1026296660">
    <w:abstractNumId w:val="1"/>
  </w:num>
  <w:num w:numId="6" w16cid:durableId="1038971755">
    <w:abstractNumId w:val="0"/>
  </w:num>
  <w:num w:numId="7" w16cid:durableId="1660428855">
    <w:abstractNumId w:val="9"/>
  </w:num>
  <w:num w:numId="8" w16cid:durableId="1190336574">
    <w:abstractNumId w:val="16"/>
  </w:num>
  <w:num w:numId="9" w16cid:durableId="103886097">
    <w:abstractNumId w:val="12"/>
  </w:num>
  <w:num w:numId="10" w16cid:durableId="1371105451">
    <w:abstractNumId w:val="18"/>
  </w:num>
  <w:num w:numId="11" w16cid:durableId="683242414">
    <w:abstractNumId w:val="15"/>
  </w:num>
  <w:num w:numId="12" w16cid:durableId="1615289669">
    <w:abstractNumId w:val="23"/>
  </w:num>
  <w:num w:numId="13" w16cid:durableId="108860105">
    <w:abstractNumId w:val="26"/>
  </w:num>
  <w:num w:numId="14" w16cid:durableId="1938979042">
    <w:abstractNumId w:val="7"/>
  </w:num>
  <w:num w:numId="15" w16cid:durableId="1889032343">
    <w:abstractNumId w:val="21"/>
  </w:num>
  <w:num w:numId="16" w16cid:durableId="218714198">
    <w:abstractNumId w:val="17"/>
  </w:num>
  <w:num w:numId="17" w16cid:durableId="1755588501">
    <w:abstractNumId w:val="11"/>
  </w:num>
  <w:num w:numId="18" w16cid:durableId="1215121132">
    <w:abstractNumId w:val="6"/>
  </w:num>
  <w:num w:numId="19" w16cid:durableId="1818959889">
    <w:abstractNumId w:val="24"/>
  </w:num>
  <w:num w:numId="20" w16cid:durableId="1652782231">
    <w:abstractNumId w:val="8"/>
  </w:num>
  <w:num w:numId="21" w16cid:durableId="524248299">
    <w:abstractNumId w:val="22"/>
  </w:num>
  <w:num w:numId="22" w16cid:durableId="190608715">
    <w:abstractNumId w:val="10"/>
  </w:num>
  <w:num w:numId="23" w16cid:durableId="499658008">
    <w:abstractNumId w:val="13"/>
  </w:num>
  <w:num w:numId="24" w16cid:durableId="1055860265">
    <w:abstractNumId w:val="14"/>
  </w:num>
  <w:num w:numId="25" w16cid:durableId="1310786298">
    <w:abstractNumId w:val="20"/>
  </w:num>
  <w:num w:numId="26" w16cid:durableId="367535701">
    <w:abstractNumId w:val="25"/>
  </w:num>
  <w:num w:numId="27" w16cid:durableId="183443783">
    <w:abstractNumId w:val="19"/>
  </w:num>
  <w:num w:numId="28" w16cid:durableId="732387808">
    <w:abstractNumId w:val="5"/>
  </w:num>
  <w:num w:numId="29" w16cid:durableId="126426454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B1"/>
    <w:rsid w:val="0000030A"/>
    <w:rsid w:val="0000058A"/>
    <w:rsid w:val="00000AA3"/>
    <w:rsid w:val="00001536"/>
    <w:rsid w:val="00002558"/>
    <w:rsid w:val="00002A59"/>
    <w:rsid w:val="00002F5E"/>
    <w:rsid w:val="00002F98"/>
    <w:rsid w:val="0000306A"/>
    <w:rsid w:val="0000574F"/>
    <w:rsid w:val="00005D40"/>
    <w:rsid w:val="00006408"/>
    <w:rsid w:val="000064E4"/>
    <w:rsid w:val="0000656D"/>
    <w:rsid w:val="00006EAC"/>
    <w:rsid w:val="00007218"/>
    <w:rsid w:val="00007289"/>
    <w:rsid w:val="000076BF"/>
    <w:rsid w:val="000077BB"/>
    <w:rsid w:val="0001038B"/>
    <w:rsid w:val="000108E0"/>
    <w:rsid w:val="00010945"/>
    <w:rsid w:val="000125BA"/>
    <w:rsid w:val="00013F71"/>
    <w:rsid w:val="000140BF"/>
    <w:rsid w:val="000164E0"/>
    <w:rsid w:val="0001692E"/>
    <w:rsid w:val="00017C18"/>
    <w:rsid w:val="00020671"/>
    <w:rsid w:val="00020926"/>
    <w:rsid w:val="000219F1"/>
    <w:rsid w:val="0002335B"/>
    <w:rsid w:val="000235A2"/>
    <w:rsid w:val="00023D3B"/>
    <w:rsid w:val="000247A1"/>
    <w:rsid w:val="00024AFF"/>
    <w:rsid w:val="00024C62"/>
    <w:rsid w:val="00025CDF"/>
    <w:rsid w:val="0002687C"/>
    <w:rsid w:val="0002701D"/>
    <w:rsid w:val="00031890"/>
    <w:rsid w:val="00032A59"/>
    <w:rsid w:val="00035466"/>
    <w:rsid w:val="00037518"/>
    <w:rsid w:val="00037CCE"/>
    <w:rsid w:val="0004098B"/>
    <w:rsid w:val="00040DE2"/>
    <w:rsid w:val="00041B93"/>
    <w:rsid w:val="000422E2"/>
    <w:rsid w:val="00042640"/>
    <w:rsid w:val="00042DD4"/>
    <w:rsid w:val="00043B66"/>
    <w:rsid w:val="00043DE3"/>
    <w:rsid w:val="0004587D"/>
    <w:rsid w:val="00045E0A"/>
    <w:rsid w:val="00045EE6"/>
    <w:rsid w:val="00045FD3"/>
    <w:rsid w:val="0004646A"/>
    <w:rsid w:val="00046B63"/>
    <w:rsid w:val="00046D0A"/>
    <w:rsid w:val="000500EF"/>
    <w:rsid w:val="00050A05"/>
    <w:rsid w:val="00051512"/>
    <w:rsid w:val="00051C8E"/>
    <w:rsid w:val="00051E45"/>
    <w:rsid w:val="0005358C"/>
    <w:rsid w:val="0005374F"/>
    <w:rsid w:val="000539E7"/>
    <w:rsid w:val="0005435B"/>
    <w:rsid w:val="00056548"/>
    <w:rsid w:val="00056CCB"/>
    <w:rsid w:val="00057FD3"/>
    <w:rsid w:val="00060A37"/>
    <w:rsid w:val="00061230"/>
    <w:rsid w:val="000630A2"/>
    <w:rsid w:val="000637E5"/>
    <w:rsid w:val="00064706"/>
    <w:rsid w:val="00064C1F"/>
    <w:rsid w:val="00064C9A"/>
    <w:rsid w:val="00067205"/>
    <w:rsid w:val="00067891"/>
    <w:rsid w:val="00070557"/>
    <w:rsid w:val="000709BB"/>
    <w:rsid w:val="00072B1D"/>
    <w:rsid w:val="00072FAF"/>
    <w:rsid w:val="00073764"/>
    <w:rsid w:val="00074BE9"/>
    <w:rsid w:val="000752EB"/>
    <w:rsid w:val="00075814"/>
    <w:rsid w:val="0007589F"/>
    <w:rsid w:val="00076C0A"/>
    <w:rsid w:val="000818DA"/>
    <w:rsid w:val="00082A56"/>
    <w:rsid w:val="00083790"/>
    <w:rsid w:val="00084043"/>
    <w:rsid w:val="00084E46"/>
    <w:rsid w:val="00085803"/>
    <w:rsid w:val="00085905"/>
    <w:rsid w:val="00085FEC"/>
    <w:rsid w:val="0008678C"/>
    <w:rsid w:val="00086831"/>
    <w:rsid w:val="0008719B"/>
    <w:rsid w:val="00087410"/>
    <w:rsid w:val="00090438"/>
    <w:rsid w:val="00090DB2"/>
    <w:rsid w:val="000912DC"/>
    <w:rsid w:val="00091735"/>
    <w:rsid w:val="000926B0"/>
    <w:rsid w:val="00092F8C"/>
    <w:rsid w:val="000935F4"/>
    <w:rsid w:val="00093658"/>
    <w:rsid w:val="00093B58"/>
    <w:rsid w:val="00094E7B"/>
    <w:rsid w:val="00095871"/>
    <w:rsid w:val="0009590E"/>
    <w:rsid w:val="000960BA"/>
    <w:rsid w:val="00096552"/>
    <w:rsid w:val="000A10D6"/>
    <w:rsid w:val="000A2B2C"/>
    <w:rsid w:val="000A2CE4"/>
    <w:rsid w:val="000A35E0"/>
    <w:rsid w:val="000A3D5D"/>
    <w:rsid w:val="000A4037"/>
    <w:rsid w:val="000A4BAB"/>
    <w:rsid w:val="000A4C28"/>
    <w:rsid w:val="000A51D8"/>
    <w:rsid w:val="000A557C"/>
    <w:rsid w:val="000A67A8"/>
    <w:rsid w:val="000A7075"/>
    <w:rsid w:val="000B0430"/>
    <w:rsid w:val="000B04F5"/>
    <w:rsid w:val="000B0FE6"/>
    <w:rsid w:val="000B0FEA"/>
    <w:rsid w:val="000B2489"/>
    <w:rsid w:val="000B3835"/>
    <w:rsid w:val="000B3A00"/>
    <w:rsid w:val="000B4CF0"/>
    <w:rsid w:val="000B503C"/>
    <w:rsid w:val="000B53E0"/>
    <w:rsid w:val="000B736B"/>
    <w:rsid w:val="000C008E"/>
    <w:rsid w:val="000C179B"/>
    <w:rsid w:val="000C265F"/>
    <w:rsid w:val="000C3091"/>
    <w:rsid w:val="000C5747"/>
    <w:rsid w:val="000C679C"/>
    <w:rsid w:val="000C6B3A"/>
    <w:rsid w:val="000D2293"/>
    <w:rsid w:val="000D2658"/>
    <w:rsid w:val="000D2FB5"/>
    <w:rsid w:val="000D33B9"/>
    <w:rsid w:val="000D3FF4"/>
    <w:rsid w:val="000D5483"/>
    <w:rsid w:val="000D54FF"/>
    <w:rsid w:val="000D5865"/>
    <w:rsid w:val="000D5C5D"/>
    <w:rsid w:val="000D7504"/>
    <w:rsid w:val="000E0655"/>
    <w:rsid w:val="000E0AC4"/>
    <w:rsid w:val="000E27AC"/>
    <w:rsid w:val="000E613B"/>
    <w:rsid w:val="000E645B"/>
    <w:rsid w:val="000E6CE9"/>
    <w:rsid w:val="000F036D"/>
    <w:rsid w:val="000F04DC"/>
    <w:rsid w:val="000F0BC1"/>
    <w:rsid w:val="000F0D35"/>
    <w:rsid w:val="000F1485"/>
    <w:rsid w:val="000F1F3C"/>
    <w:rsid w:val="000F3407"/>
    <w:rsid w:val="000F3792"/>
    <w:rsid w:val="000F383F"/>
    <w:rsid w:val="000F3B1D"/>
    <w:rsid w:val="000F3E3A"/>
    <w:rsid w:val="000F503F"/>
    <w:rsid w:val="000F55F4"/>
    <w:rsid w:val="000F5B4A"/>
    <w:rsid w:val="000F621E"/>
    <w:rsid w:val="000F66D5"/>
    <w:rsid w:val="000F7F95"/>
    <w:rsid w:val="00100447"/>
    <w:rsid w:val="001015D3"/>
    <w:rsid w:val="00103655"/>
    <w:rsid w:val="00104E7A"/>
    <w:rsid w:val="00105678"/>
    <w:rsid w:val="00105C6F"/>
    <w:rsid w:val="00105C91"/>
    <w:rsid w:val="00105FC4"/>
    <w:rsid w:val="00106CFA"/>
    <w:rsid w:val="00107309"/>
    <w:rsid w:val="00107BF4"/>
    <w:rsid w:val="00107D01"/>
    <w:rsid w:val="00111E83"/>
    <w:rsid w:val="001120E7"/>
    <w:rsid w:val="001125A8"/>
    <w:rsid w:val="00112AAE"/>
    <w:rsid w:val="00113CEE"/>
    <w:rsid w:val="00113E99"/>
    <w:rsid w:val="00114AEC"/>
    <w:rsid w:val="00114E29"/>
    <w:rsid w:val="00120038"/>
    <w:rsid w:val="0012026A"/>
    <w:rsid w:val="001206A2"/>
    <w:rsid w:val="00120DBF"/>
    <w:rsid w:val="00121498"/>
    <w:rsid w:val="001221EB"/>
    <w:rsid w:val="001223B4"/>
    <w:rsid w:val="0012246F"/>
    <w:rsid w:val="00122D2F"/>
    <w:rsid w:val="00123497"/>
    <w:rsid w:val="00123AE0"/>
    <w:rsid w:val="00124804"/>
    <w:rsid w:val="00125C81"/>
    <w:rsid w:val="0012624E"/>
    <w:rsid w:val="0012634A"/>
    <w:rsid w:val="001263B4"/>
    <w:rsid w:val="00126E02"/>
    <w:rsid w:val="0013006C"/>
    <w:rsid w:val="00130320"/>
    <w:rsid w:val="0013047D"/>
    <w:rsid w:val="00130AAF"/>
    <w:rsid w:val="0013116C"/>
    <w:rsid w:val="0013124E"/>
    <w:rsid w:val="00132DF2"/>
    <w:rsid w:val="00133157"/>
    <w:rsid w:val="001333D5"/>
    <w:rsid w:val="001335D7"/>
    <w:rsid w:val="0013362E"/>
    <w:rsid w:val="00134832"/>
    <w:rsid w:val="0013624C"/>
    <w:rsid w:val="00136A21"/>
    <w:rsid w:val="00136ADD"/>
    <w:rsid w:val="001412CD"/>
    <w:rsid w:val="001418ED"/>
    <w:rsid w:val="001429E8"/>
    <w:rsid w:val="00142A52"/>
    <w:rsid w:val="00142BC0"/>
    <w:rsid w:val="00142F17"/>
    <w:rsid w:val="0014329A"/>
    <w:rsid w:val="001436B5"/>
    <w:rsid w:val="00144713"/>
    <w:rsid w:val="00144B30"/>
    <w:rsid w:val="00144BC8"/>
    <w:rsid w:val="0014516C"/>
    <w:rsid w:val="00147927"/>
    <w:rsid w:val="00150F8A"/>
    <w:rsid w:val="001522CF"/>
    <w:rsid w:val="00152735"/>
    <w:rsid w:val="00152B08"/>
    <w:rsid w:val="001530F1"/>
    <w:rsid w:val="001535FF"/>
    <w:rsid w:val="00153D9C"/>
    <w:rsid w:val="00153F7E"/>
    <w:rsid w:val="001547C7"/>
    <w:rsid w:val="001549C7"/>
    <w:rsid w:val="00155D05"/>
    <w:rsid w:val="00162304"/>
    <w:rsid w:val="00162458"/>
    <w:rsid w:val="001624B2"/>
    <w:rsid w:val="00162AC6"/>
    <w:rsid w:val="001639FE"/>
    <w:rsid w:val="00163B58"/>
    <w:rsid w:val="00164014"/>
    <w:rsid w:val="0016455A"/>
    <w:rsid w:val="00166A0B"/>
    <w:rsid w:val="0016775B"/>
    <w:rsid w:val="00167CF2"/>
    <w:rsid w:val="00171543"/>
    <w:rsid w:val="0017214A"/>
    <w:rsid w:val="001727EA"/>
    <w:rsid w:val="00173A21"/>
    <w:rsid w:val="00173E62"/>
    <w:rsid w:val="001741EF"/>
    <w:rsid w:val="001768A4"/>
    <w:rsid w:val="00176F36"/>
    <w:rsid w:val="00177FE8"/>
    <w:rsid w:val="00181FE6"/>
    <w:rsid w:val="00182288"/>
    <w:rsid w:val="00182475"/>
    <w:rsid w:val="001834A8"/>
    <w:rsid w:val="00183601"/>
    <w:rsid w:val="00183D42"/>
    <w:rsid w:val="00186771"/>
    <w:rsid w:val="001872FE"/>
    <w:rsid w:val="001900FA"/>
    <w:rsid w:val="00190ABA"/>
    <w:rsid w:val="001921C6"/>
    <w:rsid w:val="001932F2"/>
    <w:rsid w:val="00194902"/>
    <w:rsid w:val="00194AD0"/>
    <w:rsid w:val="001970E8"/>
    <w:rsid w:val="00197C3B"/>
    <w:rsid w:val="001A15E6"/>
    <w:rsid w:val="001A21B2"/>
    <w:rsid w:val="001A317C"/>
    <w:rsid w:val="001A3442"/>
    <w:rsid w:val="001A6526"/>
    <w:rsid w:val="001A6694"/>
    <w:rsid w:val="001B1427"/>
    <w:rsid w:val="001B3AE8"/>
    <w:rsid w:val="001B3DD4"/>
    <w:rsid w:val="001B414E"/>
    <w:rsid w:val="001B4E13"/>
    <w:rsid w:val="001B54BB"/>
    <w:rsid w:val="001B5AC7"/>
    <w:rsid w:val="001B6E03"/>
    <w:rsid w:val="001B71D4"/>
    <w:rsid w:val="001C0291"/>
    <w:rsid w:val="001C302C"/>
    <w:rsid w:val="001C3B19"/>
    <w:rsid w:val="001C51EF"/>
    <w:rsid w:val="001C67C6"/>
    <w:rsid w:val="001C6E14"/>
    <w:rsid w:val="001C6E77"/>
    <w:rsid w:val="001C73E1"/>
    <w:rsid w:val="001C73E6"/>
    <w:rsid w:val="001C7B63"/>
    <w:rsid w:val="001D0C5F"/>
    <w:rsid w:val="001D0F4A"/>
    <w:rsid w:val="001D114B"/>
    <w:rsid w:val="001D18A2"/>
    <w:rsid w:val="001D1C7F"/>
    <w:rsid w:val="001D234F"/>
    <w:rsid w:val="001D2A38"/>
    <w:rsid w:val="001D2C89"/>
    <w:rsid w:val="001D2F16"/>
    <w:rsid w:val="001D3F3A"/>
    <w:rsid w:val="001D4642"/>
    <w:rsid w:val="001D54DB"/>
    <w:rsid w:val="001D5817"/>
    <w:rsid w:val="001D5A35"/>
    <w:rsid w:val="001D6F34"/>
    <w:rsid w:val="001D73A8"/>
    <w:rsid w:val="001D782D"/>
    <w:rsid w:val="001E2258"/>
    <w:rsid w:val="001E2558"/>
    <w:rsid w:val="001E2E41"/>
    <w:rsid w:val="001E3B99"/>
    <w:rsid w:val="001E4254"/>
    <w:rsid w:val="001E587B"/>
    <w:rsid w:val="001E5BBD"/>
    <w:rsid w:val="001E620E"/>
    <w:rsid w:val="001E6820"/>
    <w:rsid w:val="001F1901"/>
    <w:rsid w:val="001F2A92"/>
    <w:rsid w:val="001F3310"/>
    <w:rsid w:val="001F365B"/>
    <w:rsid w:val="001F3C12"/>
    <w:rsid w:val="001F3C50"/>
    <w:rsid w:val="001F3F7F"/>
    <w:rsid w:val="001F4090"/>
    <w:rsid w:val="001F452B"/>
    <w:rsid w:val="001F587B"/>
    <w:rsid w:val="001F59D5"/>
    <w:rsid w:val="001F62E6"/>
    <w:rsid w:val="001F6ABD"/>
    <w:rsid w:val="001F6DFE"/>
    <w:rsid w:val="001F70F3"/>
    <w:rsid w:val="0020053F"/>
    <w:rsid w:val="00201D70"/>
    <w:rsid w:val="00203395"/>
    <w:rsid w:val="00204F92"/>
    <w:rsid w:val="00210813"/>
    <w:rsid w:val="0021087F"/>
    <w:rsid w:val="0021140B"/>
    <w:rsid w:val="0021273E"/>
    <w:rsid w:val="002132B0"/>
    <w:rsid w:val="00213311"/>
    <w:rsid w:val="00213322"/>
    <w:rsid w:val="00214048"/>
    <w:rsid w:val="002157E5"/>
    <w:rsid w:val="00215AE1"/>
    <w:rsid w:val="00221216"/>
    <w:rsid w:val="00222B10"/>
    <w:rsid w:val="00222CD7"/>
    <w:rsid w:val="00224E4E"/>
    <w:rsid w:val="00226355"/>
    <w:rsid w:val="002271B6"/>
    <w:rsid w:val="002271C9"/>
    <w:rsid w:val="0023336D"/>
    <w:rsid w:val="00233CBD"/>
    <w:rsid w:val="00233E80"/>
    <w:rsid w:val="002351CE"/>
    <w:rsid w:val="00240B41"/>
    <w:rsid w:val="00240CF3"/>
    <w:rsid w:val="00240DDF"/>
    <w:rsid w:val="00241603"/>
    <w:rsid w:val="00242AC9"/>
    <w:rsid w:val="00246A78"/>
    <w:rsid w:val="00247A29"/>
    <w:rsid w:val="00247B81"/>
    <w:rsid w:val="00247C53"/>
    <w:rsid w:val="0025009F"/>
    <w:rsid w:val="00250ACB"/>
    <w:rsid w:val="002527A1"/>
    <w:rsid w:val="00253FF3"/>
    <w:rsid w:val="0025475D"/>
    <w:rsid w:val="00254A95"/>
    <w:rsid w:val="002550BC"/>
    <w:rsid w:val="00256167"/>
    <w:rsid w:val="00256188"/>
    <w:rsid w:val="00256BA3"/>
    <w:rsid w:val="00261766"/>
    <w:rsid w:val="0026187D"/>
    <w:rsid w:val="00261E48"/>
    <w:rsid w:val="00262D13"/>
    <w:rsid w:val="00265831"/>
    <w:rsid w:val="002659BA"/>
    <w:rsid w:val="002659DC"/>
    <w:rsid w:val="00265BC0"/>
    <w:rsid w:val="0026736D"/>
    <w:rsid w:val="00267544"/>
    <w:rsid w:val="002678F1"/>
    <w:rsid w:val="00271BFC"/>
    <w:rsid w:val="00273A1F"/>
    <w:rsid w:val="00273F17"/>
    <w:rsid w:val="00274589"/>
    <w:rsid w:val="002746C8"/>
    <w:rsid w:val="00275267"/>
    <w:rsid w:val="00275477"/>
    <w:rsid w:val="00275554"/>
    <w:rsid w:val="002806FA"/>
    <w:rsid w:val="002808C4"/>
    <w:rsid w:val="0028135B"/>
    <w:rsid w:val="00282574"/>
    <w:rsid w:val="002836BA"/>
    <w:rsid w:val="00283897"/>
    <w:rsid w:val="00283F98"/>
    <w:rsid w:val="002858EC"/>
    <w:rsid w:val="00286E85"/>
    <w:rsid w:val="00287B8E"/>
    <w:rsid w:val="002904F5"/>
    <w:rsid w:val="002920B7"/>
    <w:rsid w:val="0029467A"/>
    <w:rsid w:val="0029494C"/>
    <w:rsid w:val="00294C73"/>
    <w:rsid w:val="00294DB6"/>
    <w:rsid w:val="002970DE"/>
    <w:rsid w:val="002973AC"/>
    <w:rsid w:val="002A0F8C"/>
    <w:rsid w:val="002A28AE"/>
    <w:rsid w:val="002A4F43"/>
    <w:rsid w:val="002A5D0C"/>
    <w:rsid w:val="002A6A08"/>
    <w:rsid w:val="002A6B70"/>
    <w:rsid w:val="002A6C0B"/>
    <w:rsid w:val="002A7FB3"/>
    <w:rsid w:val="002B0485"/>
    <w:rsid w:val="002B1305"/>
    <w:rsid w:val="002B447B"/>
    <w:rsid w:val="002B51F0"/>
    <w:rsid w:val="002B6DA1"/>
    <w:rsid w:val="002C09E5"/>
    <w:rsid w:val="002C0F78"/>
    <w:rsid w:val="002C192B"/>
    <w:rsid w:val="002C3293"/>
    <w:rsid w:val="002C3CFF"/>
    <w:rsid w:val="002C42CE"/>
    <w:rsid w:val="002C49F3"/>
    <w:rsid w:val="002C4D6E"/>
    <w:rsid w:val="002C4EE1"/>
    <w:rsid w:val="002C599C"/>
    <w:rsid w:val="002C6A96"/>
    <w:rsid w:val="002D0056"/>
    <w:rsid w:val="002D11DB"/>
    <w:rsid w:val="002D1CE0"/>
    <w:rsid w:val="002D24C0"/>
    <w:rsid w:val="002D2A3D"/>
    <w:rsid w:val="002D2C69"/>
    <w:rsid w:val="002D2D8D"/>
    <w:rsid w:val="002D2E96"/>
    <w:rsid w:val="002D33E4"/>
    <w:rsid w:val="002D3866"/>
    <w:rsid w:val="002D42E6"/>
    <w:rsid w:val="002D500C"/>
    <w:rsid w:val="002D5413"/>
    <w:rsid w:val="002D6240"/>
    <w:rsid w:val="002E0681"/>
    <w:rsid w:val="002E2D78"/>
    <w:rsid w:val="002E56E4"/>
    <w:rsid w:val="002E630A"/>
    <w:rsid w:val="002E63E1"/>
    <w:rsid w:val="002E6A10"/>
    <w:rsid w:val="002E6D7C"/>
    <w:rsid w:val="002E75D1"/>
    <w:rsid w:val="002F00C8"/>
    <w:rsid w:val="002F2D37"/>
    <w:rsid w:val="002F41F3"/>
    <w:rsid w:val="002F4694"/>
    <w:rsid w:val="002F6015"/>
    <w:rsid w:val="002F77F2"/>
    <w:rsid w:val="0030142C"/>
    <w:rsid w:val="0030203D"/>
    <w:rsid w:val="003023BF"/>
    <w:rsid w:val="0030252A"/>
    <w:rsid w:val="00303D47"/>
    <w:rsid w:val="00304710"/>
    <w:rsid w:val="003060EF"/>
    <w:rsid w:val="00306F1D"/>
    <w:rsid w:val="00310871"/>
    <w:rsid w:val="003109AC"/>
    <w:rsid w:val="0031262B"/>
    <w:rsid w:val="00312CB9"/>
    <w:rsid w:val="00313569"/>
    <w:rsid w:val="00313DB4"/>
    <w:rsid w:val="0031511D"/>
    <w:rsid w:val="0032105F"/>
    <w:rsid w:val="00321B97"/>
    <w:rsid w:val="00322FED"/>
    <w:rsid w:val="003240CD"/>
    <w:rsid w:val="00324F37"/>
    <w:rsid w:val="00325D22"/>
    <w:rsid w:val="003272C7"/>
    <w:rsid w:val="003279BA"/>
    <w:rsid w:val="003279F7"/>
    <w:rsid w:val="003309AC"/>
    <w:rsid w:val="00330E96"/>
    <w:rsid w:val="003312CF"/>
    <w:rsid w:val="003339C2"/>
    <w:rsid w:val="003343F5"/>
    <w:rsid w:val="00334C20"/>
    <w:rsid w:val="0033530A"/>
    <w:rsid w:val="00336399"/>
    <w:rsid w:val="00336A4C"/>
    <w:rsid w:val="00336E51"/>
    <w:rsid w:val="003407F4"/>
    <w:rsid w:val="00341BFB"/>
    <w:rsid w:val="00342734"/>
    <w:rsid w:val="003441A9"/>
    <w:rsid w:val="0034469D"/>
    <w:rsid w:val="00345114"/>
    <w:rsid w:val="003453C0"/>
    <w:rsid w:val="00345518"/>
    <w:rsid w:val="00345C40"/>
    <w:rsid w:val="00345C75"/>
    <w:rsid w:val="0034625E"/>
    <w:rsid w:val="00347459"/>
    <w:rsid w:val="00347573"/>
    <w:rsid w:val="00347648"/>
    <w:rsid w:val="00351B85"/>
    <w:rsid w:val="00353454"/>
    <w:rsid w:val="00353979"/>
    <w:rsid w:val="00355A51"/>
    <w:rsid w:val="00356110"/>
    <w:rsid w:val="00356CFC"/>
    <w:rsid w:val="00357265"/>
    <w:rsid w:val="00357D45"/>
    <w:rsid w:val="00360DB1"/>
    <w:rsid w:val="003615AA"/>
    <w:rsid w:val="00362156"/>
    <w:rsid w:val="003624D3"/>
    <w:rsid w:val="00362FDD"/>
    <w:rsid w:val="00364FBA"/>
    <w:rsid w:val="003652F9"/>
    <w:rsid w:val="00365667"/>
    <w:rsid w:val="003657B5"/>
    <w:rsid w:val="00366C86"/>
    <w:rsid w:val="00367C62"/>
    <w:rsid w:val="00367DCE"/>
    <w:rsid w:val="00367E0F"/>
    <w:rsid w:val="003708EB"/>
    <w:rsid w:val="00370C01"/>
    <w:rsid w:val="00370DD0"/>
    <w:rsid w:val="00371006"/>
    <w:rsid w:val="0037105A"/>
    <w:rsid w:val="00371279"/>
    <w:rsid w:val="00371D14"/>
    <w:rsid w:val="003730DB"/>
    <w:rsid w:val="00374AED"/>
    <w:rsid w:val="00374EE8"/>
    <w:rsid w:val="0037514E"/>
    <w:rsid w:val="00375F3E"/>
    <w:rsid w:val="00376220"/>
    <w:rsid w:val="0037778A"/>
    <w:rsid w:val="00377883"/>
    <w:rsid w:val="00377CDA"/>
    <w:rsid w:val="00377F9C"/>
    <w:rsid w:val="00381416"/>
    <w:rsid w:val="00381C22"/>
    <w:rsid w:val="00382E41"/>
    <w:rsid w:val="003852EB"/>
    <w:rsid w:val="003853AE"/>
    <w:rsid w:val="00385CD0"/>
    <w:rsid w:val="00385DA8"/>
    <w:rsid w:val="00386353"/>
    <w:rsid w:val="00387E18"/>
    <w:rsid w:val="00390350"/>
    <w:rsid w:val="003905C6"/>
    <w:rsid w:val="00391A14"/>
    <w:rsid w:val="0039264D"/>
    <w:rsid w:val="00392A2E"/>
    <w:rsid w:val="003942F8"/>
    <w:rsid w:val="00397498"/>
    <w:rsid w:val="003974E0"/>
    <w:rsid w:val="00397955"/>
    <w:rsid w:val="003A04B0"/>
    <w:rsid w:val="003A066E"/>
    <w:rsid w:val="003A1279"/>
    <w:rsid w:val="003A141B"/>
    <w:rsid w:val="003A1FD3"/>
    <w:rsid w:val="003A3AD3"/>
    <w:rsid w:val="003A44C8"/>
    <w:rsid w:val="003A4E4D"/>
    <w:rsid w:val="003A5392"/>
    <w:rsid w:val="003A59A3"/>
    <w:rsid w:val="003B026E"/>
    <w:rsid w:val="003B04CC"/>
    <w:rsid w:val="003B10EC"/>
    <w:rsid w:val="003B28CA"/>
    <w:rsid w:val="003B2E65"/>
    <w:rsid w:val="003B3405"/>
    <w:rsid w:val="003B4033"/>
    <w:rsid w:val="003B450B"/>
    <w:rsid w:val="003B65F7"/>
    <w:rsid w:val="003B6669"/>
    <w:rsid w:val="003C02A5"/>
    <w:rsid w:val="003C0BDD"/>
    <w:rsid w:val="003C2728"/>
    <w:rsid w:val="003C308B"/>
    <w:rsid w:val="003C3527"/>
    <w:rsid w:val="003C36A0"/>
    <w:rsid w:val="003C37E1"/>
    <w:rsid w:val="003C4E39"/>
    <w:rsid w:val="003C559D"/>
    <w:rsid w:val="003C56EF"/>
    <w:rsid w:val="003C574B"/>
    <w:rsid w:val="003C5C2B"/>
    <w:rsid w:val="003C7EE8"/>
    <w:rsid w:val="003D0375"/>
    <w:rsid w:val="003D0D98"/>
    <w:rsid w:val="003D3498"/>
    <w:rsid w:val="003D34CD"/>
    <w:rsid w:val="003D3FA6"/>
    <w:rsid w:val="003D40B3"/>
    <w:rsid w:val="003D4261"/>
    <w:rsid w:val="003D5376"/>
    <w:rsid w:val="003D539E"/>
    <w:rsid w:val="003D5AD7"/>
    <w:rsid w:val="003D6B4C"/>
    <w:rsid w:val="003E01C9"/>
    <w:rsid w:val="003E1073"/>
    <w:rsid w:val="003E1B0B"/>
    <w:rsid w:val="003E1F65"/>
    <w:rsid w:val="003E2A8E"/>
    <w:rsid w:val="003E2B28"/>
    <w:rsid w:val="003E3070"/>
    <w:rsid w:val="003E36BD"/>
    <w:rsid w:val="003E39CE"/>
    <w:rsid w:val="003E4395"/>
    <w:rsid w:val="003E454F"/>
    <w:rsid w:val="003E4967"/>
    <w:rsid w:val="003E5646"/>
    <w:rsid w:val="003E746C"/>
    <w:rsid w:val="003F021F"/>
    <w:rsid w:val="003F0267"/>
    <w:rsid w:val="003F20E8"/>
    <w:rsid w:val="003F2D20"/>
    <w:rsid w:val="003F2F4B"/>
    <w:rsid w:val="003F62BE"/>
    <w:rsid w:val="003F7E2E"/>
    <w:rsid w:val="00400D67"/>
    <w:rsid w:val="00401040"/>
    <w:rsid w:val="004013BB"/>
    <w:rsid w:val="0040225E"/>
    <w:rsid w:val="004039C0"/>
    <w:rsid w:val="00403AF2"/>
    <w:rsid w:val="004042B5"/>
    <w:rsid w:val="00404683"/>
    <w:rsid w:val="00405CB3"/>
    <w:rsid w:val="00406FB9"/>
    <w:rsid w:val="004101AC"/>
    <w:rsid w:val="00411486"/>
    <w:rsid w:val="004127EA"/>
    <w:rsid w:val="00413E55"/>
    <w:rsid w:val="00415080"/>
    <w:rsid w:val="00415104"/>
    <w:rsid w:val="004153E6"/>
    <w:rsid w:val="00421B04"/>
    <w:rsid w:val="00422693"/>
    <w:rsid w:val="0042320D"/>
    <w:rsid w:val="00423924"/>
    <w:rsid w:val="004247D8"/>
    <w:rsid w:val="004254C8"/>
    <w:rsid w:val="0042558F"/>
    <w:rsid w:val="004257DB"/>
    <w:rsid w:val="0042694D"/>
    <w:rsid w:val="004273F9"/>
    <w:rsid w:val="00430CA5"/>
    <w:rsid w:val="00430DF2"/>
    <w:rsid w:val="00430ECC"/>
    <w:rsid w:val="00431E43"/>
    <w:rsid w:val="00431FA9"/>
    <w:rsid w:val="0043393F"/>
    <w:rsid w:val="00433C3E"/>
    <w:rsid w:val="004359A7"/>
    <w:rsid w:val="00435F4E"/>
    <w:rsid w:val="004370B2"/>
    <w:rsid w:val="00437325"/>
    <w:rsid w:val="004379AD"/>
    <w:rsid w:val="0044042B"/>
    <w:rsid w:val="00442EF0"/>
    <w:rsid w:val="00443276"/>
    <w:rsid w:val="00445438"/>
    <w:rsid w:val="00445553"/>
    <w:rsid w:val="00446F2A"/>
    <w:rsid w:val="0044707D"/>
    <w:rsid w:val="004474BB"/>
    <w:rsid w:val="004479DB"/>
    <w:rsid w:val="004505F6"/>
    <w:rsid w:val="0045321B"/>
    <w:rsid w:val="0045413E"/>
    <w:rsid w:val="00454707"/>
    <w:rsid w:val="00454880"/>
    <w:rsid w:val="00454924"/>
    <w:rsid w:val="0045514D"/>
    <w:rsid w:val="004553AE"/>
    <w:rsid w:val="004556A1"/>
    <w:rsid w:val="00455976"/>
    <w:rsid w:val="00456933"/>
    <w:rsid w:val="004575EF"/>
    <w:rsid w:val="004577E5"/>
    <w:rsid w:val="0046241D"/>
    <w:rsid w:val="00462453"/>
    <w:rsid w:val="00463BA2"/>
    <w:rsid w:val="004659B0"/>
    <w:rsid w:val="0046742D"/>
    <w:rsid w:val="004700D9"/>
    <w:rsid w:val="00471C58"/>
    <w:rsid w:val="00472C29"/>
    <w:rsid w:val="0047321E"/>
    <w:rsid w:val="00474F82"/>
    <w:rsid w:val="00476274"/>
    <w:rsid w:val="0047650F"/>
    <w:rsid w:val="00477E6D"/>
    <w:rsid w:val="00480B4A"/>
    <w:rsid w:val="00480DF0"/>
    <w:rsid w:val="00482406"/>
    <w:rsid w:val="004826AE"/>
    <w:rsid w:val="00483595"/>
    <w:rsid w:val="00483A4E"/>
    <w:rsid w:val="00483CA0"/>
    <w:rsid w:val="00484242"/>
    <w:rsid w:val="00484470"/>
    <w:rsid w:val="004846CB"/>
    <w:rsid w:val="0048590D"/>
    <w:rsid w:val="004865AB"/>
    <w:rsid w:val="00487309"/>
    <w:rsid w:val="0048730B"/>
    <w:rsid w:val="00487BFE"/>
    <w:rsid w:val="0049049A"/>
    <w:rsid w:val="004908F9"/>
    <w:rsid w:val="004910A7"/>
    <w:rsid w:val="00492AC6"/>
    <w:rsid w:val="004934C9"/>
    <w:rsid w:val="0049458C"/>
    <w:rsid w:val="004950EA"/>
    <w:rsid w:val="0049671C"/>
    <w:rsid w:val="00496ACE"/>
    <w:rsid w:val="004979A9"/>
    <w:rsid w:val="004A04BB"/>
    <w:rsid w:val="004A0AEC"/>
    <w:rsid w:val="004A1740"/>
    <w:rsid w:val="004A1BF9"/>
    <w:rsid w:val="004A1CEC"/>
    <w:rsid w:val="004A29E0"/>
    <w:rsid w:val="004A3088"/>
    <w:rsid w:val="004A318D"/>
    <w:rsid w:val="004A32AB"/>
    <w:rsid w:val="004A383D"/>
    <w:rsid w:val="004A3A34"/>
    <w:rsid w:val="004A3D55"/>
    <w:rsid w:val="004A4B7A"/>
    <w:rsid w:val="004A58E7"/>
    <w:rsid w:val="004A59E2"/>
    <w:rsid w:val="004A6B55"/>
    <w:rsid w:val="004B0B9F"/>
    <w:rsid w:val="004B15A9"/>
    <w:rsid w:val="004B1F4D"/>
    <w:rsid w:val="004B379F"/>
    <w:rsid w:val="004B38ED"/>
    <w:rsid w:val="004B3F62"/>
    <w:rsid w:val="004B419F"/>
    <w:rsid w:val="004B474D"/>
    <w:rsid w:val="004B5A29"/>
    <w:rsid w:val="004B6A85"/>
    <w:rsid w:val="004B6D75"/>
    <w:rsid w:val="004B7771"/>
    <w:rsid w:val="004B79C8"/>
    <w:rsid w:val="004C3D5B"/>
    <w:rsid w:val="004C3F48"/>
    <w:rsid w:val="004C4820"/>
    <w:rsid w:val="004C49F9"/>
    <w:rsid w:val="004C538B"/>
    <w:rsid w:val="004C56B2"/>
    <w:rsid w:val="004C5836"/>
    <w:rsid w:val="004C5894"/>
    <w:rsid w:val="004C7B78"/>
    <w:rsid w:val="004D036D"/>
    <w:rsid w:val="004D10CE"/>
    <w:rsid w:val="004D16C1"/>
    <w:rsid w:val="004D39D1"/>
    <w:rsid w:val="004D53C3"/>
    <w:rsid w:val="004D5A64"/>
    <w:rsid w:val="004D6023"/>
    <w:rsid w:val="004D667A"/>
    <w:rsid w:val="004D6C51"/>
    <w:rsid w:val="004D7A7B"/>
    <w:rsid w:val="004E08E3"/>
    <w:rsid w:val="004E0EA6"/>
    <w:rsid w:val="004E2314"/>
    <w:rsid w:val="004E2443"/>
    <w:rsid w:val="004E26E9"/>
    <w:rsid w:val="004E2BEA"/>
    <w:rsid w:val="004E3552"/>
    <w:rsid w:val="004E4140"/>
    <w:rsid w:val="004E4606"/>
    <w:rsid w:val="004E4BC4"/>
    <w:rsid w:val="004E5286"/>
    <w:rsid w:val="004E5FD1"/>
    <w:rsid w:val="004F1D8A"/>
    <w:rsid w:val="004F3E6B"/>
    <w:rsid w:val="004F4F08"/>
    <w:rsid w:val="004F4FCD"/>
    <w:rsid w:val="004F5E7A"/>
    <w:rsid w:val="00500B72"/>
    <w:rsid w:val="00500B99"/>
    <w:rsid w:val="00500BF2"/>
    <w:rsid w:val="00500E1B"/>
    <w:rsid w:val="00502D3B"/>
    <w:rsid w:val="005050A9"/>
    <w:rsid w:val="005057CB"/>
    <w:rsid w:val="00507EBA"/>
    <w:rsid w:val="00511213"/>
    <w:rsid w:val="00511773"/>
    <w:rsid w:val="00511B14"/>
    <w:rsid w:val="00511BAB"/>
    <w:rsid w:val="005125D5"/>
    <w:rsid w:val="00512B67"/>
    <w:rsid w:val="005136C6"/>
    <w:rsid w:val="00513775"/>
    <w:rsid w:val="005140A2"/>
    <w:rsid w:val="00514589"/>
    <w:rsid w:val="00514C9F"/>
    <w:rsid w:val="00514ED1"/>
    <w:rsid w:val="00514F57"/>
    <w:rsid w:val="005151D4"/>
    <w:rsid w:val="0051618C"/>
    <w:rsid w:val="005178EE"/>
    <w:rsid w:val="00520755"/>
    <w:rsid w:val="005227E6"/>
    <w:rsid w:val="00522C25"/>
    <w:rsid w:val="00522ECC"/>
    <w:rsid w:val="005232E2"/>
    <w:rsid w:val="005233B0"/>
    <w:rsid w:val="00524157"/>
    <w:rsid w:val="00524B71"/>
    <w:rsid w:val="005259DD"/>
    <w:rsid w:val="005278B1"/>
    <w:rsid w:val="005301F5"/>
    <w:rsid w:val="005302E2"/>
    <w:rsid w:val="0053078C"/>
    <w:rsid w:val="00530C14"/>
    <w:rsid w:val="00530CFB"/>
    <w:rsid w:val="00531EF6"/>
    <w:rsid w:val="00532B8B"/>
    <w:rsid w:val="00533050"/>
    <w:rsid w:val="005331C2"/>
    <w:rsid w:val="005338A5"/>
    <w:rsid w:val="005340FD"/>
    <w:rsid w:val="00536540"/>
    <w:rsid w:val="00537CC0"/>
    <w:rsid w:val="00537D21"/>
    <w:rsid w:val="00541353"/>
    <w:rsid w:val="00543502"/>
    <w:rsid w:val="00543819"/>
    <w:rsid w:val="00544AF4"/>
    <w:rsid w:val="005453BB"/>
    <w:rsid w:val="00547454"/>
    <w:rsid w:val="00550783"/>
    <w:rsid w:val="005520AA"/>
    <w:rsid w:val="00553392"/>
    <w:rsid w:val="005550E1"/>
    <w:rsid w:val="00556E84"/>
    <w:rsid w:val="00560323"/>
    <w:rsid w:val="00560F6C"/>
    <w:rsid w:val="0056130C"/>
    <w:rsid w:val="005614CE"/>
    <w:rsid w:val="00562309"/>
    <w:rsid w:val="00562B27"/>
    <w:rsid w:val="0056424D"/>
    <w:rsid w:val="00564754"/>
    <w:rsid w:val="00565769"/>
    <w:rsid w:val="00565807"/>
    <w:rsid w:val="00565E78"/>
    <w:rsid w:val="0056603B"/>
    <w:rsid w:val="00570132"/>
    <w:rsid w:val="00570324"/>
    <w:rsid w:val="005723F6"/>
    <w:rsid w:val="005727D0"/>
    <w:rsid w:val="005728B0"/>
    <w:rsid w:val="005738C1"/>
    <w:rsid w:val="00574A2A"/>
    <w:rsid w:val="0057606A"/>
    <w:rsid w:val="005762D6"/>
    <w:rsid w:val="00576686"/>
    <w:rsid w:val="005808AC"/>
    <w:rsid w:val="005816C6"/>
    <w:rsid w:val="0058240B"/>
    <w:rsid w:val="00582893"/>
    <w:rsid w:val="00582D13"/>
    <w:rsid w:val="00583555"/>
    <w:rsid w:val="00584908"/>
    <w:rsid w:val="00584DA6"/>
    <w:rsid w:val="00585A1C"/>
    <w:rsid w:val="00585C40"/>
    <w:rsid w:val="00585D46"/>
    <w:rsid w:val="00586740"/>
    <w:rsid w:val="0059095E"/>
    <w:rsid w:val="0059108A"/>
    <w:rsid w:val="005917B7"/>
    <w:rsid w:val="00591F80"/>
    <w:rsid w:val="00593405"/>
    <w:rsid w:val="00593580"/>
    <w:rsid w:val="005938EC"/>
    <w:rsid w:val="00594387"/>
    <w:rsid w:val="00595347"/>
    <w:rsid w:val="005956CB"/>
    <w:rsid w:val="00595E25"/>
    <w:rsid w:val="005961E4"/>
    <w:rsid w:val="00596372"/>
    <w:rsid w:val="005970D7"/>
    <w:rsid w:val="005A1776"/>
    <w:rsid w:val="005A19F6"/>
    <w:rsid w:val="005A266C"/>
    <w:rsid w:val="005A29F4"/>
    <w:rsid w:val="005A313A"/>
    <w:rsid w:val="005A4ACE"/>
    <w:rsid w:val="005A4F25"/>
    <w:rsid w:val="005A7B41"/>
    <w:rsid w:val="005B1989"/>
    <w:rsid w:val="005B1BCA"/>
    <w:rsid w:val="005B1F0A"/>
    <w:rsid w:val="005B2DBF"/>
    <w:rsid w:val="005B3052"/>
    <w:rsid w:val="005B3D04"/>
    <w:rsid w:val="005B401F"/>
    <w:rsid w:val="005B468C"/>
    <w:rsid w:val="005B4CF2"/>
    <w:rsid w:val="005B57CC"/>
    <w:rsid w:val="005B670C"/>
    <w:rsid w:val="005B6C9B"/>
    <w:rsid w:val="005B6E0D"/>
    <w:rsid w:val="005C02F0"/>
    <w:rsid w:val="005C045D"/>
    <w:rsid w:val="005C0789"/>
    <w:rsid w:val="005C07AB"/>
    <w:rsid w:val="005C1532"/>
    <w:rsid w:val="005C2263"/>
    <w:rsid w:val="005C2542"/>
    <w:rsid w:val="005C3644"/>
    <w:rsid w:val="005C3812"/>
    <w:rsid w:val="005C66E2"/>
    <w:rsid w:val="005D020E"/>
    <w:rsid w:val="005D0C78"/>
    <w:rsid w:val="005D28F2"/>
    <w:rsid w:val="005D2DC5"/>
    <w:rsid w:val="005D740F"/>
    <w:rsid w:val="005D787C"/>
    <w:rsid w:val="005D7AE1"/>
    <w:rsid w:val="005E10D0"/>
    <w:rsid w:val="005E157F"/>
    <w:rsid w:val="005E1EF3"/>
    <w:rsid w:val="005E2A39"/>
    <w:rsid w:val="005E376D"/>
    <w:rsid w:val="005E399F"/>
    <w:rsid w:val="005E3C2C"/>
    <w:rsid w:val="005E46E3"/>
    <w:rsid w:val="005E5586"/>
    <w:rsid w:val="005E56F9"/>
    <w:rsid w:val="005E6DA9"/>
    <w:rsid w:val="005E70A7"/>
    <w:rsid w:val="005F0FAA"/>
    <w:rsid w:val="005F17DA"/>
    <w:rsid w:val="005F2530"/>
    <w:rsid w:val="005F445D"/>
    <w:rsid w:val="005F47D4"/>
    <w:rsid w:val="005F49ED"/>
    <w:rsid w:val="005F4BC8"/>
    <w:rsid w:val="005F4DBC"/>
    <w:rsid w:val="005F58DB"/>
    <w:rsid w:val="005F660B"/>
    <w:rsid w:val="005F6769"/>
    <w:rsid w:val="005F7696"/>
    <w:rsid w:val="005F77ED"/>
    <w:rsid w:val="00600937"/>
    <w:rsid w:val="00600D33"/>
    <w:rsid w:val="0060114B"/>
    <w:rsid w:val="006013C5"/>
    <w:rsid w:val="00601875"/>
    <w:rsid w:val="00602AD2"/>
    <w:rsid w:val="00602E1A"/>
    <w:rsid w:val="006047F4"/>
    <w:rsid w:val="00605AC6"/>
    <w:rsid w:val="00605BDB"/>
    <w:rsid w:val="006112C2"/>
    <w:rsid w:val="00611530"/>
    <w:rsid w:val="00611BF3"/>
    <w:rsid w:val="00611D18"/>
    <w:rsid w:val="00613280"/>
    <w:rsid w:val="00613290"/>
    <w:rsid w:val="006135AD"/>
    <w:rsid w:val="00613BAD"/>
    <w:rsid w:val="006146C0"/>
    <w:rsid w:val="006146C2"/>
    <w:rsid w:val="00615643"/>
    <w:rsid w:val="00615A38"/>
    <w:rsid w:val="0061607D"/>
    <w:rsid w:val="00616B9A"/>
    <w:rsid w:val="006207B3"/>
    <w:rsid w:val="00621F58"/>
    <w:rsid w:val="006234E4"/>
    <w:rsid w:val="00624403"/>
    <w:rsid w:val="0062688F"/>
    <w:rsid w:val="00626F32"/>
    <w:rsid w:val="00627DAD"/>
    <w:rsid w:val="00630117"/>
    <w:rsid w:val="006308E2"/>
    <w:rsid w:val="00631905"/>
    <w:rsid w:val="00634303"/>
    <w:rsid w:val="006349ED"/>
    <w:rsid w:val="00634F9E"/>
    <w:rsid w:val="0063593A"/>
    <w:rsid w:val="00637351"/>
    <w:rsid w:val="00637F22"/>
    <w:rsid w:val="00640354"/>
    <w:rsid w:val="006403C3"/>
    <w:rsid w:val="00641AB0"/>
    <w:rsid w:val="00642A82"/>
    <w:rsid w:val="00643909"/>
    <w:rsid w:val="00645D0B"/>
    <w:rsid w:val="00646039"/>
    <w:rsid w:val="006471EB"/>
    <w:rsid w:val="00647327"/>
    <w:rsid w:val="00647A00"/>
    <w:rsid w:val="006512FE"/>
    <w:rsid w:val="00651304"/>
    <w:rsid w:val="0065188A"/>
    <w:rsid w:val="00651D9E"/>
    <w:rsid w:val="0065247B"/>
    <w:rsid w:val="00652720"/>
    <w:rsid w:val="00653253"/>
    <w:rsid w:val="0065478F"/>
    <w:rsid w:val="00654CB5"/>
    <w:rsid w:val="00655B15"/>
    <w:rsid w:val="00656F9A"/>
    <w:rsid w:val="00657D08"/>
    <w:rsid w:val="00661B22"/>
    <w:rsid w:val="00661F84"/>
    <w:rsid w:val="00662C8A"/>
    <w:rsid w:val="00662D89"/>
    <w:rsid w:val="00663BBC"/>
    <w:rsid w:val="00664A11"/>
    <w:rsid w:val="00664AD2"/>
    <w:rsid w:val="00666F86"/>
    <w:rsid w:val="00672A70"/>
    <w:rsid w:val="00674AB0"/>
    <w:rsid w:val="00675088"/>
    <w:rsid w:val="00675ADB"/>
    <w:rsid w:val="00675BF3"/>
    <w:rsid w:val="00675E15"/>
    <w:rsid w:val="006776C9"/>
    <w:rsid w:val="00681135"/>
    <w:rsid w:val="00681D80"/>
    <w:rsid w:val="00682752"/>
    <w:rsid w:val="0068283A"/>
    <w:rsid w:val="0068304F"/>
    <w:rsid w:val="00683956"/>
    <w:rsid w:val="00685A14"/>
    <w:rsid w:val="00690E3A"/>
    <w:rsid w:val="0069128D"/>
    <w:rsid w:val="006912FE"/>
    <w:rsid w:val="0069147A"/>
    <w:rsid w:val="00692824"/>
    <w:rsid w:val="00692A75"/>
    <w:rsid w:val="006941DE"/>
    <w:rsid w:val="006946E8"/>
    <w:rsid w:val="0069488C"/>
    <w:rsid w:val="006962AC"/>
    <w:rsid w:val="0069671B"/>
    <w:rsid w:val="00697982"/>
    <w:rsid w:val="006A0ADF"/>
    <w:rsid w:val="006A1426"/>
    <w:rsid w:val="006A186C"/>
    <w:rsid w:val="006A1BCE"/>
    <w:rsid w:val="006A30B6"/>
    <w:rsid w:val="006A38AE"/>
    <w:rsid w:val="006A3E29"/>
    <w:rsid w:val="006A3E8D"/>
    <w:rsid w:val="006A3FC3"/>
    <w:rsid w:val="006A4ABD"/>
    <w:rsid w:val="006A602E"/>
    <w:rsid w:val="006B0828"/>
    <w:rsid w:val="006B24AA"/>
    <w:rsid w:val="006B2707"/>
    <w:rsid w:val="006B4DB6"/>
    <w:rsid w:val="006B55A1"/>
    <w:rsid w:val="006B64D9"/>
    <w:rsid w:val="006B79A7"/>
    <w:rsid w:val="006B7CE3"/>
    <w:rsid w:val="006C3820"/>
    <w:rsid w:val="006C3A06"/>
    <w:rsid w:val="006C4FDF"/>
    <w:rsid w:val="006C56F0"/>
    <w:rsid w:val="006C5B1E"/>
    <w:rsid w:val="006C7C82"/>
    <w:rsid w:val="006D024A"/>
    <w:rsid w:val="006D3B9C"/>
    <w:rsid w:val="006D3EFD"/>
    <w:rsid w:val="006D75C7"/>
    <w:rsid w:val="006D7CC8"/>
    <w:rsid w:val="006E0F84"/>
    <w:rsid w:val="006E1284"/>
    <w:rsid w:val="006E245E"/>
    <w:rsid w:val="006E2A95"/>
    <w:rsid w:val="006E531F"/>
    <w:rsid w:val="006E5CEB"/>
    <w:rsid w:val="006E7A7A"/>
    <w:rsid w:val="006E7C0E"/>
    <w:rsid w:val="006F0923"/>
    <w:rsid w:val="006F2FFB"/>
    <w:rsid w:val="006F3B82"/>
    <w:rsid w:val="006F3C57"/>
    <w:rsid w:val="006F402B"/>
    <w:rsid w:val="006F494A"/>
    <w:rsid w:val="006F5733"/>
    <w:rsid w:val="006F6147"/>
    <w:rsid w:val="006F658A"/>
    <w:rsid w:val="006F7B88"/>
    <w:rsid w:val="006F7F0C"/>
    <w:rsid w:val="006F7F69"/>
    <w:rsid w:val="0070210C"/>
    <w:rsid w:val="00702CC8"/>
    <w:rsid w:val="00703131"/>
    <w:rsid w:val="00705309"/>
    <w:rsid w:val="00705706"/>
    <w:rsid w:val="00710985"/>
    <w:rsid w:val="00710F62"/>
    <w:rsid w:val="0071228F"/>
    <w:rsid w:val="007127CC"/>
    <w:rsid w:val="00713209"/>
    <w:rsid w:val="007145D7"/>
    <w:rsid w:val="007149C8"/>
    <w:rsid w:val="00714A94"/>
    <w:rsid w:val="00715626"/>
    <w:rsid w:val="00717613"/>
    <w:rsid w:val="00721576"/>
    <w:rsid w:val="00721BCE"/>
    <w:rsid w:val="00722290"/>
    <w:rsid w:val="0072284B"/>
    <w:rsid w:val="00722A86"/>
    <w:rsid w:val="00723C4D"/>
    <w:rsid w:val="0072463C"/>
    <w:rsid w:val="00724D99"/>
    <w:rsid w:val="00730F2E"/>
    <w:rsid w:val="00731882"/>
    <w:rsid w:val="00731F22"/>
    <w:rsid w:val="007320E1"/>
    <w:rsid w:val="007333CD"/>
    <w:rsid w:val="0073429F"/>
    <w:rsid w:val="0073448A"/>
    <w:rsid w:val="007366FE"/>
    <w:rsid w:val="00736BCF"/>
    <w:rsid w:val="00740AD2"/>
    <w:rsid w:val="007411BA"/>
    <w:rsid w:val="00741801"/>
    <w:rsid w:val="00742328"/>
    <w:rsid w:val="00743334"/>
    <w:rsid w:val="00744AAD"/>
    <w:rsid w:val="0074557C"/>
    <w:rsid w:val="007455FF"/>
    <w:rsid w:val="007458AB"/>
    <w:rsid w:val="00746B11"/>
    <w:rsid w:val="0074731C"/>
    <w:rsid w:val="00750A4C"/>
    <w:rsid w:val="00752203"/>
    <w:rsid w:val="00752A1D"/>
    <w:rsid w:val="00752BD2"/>
    <w:rsid w:val="00752C31"/>
    <w:rsid w:val="007545EF"/>
    <w:rsid w:val="00755309"/>
    <w:rsid w:val="0075712A"/>
    <w:rsid w:val="007609C8"/>
    <w:rsid w:val="0076121D"/>
    <w:rsid w:val="0076141E"/>
    <w:rsid w:val="00761E1C"/>
    <w:rsid w:val="007628CF"/>
    <w:rsid w:val="007651EC"/>
    <w:rsid w:val="00765D4E"/>
    <w:rsid w:val="00765F4B"/>
    <w:rsid w:val="007666BD"/>
    <w:rsid w:val="00766EFC"/>
    <w:rsid w:val="007677FD"/>
    <w:rsid w:val="007700A4"/>
    <w:rsid w:val="00770915"/>
    <w:rsid w:val="007710F7"/>
    <w:rsid w:val="00772E45"/>
    <w:rsid w:val="00775630"/>
    <w:rsid w:val="00775755"/>
    <w:rsid w:val="007757B2"/>
    <w:rsid w:val="00775BE5"/>
    <w:rsid w:val="00780267"/>
    <w:rsid w:val="007811A6"/>
    <w:rsid w:val="007816D3"/>
    <w:rsid w:val="00782F2C"/>
    <w:rsid w:val="007833D3"/>
    <w:rsid w:val="007855A5"/>
    <w:rsid w:val="007878F6"/>
    <w:rsid w:val="007916F3"/>
    <w:rsid w:val="00791B6B"/>
    <w:rsid w:val="007932AA"/>
    <w:rsid w:val="007954C1"/>
    <w:rsid w:val="007963DC"/>
    <w:rsid w:val="007971E0"/>
    <w:rsid w:val="00797CE1"/>
    <w:rsid w:val="00797F96"/>
    <w:rsid w:val="007A17B4"/>
    <w:rsid w:val="007A1887"/>
    <w:rsid w:val="007A2747"/>
    <w:rsid w:val="007A3097"/>
    <w:rsid w:val="007A5ACC"/>
    <w:rsid w:val="007B2372"/>
    <w:rsid w:val="007B3257"/>
    <w:rsid w:val="007B3594"/>
    <w:rsid w:val="007B4AA4"/>
    <w:rsid w:val="007B4DD8"/>
    <w:rsid w:val="007B50FA"/>
    <w:rsid w:val="007B5B68"/>
    <w:rsid w:val="007B7047"/>
    <w:rsid w:val="007B7229"/>
    <w:rsid w:val="007C1D90"/>
    <w:rsid w:val="007C1EBE"/>
    <w:rsid w:val="007C23D1"/>
    <w:rsid w:val="007C2B5B"/>
    <w:rsid w:val="007C38AF"/>
    <w:rsid w:val="007C3C53"/>
    <w:rsid w:val="007C473F"/>
    <w:rsid w:val="007C526A"/>
    <w:rsid w:val="007C61A2"/>
    <w:rsid w:val="007C63E7"/>
    <w:rsid w:val="007D0A7B"/>
    <w:rsid w:val="007D0C8A"/>
    <w:rsid w:val="007D3343"/>
    <w:rsid w:val="007D33CE"/>
    <w:rsid w:val="007D4E36"/>
    <w:rsid w:val="007D50AE"/>
    <w:rsid w:val="007D59A4"/>
    <w:rsid w:val="007D5C13"/>
    <w:rsid w:val="007D6728"/>
    <w:rsid w:val="007D7AA6"/>
    <w:rsid w:val="007E0A68"/>
    <w:rsid w:val="007E15BF"/>
    <w:rsid w:val="007E23C7"/>
    <w:rsid w:val="007E3296"/>
    <w:rsid w:val="007E32B9"/>
    <w:rsid w:val="007E58C1"/>
    <w:rsid w:val="007E5AD2"/>
    <w:rsid w:val="007E63B4"/>
    <w:rsid w:val="007E64ED"/>
    <w:rsid w:val="007E6D08"/>
    <w:rsid w:val="007E7CE3"/>
    <w:rsid w:val="007F0405"/>
    <w:rsid w:val="007F1026"/>
    <w:rsid w:val="007F1201"/>
    <w:rsid w:val="007F2F90"/>
    <w:rsid w:val="007F4124"/>
    <w:rsid w:val="007F4313"/>
    <w:rsid w:val="007F5DC6"/>
    <w:rsid w:val="007F6C95"/>
    <w:rsid w:val="007F6F9B"/>
    <w:rsid w:val="00800F04"/>
    <w:rsid w:val="00800F0B"/>
    <w:rsid w:val="008012B6"/>
    <w:rsid w:val="008032AC"/>
    <w:rsid w:val="008043DB"/>
    <w:rsid w:val="008047FB"/>
    <w:rsid w:val="00805CDC"/>
    <w:rsid w:val="0081107B"/>
    <w:rsid w:val="00812E67"/>
    <w:rsid w:val="00813069"/>
    <w:rsid w:val="008130EA"/>
    <w:rsid w:val="00813D20"/>
    <w:rsid w:val="00813DFF"/>
    <w:rsid w:val="00814EB1"/>
    <w:rsid w:val="008159DE"/>
    <w:rsid w:val="00816151"/>
    <w:rsid w:val="00816BDF"/>
    <w:rsid w:val="00820A9E"/>
    <w:rsid w:val="00820C0F"/>
    <w:rsid w:val="008212E7"/>
    <w:rsid w:val="00825506"/>
    <w:rsid w:val="00827E2C"/>
    <w:rsid w:val="0083038D"/>
    <w:rsid w:val="0083185F"/>
    <w:rsid w:val="00831C9A"/>
    <w:rsid w:val="00831FA1"/>
    <w:rsid w:val="008321E1"/>
    <w:rsid w:val="00832E22"/>
    <w:rsid w:val="008363FF"/>
    <w:rsid w:val="00837E2A"/>
    <w:rsid w:val="00841963"/>
    <w:rsid w:val="00844749"/>
    <w:rsid w:val="008447EA"/>
    <w:rsid w:val="00844979"/>
    <w:rsid w:val="0084551C"/>
    <w:rsid w:val="008463D4"/>
    <w:rsid w:val="00850534"/>
    <w:rsid w:val="00851C3B"/>
    <w:rsid w:val="008528D0"/>
    <w:rsid w:val="00852C78"/>
    <w:rsid w:val="00854962"/>
    <w:rsid w:val="00854F02"/>
    <w:rsid w:val="00855760"/>
    <w:rsid w:val="008558C3"/>
    <w:rsid w:val="008562AC"/>
    <w:rsid w:val="00856487"/>
    <w:rsid w:val="00856861"/>
    <w:rsid w:val="00860956"/>
    <w:rsid w:val="00861269"/>
    <w:rsid w:val="00861445"/>
    <w:rsid w:val="00861606"/>
    <w:rsid w:val="00861661"/>
    <w:rsid w:val="00863AC2"/>
    <w:rsid w:val="00865C71"/>
    <w:rsid w:val="00865E82"/>
    <w:rsid w:val="008660B8"/>
    <w:rsid w:val="00866172"/>
    <w:rsid w:val="00867F62"/>
    <w:rsid w:val="00870EBF"/>
    <w:rsid w:val="00871657"/>
    <w:rsid w:val="0087270C"/>
    <w:rsid w:val="00872E3F"/>
    <w:rsid w:val="00872FF0"/>
    <w:rsid w:val="0087379A"/>
    <w:rsid w:val="008743D4"/>
    <w:rsid w:val="00874B4A"/>
    <w:rsid w:val="00875527"/>
    <w:rsid w:val="00876916"/>
    <w:rsid w:val="00876C9B"/>
    <w:rsid w:val="008773D7"/>
    <w:rsid w:val="0088116E"/>
    <w:rsid w:val="0088130A"/>
    <w:rsid w:val="008816C4"/>
    <w:rsid w:val="00881730"/>
    <w:rsid w:val="008817C6"/>
    <w:rsid w:val="00882F1F"/>
    <w:rsid w:val="008832DF"/>
    <w:rsid w:val="00885139"/>
    <w:rsid w:val="008870E9"/>
    <w:rsid w:val="00890267"/>
    <w:rsid w:val="00890B36"/>
    <w:rsid w:val="00891D23"/>
    <w:rsid w:val="00891FEC"/>
    <w:rsid w:val="0089235D"/>
    <w:rsid w:val="00892B8B"/>
    <w:rsid w:val="00892BCD"/>
    <w:rsid w:val="008947EC"/>
    <w:rsid w:val="00895BB4"/>
    <w:rsid w:val="0089638A"/>
    <w:rsid w:val="008966CC"/>
    <w:rsid w:val="0089709A"/>
    <w:rsid w:val="008A0082"/>
    <w:rsid w:val="008A0386"/>
    <w:rsid w:val="008A0762"/>
    <w:rsid w:val="008A0BBE"/>
    <w:rsid w:val="008A25BC"/>
    <w:rsid w:val="008A3999"/>
    <w:rsid w:val="008A418A"/>
    <w:rsid w:val="008A490A"/>
    <w:rsid w:val="008A5089"/>
    <w:rsid w:val="008A54B1"/>
    <w:rsid w:val="008A5B26"/>
    <w:rsid w:val="008A6636"/>
    <w:rsid w:val="008A675C"/>
    <w:rsid w:val="008A7171"/>
    <w:rsid w:val="008B322B"/>
    <w:rsid w:val="008B3A43"/>
    <w:rsid w:val="008B4BF8"/>
    <w:rsid w:val="008B57D5"/>
    <w:rsid w:val="008B60FE"/>
    <w:rsid w:val="008B77BF"/>
    <w:rsid w:val="008C12F2"/>
    <w:rsid w:val="008C1389"/>
    <w:rsid w:val="008C24A0"/>
    <w:rsid w:val="008C39DC"/>
    <w:rsid w:val="008C427C"/>
    <w:rsid w:val="008C4768"/>
    <w:rsid w:val="008C4872"/>
    <w:rsid w:val="008C5013"/>
    <w:rsid w:val="008C5B57"/>
    <w:rsid w:val="008C5C88"/>
    <w:rsid w:val="008D0381"/>
    <w:rsid w:val="008D0465"/>
    <w:rsid w:val="008D172A"/>
    <w:rsid w:val="008D2D22"/>
    <w:rsid w:val="008D3993"/>
    <w:rsid w:val="008D41C4"/>
    <w:rsid w:val="008D5847"/>
    <w:rsid w:val="008D6512"/>
    <w:rsid w:val="008D6788"/>
    <w:rsid w:val="008D6798"/>
    <w:rsid w:val="008D6A9A"/>
    <w:rsid w:val="008D720C"/>
    <w:rsid w:val="008E0292"/>
    <w:rsid w:val="008E0D49"/>
    <w:rsid w:val="008E1055"/>
    <w:rsid w:val="008E1781"/>
    <w:rsid w:val="008E1CCC"/>
    <w:rsid w:val="008E2264"/>
    <w:rsid w:val="008E3E57"/>
    <w:rsid w:val="008E4033"/>
    <w:rsid w:val="008E4980"/>
    <w:rsid w:val="008E580D"/>
    <w:rsid w:val="008E67A2"/>
    <w:rsid w:val="008E6A83"/>
    <w:rsid w:val="008E78A8"/>
    <w:rsid w:val="008E7ACF"/>
    <w:rsid w:val="008E7EB0"/>
    <w:rsid w:val="008E7EF0"/>
    <w:rsid w:val="008E7F2D"/>
    <w:rsid w:val="008F04CC"/>
    <w:rsid w:val="008F076E"/>
    <w:rsid w:val="008F0CA8"/>
    <w:rsid w:val="008F29EC"/>
    <w:rsid w:val="008F2F06"/>
    <w:rsid w:val="008F64F6"/>
    <w:rsid w:val="008F71BE"/>
    <w:rsid w:val="008F73C9"/>
    <w:rsid w:val="008F7435"/>
    <w:rsid w:val="00900CB0"/>
    <w:rsid w:val="00901A4A"/>
    <w:rsid w:val="00902228"/>
    <w:rsid w:val="009029CD"/>
    <w:rsid w:val="009038EB"/>
    <w:rsid w:val="00903C4E"/>
    <w:rsid w:val="00904F57"/>
    <w:rsid w:val="00905946"/>
    <w:rsid w:val="009070BD"/>
    <w:rsid w:val="00907922"/>
    <w:rsid w:val="009108F0"/>
    <w:rsid w:val="009112F8"/>
    <w:rsid w:val="0091277C"/>
    <w:rsid w:val="00913A8C"/>
    <w:rsid w:val="00915C85"/>
    <w:rsid w:val="009164AC"/>
    <w:rsid w:val="00916962"/>
    <w:rsid w:val="0091706D"/>
    <w:rsid w:val="009219EA"/>
    <w:rsid w:val="00922A2B"/>
    <w:rsid w:val="00922FC2"/>
    <w:rsid w:val="00923F25"/>
    <w:rsid w:val="009248D3"/>
    <w:rsid w:val="00924A45"/>
    <w:rsid w:val="00926F6A"/>
    <w:rsid w:val="00927185"/>
    <w:rsid w:val="00927F5F"/>
    <w:rsid w:val="009303EF"/>
    <w:rsid w:val="00930703"/>
    <w:rsid w:val="009314B9"/>
    <w:rsid w:val="009318FE"/>
    <w:rsid w:val="009348AF"/>
    <w:rsid w:val="00934D47"/>
    <w:rsid w:val="0093502D"/>
    <w:rsid w:val="009368A7"/>
    <w:rsid w:val="009374E5"/>
    <w:rsid w:val="00937A5D"/>
    <w:rsid w:val="00940619"/>
    <w:rsid w:val="009409EB"/>
    <w:rsid w:val="009410DF"/>
    <w:rsid w:val="009413F4"/>
    <w:rsid w:val="0094154F"/>
    <w:rsid w:val="009448C1"/>
    <w:rsid w:val="00945C89"/>
    <w:rsid w:val="00946572"/>
    <w:rsid w:val="00946757"/>
    <w:rsid w:val="009469BD"/>
    <w:rsid w:val="00946FD5"/>
    <w:rsid w:val="009473D9"/>
    <w:rsid w:val="00947B66"/>
    <w:rsid w:val="00947CC0"/>
    <w:rsid w:val="00947F8C"/>
    <w:rsid w:val="009502D9"/>
    <w:rsid w:val="00951CCB"/>
    <w:rsid w:val="00953992"/>
    <w:rsid w:val="00954662"/>
    <w:rsid w:val="00954D98"/>
    <w:rsid w:val="00954F05"/>
    <w:rsid w:val="00956937"/>
    <w:rsid w:val="00956ECD"/>
    <w:rsid w:val="00956FF5"/>
    <w:rsid w:val="00957036"/>
    <w:rsid w:val="00960828"/>
    <w:rsid w:val="00960861"/>
    <w:rsid w:val="00960CA7"/>
    <w:rsid w:val="0096136E"/>
    <w:rsid w:val="00961DC1"/>
    <w:rsid w:val="00961E1F"/>
    <w:rsid w:val="009620B0"/>
    <w:rsid w:val="00963545"/>
    <w:rsid w:val="00963900"/>
    <w:rsid w:val="00965AB0"/>
    <w:rsid w:val="009663BF"/>
    <w:rsid w:val="009669E2"/>
    <w:rsid w:val="00971095"/>
    <w:rsid w:val="009715E4"/>
    <w:rsid w:val="0097168F"/>
    <w:rsid w:val="00971805"/>
    <w:rsid w:val="00971D63"/>
    <w:rsid w:val="00971E73"/>
    <w:rsid w:val="009724C0"/>
    <w:rsid w:val="0097392B"/>
    <w:rsid w:val="00973B13"/>
    <w:rsid w:val="00973BE6"/>
    <w:rsid w:val="00974115"/>
    <w:rsid w:val="00974B86"/>
    <w:rsid w:val="00974C88"/>
    <w:rsid w:val="00976331"/>
    <w:rsid w:val="0098006F"/>
    <w:rsid w:val="00981985"/>
    <w:rsid w:val="00981B96"/>
    <w:rsid w:val="00981FDB"/>
    <w:rsid w:val="009820C9"/>
    <w:rsid w:val="00982409"/>
    <w:rsid w:val="00982A25"/>
    <w:rsid w:val="009845ED"/>
    <w:rsid w:val="0098496A"/>
    <w:rsid w:val="00984D04"/>
    <w:rsid w:val="00986077"/>
    <w:rsid w:val="00986896"/>
    <w:rsid w:val="00987187"/>
    <w:rsid w:val="00990894"/>
    <w:rsid w:val="00990CB9"/>
    <w:rsid w:val="00991942"/>
    <w:rsid w:val="00993A0F"/>
    <w:rsid w:val="00993D6B"/>
    <w:rsid w:val="009948B3"/>
    <w:rsid w:val="00995760"/>
    <w:rsid w:val="009957E0"/>
    <w:rsid w:val="00995EAD"/>
    <w:rsid w:val="00997450"/>
    <w:rsid w:val="009A1166"/>
    <w:rsid w:val="009A2AF1"/>
    <w:rsid w:val="009A30D9"/>
    <w:rsid w:val="009A3AE4"/>
    <w:rsid w:val="009A4DAA"/>
    <w:rsid w:val="009A5D36"/>
    <w:rsid w:val="009A74E1"/>
    <w:rsid w:val="009B0423"/>
    <w:rsid w:val="009B0769"/>
    <w:rsid w:val="009B105F"/>
    <w:rsid w:val="009B1D46"/>
    <w:rsid w:val="009B2455"/>
    <w:rsid w:val="009B3AAB"/>
    <w:rsid w:val="009B48C5"/>
    <w:rsid w:val="009B4BE8"/>
    <w:rsid w:val="009B6D48"/>
    <w:rsid w:val="009B76B9"/>
    <w:rsid w:val="009C01B9"/>
    <w:rsid w:val="009C1F67"/>
    <w:rsid w:val="009C2599"/>
    <w:rsid w:val="009C3598"/>
    <w:rsid w:val="009C3BD7"/>
    <w:rsid w:val="009C43B1"/>
    <w:rsid w:val="009C4860"/>
    <w:rsid w:val="009C4ACF"/>
    <w:rsid w:val="009C4D62"/>
    <w:rsid w:val="009C5605"/>
    <w:rsid w:val="009C77ED"/>
    <w:rsid w:val="009C7870"/>
    <w:rsid w:val="009D0E6B"/>
    <w:rsid w:val="009D3626"/>
    <w:rsid w:val="009D390D"/>
    <w:rsid w:val="009D42EA"/>
    <w:rsid w:val="009D4481"/>
    <w:rsid w:val="009D56AC"/>
    <w:rsid w:val="009D5A73"/>
    <w:rsid w:val="009D6E05"/>
    <w:rsid w:val="009D7B54"/>
    <w:rsid w:val="009E0529"/>
    <w:rsid w:val="009E06FD"/>
    <w:rsid w:val="009E14AD"/>
    <w:rsid w:val="009E1899"/>
    <w:rsid w:val="009E1B98"/>
    <w:rsid w:val="009E35D9"/>
    <w:rsid w:val="009E3EB0"/>
    <w:rsid w:val="009E42FD"/>
    <w:rsid w:val="009E5741"/>
    <w:rsid w:val="009E6DE2"/>
    <w:rsid w:val="009E6E52"/>
    <w:rsid w:val="009E7994"/>
    <w:rsid w:val="009E7D96"/>
    <w:rsid w:val="009F0604"/>
    <w:rsid w:val="009F0784"/>
    <w:rsid w:val="009F0796"/>
    <w:rsid w:val="009F3CCD"/>
    <w:rsid w:val="009F4E89"/>
    <w:rsid w:val="009F674B"/>
    <w:rsid w:val="009F75EC"/>
    <w:rsid w:val="009F7788"/>
    <w:rsid w:val="009F7947"/>
    <w:rsid w:val="00A017F6"/>
    <w:rsid w:val="00A02789"/>
    <w:rsid w:val="00A02819"/>
    <w:rsid w:val="00A02970"/>
    <w:rsid w:val="00A0404F"/>
    <w:rsid w:val="00A04319"/>
    <w:rsid w:val="00A0521D"/>
    <w:rsid w:val="00A05270"/>
    <w:rsid w:val="00A052C6"/>
    <w:rsid w:val="00A055AB"/>
    <w:rsid w:val="00A07471"/>
    <w:rsid w:val="00A12277"/>
    <w:rsid w:val="00A1299F"/>
    <w:rsid w:val="00A137A2"/>
    <w:rsid w:val="00A13FED"/>
    <w:rsid w:val="00A16597"/>
    <w:rsid w:val="00A16989"/>
    <w:rsid w:val="00A173C3"/>
    <w:rsid w:val="00A1741A"/>
    <w:rsid w:val="00A1797E"/>
    <w:rsid w:val="00A17FE8"/>
    <w:rsid w:val="00A2310F"/>
    <w:rsid w:val="00A234EA"/>
    <w:rsid w:val="00A25333"/>
    <w:rsid w:val="00A268FD"/>
    <w:rsid w:val="00A2740C"/>
    <w:rsid w:val="00A300EA"/>
    <w:rsid w:val="00A305B6"/>
    <w:rsid w:val="00A30852"/>
    <w:rsid w:val="00A30B55"/>
    <w:rsid w:val="00A31026"/>
    <w:rsid w:val="00A31B9D"/>
    <w:rsid w:val="00A32644"/>
    <w:rsid w:val="00A32E79"/>
    <w:rsid w:val="00A33223"/>
    <w:rsid w:val="00A34A68"/>
    <w:rsid w:val="00A34C13"/>
    <w:rsid w:val="00A35282"/>
    <w:rsid w:val="00A356D8"/>
    <w:rsid w:val="00A3653B"/>
    <w:rsid w:val="00A3676D"/>
    <w:rsid w:val="00A375E8"/>
    <w:rsid w:val="00A408CB"/>
    <w:rsid w:val="00A40925"/>
    <w:rsid w:val="00A41A27"/>
    <w:rsid w:val="00A41AA8"/>
    <w:rsid w:val="00A41AF4"/>
    <w:rsid w:val="00A4290E"/>
    <w:rsid w:val="00A42B1F"/>
    <w:rsid w:val="00A42FCC"/>
    <w:rsid w:val="00A431D2"/>
    <w:rsid w:val="00A43B11"/>
    <w:rsid w:val="00A4588D"/>
    <w:rsid w:val="00A46D82"/>
    <w:rsid w:val="00A47B7A"/>
    <w:rsid w:val="00A47B92"/>
    <w:rsid w:val="00A5041D"/>
    <w:rsid w:val="00A531EA"/>
    <w:rsid w:val="00A53ACB"/>
    <w:rsid w:val="00A55E9E"/>
    <w:rsid w:val="00A57819"/>
    <w:rsid w:val="00A608AE"/>
    <w:rsid w:val="00A6261A"/>
    <w:rsid w:val="00A631DB"/>
    <w:rsid w:val="00A6356A"/>
    <w:rsid w:val="00A6419B"/>
    <w:rsid w:val="00A64A7D"/>
    <w:rsid w:val="00A64B0D"/>
    <w:rsid w:val="00A64EDB"/>
    <w:rsid w:val="00A650CC"/>
    <w:rsid w:val="00A66C9B"/>
    <w:rsid w:val="00A67879"/>
    <w:rsid w:val="00A71926"/>
    <w:rsid w:val="00A71D44"/>
    <w:rsid w:val="00A723DA"/>
    <w:rsid w:val="00A7395C"/>
    <w:rsid w:val="00A73CFA"/>
    <w:rsid w:val="00A73D0A"/>
    <w:rsid w:val="00A74935"/>
    <w:rsid w:val="00A75C42"/>
    <w:rsid w:val="00A76BBC"/>
    <w:rsid w:val="00A77D86"/>
    <w:rsid w:val="00A8097B"/>
    <w:rsid w:val="00A81979"/>
    <w:rsid w:val="00A848C3"/>
    <w:rsid w:val="00A85BD7"/>
    <w:rsid w:val="00A86AB1"/>
    <w:rsid w:val="00A86D8F"/>
    <w:rsid w:val="00A8711A"/>
    <w:rsid w:val="00A8775F"/>
    <w:rsid w:val="00A9052A"/>
    <w:rsid w:val="00A90958"/>
    <w:rsid w:val="00A90D29"/>
    <w:rsid w:val="00A9181D"/>
    <w:rsid w:val="00A91E54"/>
    <w:rsid w:val="00A9276A"/>
    <w:rsid w:val="00A931B1"/>
    <w:rsid w:val="00A933E7"/>
    <w:rsid w:val="00A93CE9"/>
    <w:rsid w:val="00A945E4"/>
    <w:rsid w:val="00A9467A"/>
    <w:rsid w:val="00A94AD8"/>
    <w:rsid w:val="00A94AED"/>
    <w:rsid w:val="00A94BF0"/>
    <w:rsid w:val="00A954F5"/>
    <w:rsid w:val="00A96855"/>
    <w:rsid w:val="00A970B1"/>
    <w:rsid w:val="00A97805"/>
    <w:rsid w:val="00AA0798"/>
    <w:rsid w:val="00AA11CB"/>
    <w:rsid w:val="00AA2430"/>
    <w:rsid w:val="00AA3F21"/>
    <w:rsid w:val="00AA4246"/>
    <w:rsid w:val="00AA4B28"/>
    <w:rsid w:val="00AA4CD5"/>
    <w:rsid w:val="00AA6DDF"/>
    <w:rsid w:val="00AA6FEF"/>
    <w:rsid w:val="00AB151D"/>
    <w:rsid w:val="00AB1709"/>
    <w:rsid w:val="00AB2059"/>
    <w:rsid w:val="00AB29D1"/>
    <w:rsid w:val="00AB2E38"/>
    <w:rsid w:val="00AB30F9"/>
    <w:rsid w:val="00AB38A1"/>
    <w:rsid w:val="00AB478F"/>
    <w:rsid w:val="00AB64F8"/>
    <w:rsid w:val="00AB749D"/>
    <w:rsid w:val="00AB7B2D"/>
    <w:rsid w:val="00AC073E"/>
    <w:rsid w:val="00AC082F"/>
    <w:rsid w:val="00AC0B0F"/>
    <w:rsid w:val="00AC0B99"/>
    <w:rsid w:val="00AC1BE5"/>
    <w:rsid w:val="00AC1C74"/>
    <w:rsid w:val="00AC1DDB"/>
    <w:rsid w:val="00AC5047"/>
    <w:rsid w:val="00AC6339"/>
    <w:rsid w:val="00AC6DB1"/>
    <w:rsid w:val="00AC7042"/>
    <w:rsid w:val="00AD1334"/>
    <w:rsid w:val="00AD19DB"/>
    <w:rsid w:val="00AD1C00"/>
    <w:rsid w:val="00AD1F09"/>
    <w:rsid w:val="00AD2F28"/>
    <w:rsid w:val="00AD36C5"/>
    <w:rsid w:val="00AD3844"/>
    <w:rsid w:val="00AD516D"/>
    <w:rsid w:val="00AD641E"/>
    <w:rsid w:val="00AD6872"/>
    <w:rsid w:val="00AE050D"/>
    <w:rsid w:val="00AE193F"/>
    <w:rsid w:val="00AE1DFE"/>
    <w:rsid w:val="00AE206F"/>
    <w:rsid w:val="00AE2472"/>
    <w:rsid w:val="00AE3663"/>
    <w:rsid w:val="00AE44DA"/>
    <w:rsid w:val="00AE45F8"/>
    <w:rsid w:val="00AE49DC"/>
    <w:rsid w:val="00AE5E61"/>
    <w:rsid w:val="00AE6088"/>
    <w:rsid w:val="00AE63A1"/>
    <w:rsid w:val="00AE7522"/>
    <w:rsid w:val="00AF15F7"/>
    <w:rsid w:val="00AF25F4"/>
    <w:rsid w:val="00AF34D2"/>
    <w:rsid w:val="00AF470B"/>
    <w:rsid w:val="00AF48EC"/>
    <w:rsid w:val="00AF54D4"/>
    <w:rsid w:val="00AF6A79"/>
    <w:rsid w:val="00AF6DF1"/>
    <w:rsid w:val="00AF6E15"/>
    <w:rsid w:val="00AF73D6"/>
    <w:rsid w:val="00AF7E8F"/>
    <w:rsid w:val="00B00097"/>
    <w:rsid w:val="00B00498"/>
    <w:rsid w:val="00B008FD"/>
    <w:rsid w:val="00B01DCD"/>
    <w:rsid w:val="00B0312D"/>
    <w:rsid w:val="00B03492"/>
    <w:rsid w:val="00B03F63"/>
    <w:rsid w:val="00B0629E"/>
    <w:rsid w:val="00B06FDB"/>
    <w:rsid w:val="00B10D40"/>
    <w:rsid w:val="00B1120B"/>
    <w:rsid w:val="00B12223"/>
    <w:rsid w:val="00B12926"/>
    <w:rsid w:val="00B12ADA"/>
    <w:rsid w:val="00B12C05"/>
    <w:rsid w:val="00B12D03"/>
    <w:rsid w:val="00B137F2"/>
    <w:rsid w:val="00B13A50"/>
    <w:rsid w:val="00B13CD6"/>
    <w:rsid w:val="00B14599"/>
    <w:rsid w:val="00B14618"/>
    <w:rsid w:val="00B16315"/>
    <w:rsid w:val="00B1762E"/>
    <w:rsid w:val="00B21969"/>
    <w:rsid w:val="00B23091"/>
    <w:rsid w:val="00B23475"/>
    <w:rsid w:val="00B240CD"/>
    <w:rsid w:val="00B240E9"/>
    <w:rsid w:val="00B2553D"/>
    <w:rsid w:val="00B255DF"/>
    <w:rsid w:val="00B26149"/>
    <w:rsid w:val="00B2790D"/>
    <w:rsid w:val="00B3021B"/>
    <w:rsid w:val="00B30568"/>
    <w:rsid w:val="00B32297"/>
    <w:rsid w:val="00B3235C"/>
    <w:rsid w:val="00B32760"/>
    <w:rsid w:val="00B340BB"/>
    <w:rsid w:val="00B34E84"/>
    <w:rsid w:val="00B3524D"/>
    <w:rsid w:val="00B3692D"/>
    <w:rsid w:val="00B36E57"/>
    <w:rsid w:val="00B41C9D"/>
    <w:rsid w:val="00B41CAD"/>
    <w:rsid w:val="00B41FC4"/>
    <w:rsid w:val="00B42D82"/>
    <w:rsid w:val="00B43766"/>
    <w:rsid w:val="00B43DA3"/>
    <w:rsid w:val="00B43EBA"/>
    <w:rsid w:val="00B45046"/>
    <w:rsid w:val="00B4516A"/>
    <w:rsid w:val="00B4739B"/>
    <w:rsid w:val="00B508D4"/>
    <w:rsid w:val="00B50BAB"/>
    <w:rsid w:val="00B5216E"/>
    <w:rsid w:val="00B5253D"/>
    <w:rsid w:val="00B525C7"/>
    <w:rsid w:val="00B529BB"/>
    <w:rsid w:val="00B52B64"/>
    <w:rsid w:val="00B53F36"/>
    <w:rsid w:val="00B563D2"/>
    <w:rsid w:val="00B56669"/>
    <w:rsid w:val="00B57262"/>
    <w:rsid w:val="00B576E3"/>
    <w:rsid w:val="00B57CEE"/>
    <w:rsid w:val="00B57E81"/>
    <w:rsid w:val="00B6096B"/>
    <w:rsid w:val="00B60C97"/>
    <w:rsid w:val="00B60CCC"/>
    <w:rsid w:val="00B62484"/>
    <w:rsid w:val="00B62A61"/>
    <w:rsid w:val="00B62EFB"/>
    <w:rsid w:val="00B63B06"/>
    <w:rsid w:val="00B645E4"/>
    <w:rsid w:val="00B64CAA"/>
    <w:rsid w:val="00B64E8F"/>
    <w:rsid w:val="00B67BBE"/>
    <w:rsid w:val="00B7124E"/>
    <w:rsid w:val="00B71E7F"/>
    <w:rsid w:val="00B72430"/>
    <w:rsid w:val="00B72518"/>
    <w:rsid w:val="00B72A0D"/>
    <w:rsid w:val="00B73CE0"/>
    <w:rsid w:val="00B74127"/>
    <w:rsid w:val="00B74663"/>
    <w:rsid w:val="00B750D4"/>
    <w:rsid w:val="00B754EA"/>
    <w:rsid w:val="00B75AE3"/>
    <w:rsid w:val="00B76547"/>
    <w:rsid w:val="00B77B72"/>
    <w:rsid w:val="00B801B5"/>
    <w:rsid w:val="00B80C9F"/>
    <w:rsid w:val="00B810CC"/>
    <w:rsid w:val="00B819F2"/>
    <w:rsid w:val="00B81D15"/>
    <w:rsid w:val="00B833E4"/>
    <w:rsid w:val="00B85154"/>
    <w:rsid w:val="00B8659B"/>
    <w:rsid w:val="00B86977"/>
    <w:rsid w:val="00B86AC7"/>
    <w:rsid w:val="00B87E23"/>
    <w:rsid w:val="00B87EFA"/>
    <w:rsid w:val="00B91B47"/>
    <w:rsid w:val="00B92B99"/>
    <w:rsid w:val="00B92D2A"/>
    <w:rsid w:val="00B93AB4"/>
    <w:rsid w:val="00B95CCB"/>
    <w:rsid w:val="00B97345"/>
    <w:rsid w:val="00BA13F9"/>
    <w:rsid w:val="00BA14CD"/>
    <w:rsid w:val="00BA1D1B"/>
    <w:rsid w:val="00BA2579"/>
    <w:rsid w:val="00BA2CF7"/>
    <w:rsid w:val="00BA5255"/>
    <w:rsid w:val="00BA6840"/>
    <w:rsid w:val="00BA6F13"/>
    <w:rsid w:val="00BA72C6"/>
    <w:rsid w:val="00BA7BE8"/>
    <w:rsid w:val="00BB061B"/>
    <w:rsid w:val="00BB35CE"/>
    <w:rsid w:val="00BB3A97"/>
    <w:rsid w:val="00BB3CB3"/>
    <w:rsid w:val="00BB4C53"/>
    <w:rsid w:val="00BB7838"/>
    <w:rsid w:val="00BC08A3"/>
    <w:rsid w:val="00BC12B7"/>
    <w:rsid w:val="00BC13A0"/>
    <w:rsid w:val="00BC1BDB"/>
    <w:rsid w:val="00BC21A2"/>
    <w:rsid w:val="00BC4AE1"/>
    <w:rsid w:val="00BC74C2"/>
    <w:rsid w:val="00BC7577"/>
    <w:rsid w:val="00BC7704"/>
    <w:rsid w:val="00BC7850"/>
    <w:rsid w:val="00BC7F55"/>
    <w:rsid w:val="00BD03B6"/>
    <w:rsid w:val="00BD03E2"/>
    <w:rsid w:val="00BD1227"/>
    <w:rsid w:val="00BD143C"/>
    <w:rsid w:val="00BD154D"/>
    <w:rsid w:val="00BD318B"/>
    <w:rsid w:val="00BD32A8"/>
    <w:rsid w:val="00BD46D0"/>
    <w:rsid w:val="00BD46FA"/>
    <w:rsid w:val="00BD4B7D"/>
    <w:rsid w:val="00BD55F8"/>
    <w:rsid w:val="00BE035D"/>
    <w:rsid w:val="00BE19A1"/>
    <w:rsid w:val="00BE1A9B"/>
    <w:rsid w:val="00BE2299"/>
    <w:rsid w:val="00BE2639"/>
    <w:rsid w:val="00BE3DCC"/>
    <w:rsid w:val="00BE55D1"/>
    <w:rsid w:val="00BE597B"/>
    <w:rsid w:val="00BE5FD8"/>
    <w:rsid w:val="00BE6B11"/>
    <w:rsid w:val="00BE6B75"/>
    <w:rsid w:val="00BE6B81"/>
    <w:rsid w:val="00BF030F"/>
    <w:rsid w:val="00BF0D8F"/>
    <w:rsid w:val="00BF0F3B"/>
    <w:rsid w:val="00BF2128"/>
    <w:rsid w:val="00BF25A5"/>
    <w:rsid w:val="00BF299A"/>
    <w:rsid w:val="00BF38FE"/>
    <w:rsid w:val="00BF3A90"/>
    <w:rsid w:val="00BF44D7"/>
    <w:rsid w:val="00BF6D7C"/>
    <w:rsid w:val="00C001EC"/>
    <w:rsid w:val="00C00261"/>
    <w:rsid w:val="00C00670"/>
    <w:rsid w:val="00C015A4"/>
    <w:rsid w:val="00C01651"/>
    <w:rsid w:val="00C01946"/>
    <w:rsid w:val="00C04D79"/>
    <w:rsid w:val="00C0523C"/>
    <w:rsid w:val="00C065D1"/>
    <w:rsid w:val="00C066D9"/>
    <w:rsid w:val="00C0689A"/>
    <w:rsid w:val="00C10E43"/>
    <w:rsid w:val="00C11EEF"/>
    <w:rsid w:val="00C12779"/>
    <w:rsid w:val="00C154AE"/>
    <w:rsid w:val="00C15B61"/>
    <w:rsid w:val="00C20C85"/>
    <w:rsid w:val="00C20FA3"/>
    <w:rsid w:val="00C21B88"/>
    <w:rsid w:val="00C22556"/>
    <w:rsid w:val="00C2277C"/>
    <w:rsid w:val="00C22CCA"/>
    <w:rsid w:val="00C23343"/>
    <w:rsid w:val="00C24804"/>
    <w:rsid w:val="00C2512E"/>
    <w:rsid w:val="00C27149"/>
    <w:rsid w:val="00C2777F"/>
    <w:rsid w:val="00C302FD"/>
    <w:rsid w:val="00C30E64"/>
    <w:rsid w:val="00C31209"/>
    <w:rsid w:val="00C31245"/>
    <w:rsid w:val="00C312D0"/>
    <w:rsid w:val="00C31D87"/>
    <w:rsid w:val="00C3271B"/>
    <w:rsid w:val="00C32DD5"/>
    <w:rsid w:val="00C33663"/>
    <w:rsid w:val="00C36506"/>
    <w:rsid w:val="00C36A50"/>
    <w:rsid w:val="00C36E15"/>
    <w:rsid w:val="00C36EE8"/>
    <w:rsid w:val="00C370C6"/>
    <w:rsid w:val="00C3715B"/>
    <w:rsid w:val="00C37B90"/>
    <w:rsid w:val="00C41D6C"/>
    <w:rsid w:val="00C42B4D"/>
    <w:rsid w:val="00C432B5"/>
    <w:rsid w:val="00C433F3"/>
    <w:rsid w:val="00C43709"/>
    <w:rsid w:val="00C43F3F"/>
    <w:rsid w:val="00C43FD8"/>
    <w:rsid w:val="00C47132"/>
    <w:rsid w:val="00C478BB"/>
    <w:rsid w:val="00C508F2"/>
    <w:rsid w:val="00C52262"/>
    <w:rsid w:val="00C52BEF"/>
    <w:rsid w:val="00C551F8"/>
    <w:rsid w:val="00C5539F"/>
    <w:rsid w:val="00C5548A"/>
    <w:rsid w:val="00C55ED5"/>
    <w:rsid w:val="00C56B26"/>
    <w:rsid w:val="00C57BEB"/>
    <w:rsid w:val="00C57FC2"/>
    <w:rsid w:val="00C61290"/>
    <w:rsid w:val="00C61A56"/>
    <w:rsid w:val="00C63EB5"/>
    <w:rsid w:val="00C64032"/>
    <w:rsid w:val="00C64544"/>
    <w:rsid w:val="00C65686"/>
    <w:rsid w:val="00C65ECC"/>
    <w:rsid w:val="00C66B58"/>
    <w:rsid w:val="00C67524"/>
    <w:rsid w:val="00C7026F"/>
    <w:rsid w:val="00C70456"/>
    <w:rsid w:val="00C70761"/>
    <w:rsid w:val="00C70A5F"/>
    <w:rsid w:val="00C70AD3"/>
    <w:rsid w:val="00C71459"/>
    <w:rsid w:val="00C714D6"/>
    <w:rsid w:val="00C71545"/>
    <w:rsid w:val="00C71899"/>
    <w:rsid w:val="00C71BF6"/>
    <w:rsid w:val="00C71E60"/>
    <w:rsid w:val="00C71FD4"/>
    <w:rsid w:val="00C72274"/>
    <w:rsid w:val="00C72643"/>
    <w:rsid w:val="00C72D77"/>
    <w:rsid w:val="00C739A0"/>
    <w:rsid w:val="00C73C02"/>
    <w:rsid w:val="00C74523"/>
    <w:rsid w:val="00C74E0B"/>
    <w:rsid w:val="00C76372"/>
    <w:rsid w:val="00C76981"/>
    <w:rsid w:val="00C77A24"/>
    <w:rsid w:val="00C77EBD"/>
    <w:rsid w:val="00C81B01"/>
    <w:rsid w:val="00C824D8"/>
    <w:rsid w:val="00C8292A"/>
    <w:rsid w:val="00C82B0E"/>
    <w:rsid w:val="00C82DBE"/>
    <w:rsid w:val="00C83975"/>
    <w:rsid w:val="00C844FA"/>
    <w:rsid w:val="00C84739"/>
    <w:rsid w:val="00C849F3"/>
    <w:rsid w:val="00C85042"/>
    <w:rsid w:val="00C85DAB"/>
    <w:rsid w:val="00C86129"/>
    <w:rsid w:val="00C863F4"/>
    <w:rsid w:val="00C866FC"/>
    <w:rsid w:val="00C867C9"/>
    <w:rsid w:val="00C87448"/>
    <w:rsid w:val="00C95275"/>
    <w:rsid w:val="00C952D4"/>
    <w:rsid w:val="00C960E1"/>
    <w:rsid w:val="00C96476"/>
    <w:rsid w:val="00C96E94"/>
    <w:rsid w:val="00C9781D"/>
    <w:rsid w:val="00CA0188"/>
    <w:rsid w:val="00CA01F7"/>
    <w:rsid w:val="00CA06D6"/>
    <w:rsid w:val="00CA15E2"/>
    <w:rsid w:val="00CA2631"/>
    <w:rsid w:val="00CA36B5"/>
    <w:rsid w:val="00CA4CCB"/>
    <w:rsid w:val="00CB0267"/>
    <w:rsid w:val="00CB07F5"/>
    <w:rsid w:val="00CB0F94"/>
    <w:rsid w:val="00CB43E3"/>
    <w:rsid w:val="00CB4DF8"/>
    <w:rsid w:val="00CB5F3F"/>
    <w:rsid w:val="00CB6380"/>
    <w:rsid w:val="00CB6D76"/>
    <w:rsid w:val="00CC04A9"/>
    <w:rsid w:val="00CC70E4"/>
    <w:rsid w:val="00CC75BB"/>
    <w:rsid w:val="00CD02F1"/>
    <w:rsid w:val="00CD04A9"/>
    <w:rsid w:val="00CD0C9D"/>
    <w:rsid w:val="00CD196A"/>
    <w:rsid w:val="00CD2763"/>
    <w:rsid w:val="00CD2D3E"/>
    <w:rsid w:val="00CD348A"/>
    <w:rsid w:val="00CD3501"/>
    <w:rsid w:val="00CD3D38"/>
    <w:rsid w:val="00CD4698"/>
    <w:rsid w:val="00CD5456"/>
    <w:rsid w:val="00CD582A"/>
    <w:rsid w:val="00CD7485"/>
    <w:rsid w:val="00CD75BD"/>
    <w:rsid w:val="00CE1040"/>
    <w:rsid w:val="00CE12A9"/>
    <w:rsid w:val="00CE160B"/>
    <w:rsid w:val="00CE16B9"/>
    <w:rsid w:val="00CE3025"/>
    <w:rsid w:val="00CE36DC"/>
    <w:rsid w:val="00CE46E9"/>
    <w:rsid w:val="00CE52C2"/>
    <w:rsid w:val="00CE5EAD"/>
    <w:rsid w:val="00CF033E"/>
    <w:rsid w:val="00CF04AD"/>
    <w:rsid w:val="00CF05C9"/>
    <w:rsid w:val="00CF1159"/>
    <w:rsid w:val="00CF2D48"/>
    <w:rsid w:val="00CF4424"/>
    <w:rsid w:val="00CF4E8A"/>
    <w:rsid w:val="00CF50BB"/>
    <w:rsid w:val="00CF530D"/>
    <w:rsid w:val="00CF682B"/>
    <w:rsid w:val="00CF693E"/>
    <w:rsid w:val="00CF6A7F"/>
    <w:rsid w:val="00CF72E1"/>
    <w:rsid w:val="00CF740E"/>
    <w:rsid w:val="00D003D6"/>
    <w:rsid w:val="00D00AB4"/>
    <w:rsid w:val="00D012C4"/>
    <w:rsid w:val="00D01F5E"/>
    <w:rsid w:val="00D023E8"/>
    <w:rsid w:val="00D03BAE"/>
    <w:rsid w:val="00D0484A"/>
    <w:rsid w:val="00D05F4C"/>
    <w:rsid w:val="00D06774"/>
    <w:rsid w:val="00D110C9"/>
    <w:rsid w:val="00D141EB"/>
    <w:rsid w:val="00D14325"/>
    <w:rsid w:val="00D146E7"/>
    <w:rsid w:val="00D16689"/>
    <w:rsid w:val="00D20D29"/>
    <w:rsid w:val="00D20DA4"/>
    <w:rsid w:val="00D218EE"/>
    <w:rsid w:val="00D21FA5"/>
    <w:rsid w:val="00D224CD"/>
    <w:rsid w:val="00D22999"/>
    <w:rsid w:val="00D234F8"/>
    <w:rsid w:val="00D23F4E"/>
    <w:rsid w:val="00D2484D"/>
    <w:rsid w:val="00D25102"/>
    <w:rsid w:val="00D257DB"/>
    <w:rsid w:val="00D3034D"/>
    <w:rsid w:val="00D30CB7"/>
    <w:rsid w:val="00D312F1"/>
    <w:rsid w:val="00D316AD"/>
    <w:rsid w:val="00D31ED6"/>
    <w:rsid w:val="00D32268"/>
    <w:rsid w:val="00D34784"/>
    <w:rsid w:val="00D34C26"/>
    <w:rsid w:val="00D3533F"/>
    <w:rsid w:val="00D37454"/>
    <w:rsid w:val="00D379F8"/>
    <w:rsid w:val="00D37EF2"/>
    <w:rsid w:val="00D41228"/>
    <w:rsid w:val="00D43A0A"/>
    <w:rsid w:val="00D43DE9"/>
    <w:rsid w:val="00D44E5C"/>
    <w:rsid w:val="00D45D3C"/>
    <w:rsid w:val="00D4633D"/>
    <w:rsid w:val="00D4648F"/>
    <w:rsid w:val="00D46A41"/>
    <w:rsid w:val="00D478E8"/>
    <w:rsid w:val="00D50EDC"/>
    <w:rsid w:val="00D53074"/>
    <w:rsid w:val="00D53AB7"/>
    <w:rsid w:val="00D53D91"/>
    <w:rsid w:val="00D54FC1"/>
    <w:rsid w:val="00D551B6"/>
    <w:rsid w:val="00D55203"/>
    <w:rsid w:val="00D556A0"/>
    <w:rsid w:val="00D55D90"/>
    <w:rsid w:val="00D62B8B"/>
    <w:rsid w:val="00D65208"/>
    <w:rsid w:val="00D66EA1"/>
    <w:rsid w:val="00D67199"/>
    <w:rsid w:val="00D70522"/>
    <w:rsid w:val="00D707DB"/>
    <w:rsid w:val="00D71F05"/>
    <w:rsid w:val="00D74124"/>
    <w:rsid w:val="00D7450A"/>
    <w:rsid w:val="00D745F6"/>
    <w:rsid w:val="00D75C11"/>
    <w:rsid w:val="00D77446"/>
    <w:rsid w:val="00D77C26"/>
    <w:rsid w:val="00D77CB5"/>
    <w:rsid w:val="00D804C4"/>
    <w:rsid w:val="00D80604"/>
    <w:rsid w:val="00D80EB3"/>
    <w:rsid w:val="00D80FC4"/>
    <w:rsid w:val="00D814B3"/>
    <w:rsid w:val="00D83E3F"/>
    <w:rsid w:val="00D90B62"/>
    <w:rsid w:val="00D90C8D"/>
    <w:rsid w:val="00D91863"/>
    <w:rsid w:val="00D9207D"/>
    <w:rsid w:val="00D93B0D"/>
    <w:rsid w:val="00D948F5"/>
    <w:rsid w:val="00D94AE2"/>
    <w:rsid w:val="00D95884"/>
    <w:rsid w:val="00D9613A"/>
    <w:rsid w:val="00D9633F"/>
    <w:rsid w:val="00D97702"/>
    <w:rsid w:val="00DA01C4"/>
    <w:rsid w:val="00DA0EF8"/>
    <w:rsid w:val="00DA2B08"/>
    <w:rsid w:val="00DA2FB1"/>
    <w:rsid w:val="00DA33E0"/>
    <w:rsid w:val="00DA4CEF"/>
    <w:rsid w:val="00DA4FCD"/>
    <w:rsid w:val="00DA6BDC"/>
    <w:rsid w:val="00DA7868"/>
    <w:rsid w:val="00DA7F72"/>
    <w:rsid w:val="00DB02AC"/>
    <w:rsid w:val="00DB0862"/>
    <w:rsid w:val="00DB19B4"/>
    <w:rsid w:val="00DB3545"/>
    <w:rsid w:val="00DB3708"/>
    <w:rsid w:val="00DB3E56"/>
    <w:rsid w:val="00DB645E"/>
    <w:rsid w:val="00DB713F"/>
    <w:rsid w:val="00DB7509"/>
    <w:rsid w:val="00DB7E09"/>
    <w:rsid w:val="00DC03E6"/>
    <w:rsid w:val="00DC0681"/>
    <w:rsid w:val="00DC1609"/>
    <w:rsid w:val="00DC1C18"/>
    <w:rsid w:val="00DC28DB"/>
    <w:rsid w:val="00DC295F"/>
    <w:rsid w:val="00DC2B93"/>
    <w:rsid w:val="00DC498B"/>
    <w:rsid w:val="00DC4BCD"/>
    <w:rsid w:val="00DC4C1F"/>
    <w:rsid w:val="00DC561C"/>
    <w:rsid w:val="00DD0094"/>
    <w:rsid w:val="00DD0904"/>
    <w:rsid w:val="00DD1EE1"/>
    <w:rsid w:val="00DD6DB8"/>
    <w:rsid w:val="00DE0E28"/>
    <w:rsid w:val="00DE24E2"/>
    <w:rsid w:val="00DE2949"/>
    <w:rsid w:val="00DE33B3"/>
    <w:rsid w:val="00DE3C9D"/>
    <w:rsid w:val="00DE3DC8"/>
    <w:rsid w:val="00DE5C38"/>
    <w:rsid w:val="00DE6FAE"/>
    <w:rsid w:val="00DE712B"/>
    <w:rsid w:val="00DE7FAA"/>
    <w:rsid w:val="00DF00F3"/>
    <w:rsid w:val="00DF03AA"/>
    <w:rsid w:val="00DF078A"/>
    <w:rsid w:val="00DF0A5A"/>
    <w:rsid w:val="00DF0D19"/>
    <w:rsid w:val="00DF2086"/>
    <w:rsid w:val="00DF209E"/>
    <w:rsid w:val="00DF2EBC"/>
    <w:rsid w:val="00DF3A97"/>
    <w:rsid w:val="00DF3CD0"/>
    <w:rsid w:val="00DF3EC3"/>
    <w:rsid w:val="00DF4DC5"/>
    <w:rsid w:val="00DF54CB"/>
    <w:rsid w:val="00DF61D5"/>
    <w:rsid w:val="00DF6A15"/>
    <w:rsid w:val="00DF7382"/>
    <w:rsid w:val="00DF7DDA"/>
    <w:rsid w:val="00E00244"/>
    <w:rsid w:val="00E00453"/>
    <w:rsid w:val="00E00578"/>
    <w:rsid w:val="00E008BD"/>
    <w:rsid w:val="00E011F1"/>
    <w:rsid w:val="00E02294"/>
    <w:rsid w:val="00E025B6"/>
    <w:rsid w:val="00E02B70"/>
    <w:rsid w:val="00E043C9"/>
    <w:rsid w:val="00E0441E"/>
    <w:rsid w:val="00E054C4"/>
    <w:rsid w:val="00E062A8"/>
    <w:rsid w:val="00E068C9"/>
    <w:rsid w:val="00E07F35"/>
    <w:rsid w:val="00E10A22"/>
    <w:rsid w:val="00E118F5"/>
    <w:rsid w:val="00E122E9"/>
    <w:rsid w:val="00E1467E"/>
    <w:rsid w:val="00E14F3C"/>
    <w:rsid w:val="00E16035"/>
    <w:rsid w:val="00E16153"/>
    <w:rsid w:val="00E163EF"/>
    <w:rsid w:val="00E2013C"/>
    <w:rsid w:val="00E20CAD"/>
    <w:rsid w:val="00E21011"/>
    <w:rsid w:val="00E215C2"/>
    <w:rsid w:val="00E21704"/>
    <w:rsid w:val="00E21D2F"/>
    <w:rsid w:val="00E22DE3"/>
    <w:rsid w:val="00E230AC"/>
    <w:rsid w:val="00E23888"/>
    <w:rsid w:val="00E25FF8"/>
    <w:rsid w:val="00E31327"/>
    <w:rsid w:val="00E32004"/>
    <w:rsid w:val="00E329DE"/>
    <w:rsid w:val="00E33017"/>
    <w:rsid w:val="00E333A9"/>
    <w:rsid w:val="00E33DC4"/>
    <w:rsid w:val="00E3525E"/>
    <w:rsid w:val="00E35F30"/>
    <w:rsid w:val="00E36125"/>
    <w:rsid w:val="00E36609"/>
    <w:rsid w:val="00E376B3"/>
    <w:rsid w:val="00E40140"/>
    <w:rsid w:val="00E401E3"/>
    <w:rsid w:val="00E41CCF"/>
    <w:rsid w:val="00E41F51"/>
    <w:rsid w:val="00E43520"/>
    <w:rsid w:val="00E44C25"/>
    <w:rsid w:val="00E455DE"/>
    <w:rsid w:val="00E46181"/>
    <w:rsid w:val="00E4645C"/>
    <w:rsid w:val="00E46520"/>
    <w:rsid w:val="00E46650"/>
    <w:rsid w:val="00E46F95"/>
    <w:rsid w:val="00E47731"/>
    <w:rsid w:val="00E50598"/>
    <w:rsid w:val="00E52B9F"/>
    <w:rsid w:val="00E5304D"/>
    <w:rsid w:val="00E539DA"/>
    <w:rsid w:val="00E53D44"/>
    <w:rsid w:val="00E53E8D"/>
    <w:rsid w:val="00E55E06"/>
    <w:rsid w:val="00E560D2"/>
    <w:rsid w:val="00E561E3"/>
    <w:rsid w:val="00E57050"/>
    <w:rsid w:val="00E5773D"/>
    <w:rsid w:val="00E57BE1"/>
    <w:rsid w:val="00E609CD"/>
    <w:rsid w:val="00E6211F"/>
    <w:rsid w:val="00E6225B"/>
    <w:rsid w:val="00E625BC"/>
    <w:rsid w:val="00E6294F"/>
    <w:rsid w:val="00E62AFE"/>
    <w:rsid w:val="00E631B8"/>
    <w:rsid w:val="00E6340D"/>
    <w:rsid w:val="00E6354C"/>
    <w:rsid w:val="00E642D9"/>
    <w:rsid w:val="00E64F50"/>
    <w:rsid w:val="00E65B66"/>
    <w:rsid w:val="00E65C97"/>
    <w:rsid w:val="00E66C39"/>
    <w:rsid w:val="00E70358"/>
    <w:rsid w:val="00E70F7C"/>
    <w:rsid w:val="00E71E36"/>
    <w:rsid w:val="00E72EBC"/>
    <w:rsid w:val="00E747D4"/>
    <w:rsid w:val="00E75DA9"/>
    <w:rsid w:val="00E804C7"/>
    <w:rsid w:val="00E805C0"/>
    <w:rsid w:val="00E857F0"/>
    <w:rsid w:val="00E85957"/>
    <w:rsid w:val="00E85D5D"/>
    <w:rsid w:val="00E87513"/>
    <w:rsid w:val="00E87B24"/>
    <w:rsid w:val="00E87CE2"/>
    <w:rsid w:val="00E90A29"/>
    <w:rsid w:val="00E90B35"/>
    <w:rsid w:val="00E90F80"/>
    <w:rsid w:val="00E91393"/>
    <w:rsid w:val="00E93B78"/>
    <w:rsid w:val="00E9439E"/>
    <w:rsid w:val="00E9499C"/>
    <w:rsid w:val="00E9589F"/>
    <w:rsid w:val="00E96525"/>
    <w:rsid w:val="00E9757B"/>
    <w:rsid w:val="00E97C9B"/>
    <w:rsid w:val="00EA0892"/>
    <w:rsid w:val="00EA08EF"/>
    <w:rsid w:val="00EA105A"/>
    <w:rsid w:val="00EA276E"/>
    <w:rsid w:val="00EA3060"/>
    <w:rsid w:val="00EA431D"/>
    <w:rsid w:val="00EA54D1"/>
    <w:rsid w:val="00EA7B9A"/>
    <w:rsid w:val="00EB0FD6"/>
    <w:rsid w:val="00EB2734"/>
    <w:rsid w:val="00EB340F"/>
    <w:rsid w:val="00EB3513"/>
    <w:rsid w:val="00EB35AF"/>
    <w:rsid w:val="00EB49DE"/>
    <w:rsid w:val="00EB5667"/>
    <w:rsid w:val="00EB5C46"/>
    <w:rsid w:val="00EB617B"/>
    <w:rsid w:val="00EB68F2"/>
    <w:rsid w:val="00EB76BB"/>
    <w:rsid w:val="00EB7FD8"/>
    <w:rsid w:val="00EC17B6"/>
    <w:rsid w:val="00EC2468"/>
    <w:rsid w:val="00EC3532"/>
    <w:rsid w:val="00EC46E2"/>
    <w:rsid w:val="00EC4B44"/>
    <w:rsid w:val="00EC4DC6"/>
    <w:rsid w:val="00EC565B"/>
    <w:rsid w:val="00EC58FA"/>
    <w:rsid w:val="00EC64E5"/>
    <w:rsid w:val="00ED0D00"/>
    <w:rsid w:val="00ED138D"/>
    <w:rsid w:val="00ED1A9E"/>
    <w:rsid w:val="00ED2309"/>
    <w:rsid w:val="00ED2587"/>
    <w:rsid w:val="00ED2BDC"/>
    <w:rsid w:val="00ED310C"/>
    <w:rsid w:val="00ED468B"/>
    <w:rsid w:val="00ED5909"/>
    <w:rsid w:val="00ED6843"/>
    <w:rsid w:val="00EE015A"/>
    <w:rsid w:val="00EE064F"/>
    <w:rsid w:val="00EE0BC9"/>
    <w:rsid w:val="00EE1AF8"/>
    <w:rsid w:val="00EE1EE4"/>
    <w:rsid w:val="00EE27ED"/>
    <w:rsid w:val="00EE380C"/>
    <w:rsid w:val="00EE4468"/>
    <w:rsid w:val="00EE4F37"/>
    <w:rsid w:val="00EE52B9"/>
    <w:rsid w:val="00EE5BC6"/>
    <w:rsid w:val="00EE7939"/>
    <w:rsid w:val="00EF04A9"/>
    <w:rsid w:val="00EF0682"/>
    <w:rsid w:val="00EF0FA0"/>
    <w:rsid w:val="00EF1F6B"/>
    <w:rsid w:val="00EF2BDB"/>
    <w:rsid w:val="00EF2C8B"/>
    <w:rsid w:val="00EF3217"/>
    <w:rsid w:val="00EF3CDD"/>
    <w:rsid w:val="00EF412E"/>
    <w:rsid w:val="00EF47E9"/>
    <w:rsid w:val="00EF4821"/>
    <w:rsid w:val="00EF4B43"/>
    <w:rsid w:val="00EF4FE7"/>
    <w:rsid w:val="00EF5EA4"/>
    <w:rsid w:val="00EF60F0"/>
    <w:rsid w:val="00EF71A8"/>
    <w:rsid w:val="00EF7BBC"/>
    <w:rsid w:val="00F003C5"/>
    <w:rsid w:val="00F00BCE"/>
    <w:rsid w:val="00F00D40"/>
    <w:rsid w:val="00F01925"/>
    <w:rsid w:val="00F01992"/>
    <w:rsid w:val="00F028EC"/>
    <w:rsid w:val="00F03F9F"/>
    <w:rsid w:val="00F04722"/>
    <w:rsid w:val="00F04C84"/>
    <w:rsid w:val="00F04F9D"/>
    <w:rsid w:val="00F051FF"/>
    <w:rsid w:val="00F05DDD"/>
    <w:rsid w:val="00F0630C"/>
    <w:rsid w:val="00F0716A"/>
    <w:rsid w:val="00F075EB"/>
    <w:rsid w:val="00F10CD8"/>
    <w:rsid w:val="00F10CE7"/>
    <w:rsid w:val="00F11BF2"/>
    <w:rsid w:val="00F1200C"/>
    <w:rsid w:val="00F1261F"/>
    <w:rsid w:val="00F1305F"/>
    <w:rsid w:val="00F13469"/>
    <w:rsid w:val="00F13842"/>
    <w:rsid w:val="00F13C69"/>
    <w:rsid w:val="00F14C6B"/>
    <w:rsid w:val="00F1772C"/>
    <w:rsid w:val="00F20989"/>
    <w:rsid w:val="00F20BB5"/>
    <w:rsid w:val="00F20CF2"/>
    <w:rsid w:val="00F21B8D"/>
    <w:rsid w:val="00F22C59"/>
    <w:rsid w:val="00F23185"/>
    <w:rsid w:val="00F24177"/>
    <w:rsid w:val="00F2503C"/>
    <w:rsid w:val="00F254DA"/>
    <w:rsid w:val="00F2589D"/>
    <w:rsid w:val="00F259A8"/>
    <w:rsid w:val="00F25E62"/>
    <w:rsid w:val="00F26316"/>
    <w:rsid w:val="00F2736D"/>
    <w:rsid w:val="00F27AFB"/>
    <w:rsid w:val="00F304A6"/>
    <w:rsid w:val="00F31BE8"/>
    <w:rsid w:val="00F32377"/>
    <w:rsid w:val="00F323C5"/>
    <w:rsid w:val="00F32E22"/>
    <w:rsid w:val="00F333D9"/>
    <w:rsid w:val="00F33D1D"/>
    <w:rsid w:val="00F341C3"/>
    <w:rsid w:val="00F3436C"/>
    <w:rsid w:val="00F351D6"/>
    <w:rsid w:val="00F35959"/>
    <w:rsid w:val="00F37ED9"/>
    <w:rsid w:val="00F41AB5"/>
    <w:rsid w:val="00F4281B"/>
    <w:rsid w:val="00F42F15"/>
    <w:rsid w:val="00F44F3C"/>
    <w:rsid w:val="00F45339"/>
    <w:rsid w:val="00F45CAC"/>
    <w:rsid w:val="00F468B7"/>
    <w:rsid w:val="00F516FE"/>
    <w:rsid w:val="00F51C0B"/>
    <w:rsid w:val="00F51FA6"/>
    <w:rsid w:val="00F521D4"/>
    <w:rsid w:val="00F529F5"/>
    <w:rsid w:val="00F54BFE"/>
    <w:rsid w:val="00F567BA"/>
    <w:rsid w:val="00F60131"/>
    <w:rsid w:val="00F60BDA"/>
    <w:rsid w:val="00F60F15"/>
    <w:rsid w:val="00F61C98"/>
    <w:rsid w:val="00F62166"/>
    <w:rsid w:val="00F626C3"/>
    <w:rsid w:val="00F63D7C"/>
    <w:rsid w:val="00F64E08"/>
    <w:rsid w:val="00F653D4"/>
    <w:rsid w:val="00F67E44"/>
    <w:rsid w:val="00F700A2"/>
    <w:rsid w:val="00F7020D"/>
    <w:rsid w:val="00F706B1"/>
    <w:rsid w:val="00F72B59"/>
    <w:rsid w:val="00F73BFB"/>
    <w:rsid w:val="00F74331"/>
    <w:rsid w:val="00F74B1F"/>
    <w:rsid w:val="00F75150"/>
    <w:rsid w:val="00F7547F"/>
    <w:rsid w:val="00F772F9"/>
    <w:rsid w:val="00F80007"/>
    <w:rsid w:val="00F8074A"/>
    <w:rsid w:val="00F818E4"/>
    <w:rsid w:val="00F81913"/>
    <w:rsid w:val="00F82E5E"/>
    <w:rsid w:val="00F84358"/>
    <w:rsid w:val="00F848E1"/>
    <w:rsid w:val="00F84925"/>
    <w:rsid w:val="00F8495D"/>
    <w:rsid w:val="00F84B24"/>
    <w:rsid w:val="00F87F19"/>
    <w:rsid w:val="00F90129"/>
    <w:rsid w:val="00F90951"/>
    <w:rsid w:val="00F90ED9"/>
    <w:rsid w:val="00F9209C"/>
    <w:rsid w:val="00F920D4"/>
    <w:rsid w:val="00F921D3"/>
    <w:rsid w:val="00F927DC"/>
    <w:rsid w:val="00F92A4C"/>
    <w:rsid w:val="00F936E0"/>
    <w:rsid w:val="00F937CF"/>
    <w:rsid w:val="00F93BD4"/>
    <w:rsid w:val="00F93C8B"/>
    <w:rsid w:val="00F94AE5"/>
    <w:rsid w:val="00F94F9C"/>
    <w:rsid w:val="00F95610"/>
    <w:rsid w:val="00F95850"/>
    <w:rsid w:val="00F95A36"/>
    <w:rsid w:val="00F95CC3"/>
    <w:rsid w:val="00F96393"/>
    <w:rsid w:val="00F96CCB"/>
    <w:rsid w:val="00F97302"/>
    <w:rsid w:val="00F975B3"/>
    <w:rsid w:val="00FA020F"/>
    <w:rsid w:val="00FA0390"/>
    <w:rsid w:val="00FA0981"/>
    <w:rsid w:val="00FA126D"/>
    <w:rsid w:val="00FA1944"/>
    <w:rsid w:val="00FA3B18"/>
    <w:rsid w:val="00FA4861"/>
    <w:rsid w:val="00FA5A92"/>
    <w:rsid w:val="00FA5EF5"/>
    <w:rsid w:val="00FA646D"/>
    <w:rsid w:val="00FA6C0F"/>
    <w:rsid w:val="00FA79B1"/>
    <w:rsid w:val="00FB01C5"/>
    <w:rsid w:val="00FB02CC"/>
    <w:rsid w:val="00FB2B62"/>
    <w:rsid w:val="00FB33CC"/>
    <w:rsid w:val="00FB3682"/>
    <w:rsid w:val="00FB4491"/>
    <w:rsid w:val="00FB4E3E"/>
    <w:rsid w:val="00FB5636"/>
    <w:rsid w:val="00FB57B2"/>
    <w:rsid w:val="00FB5B59"/>
    <w:rsid w:val="00FB66AC"/>
    <w:rsid w:val="00FB74C6"/>
    <w:rsid w:val="00FB7E2F"/>
    <w:rsid w:val="00FC0298"/>
    <w:rsid w:val="00FC1120"/>
    <w:rsid w:val="00FC1205"/>
    <w:rsid w:val="00FC26F5"/>
    <w:rsid w:val="00FC2CF6"/>
    <w:rsid w:val="00FC2EB9"/>
    <w:rsid w:val="00FC6C1A"/>
    <w:rsid w:val="00FD140B"/>
    <w:rsid w:val="00FD1C67"/>
    <w:rsid w:val="00FD22DC"/>
    <w:rsid w:val="00FD2D17"/>
    <w:rsid w:val="00FD2DA5"/>
    <w:rsid w:val="00FD34FC"/>
    <w:rsid w:val="00FD48A0"/>
    <w:rsid w:val="00FD5794"/>
    <w:rsid w:val="00FD644D"/>
    <w:rsid w:val="00FD64F1"/>
    <w:rsid w:val="00FD6C7E"/>
    <w:rsid w:val="00FE0837"/>
    <w:rsid w:val="00FE0C9B"/>
    <w:rsid w:val="00FE10D6"/>
    <w:rsid w:val="00FE1DF5"/>
    <w:rsid w:val="00FE243A"/>
    <w:rsid w:val="00FE26B8"/>
    <w:rsid w:val="00FE3231"/>
    <w:rsid w:val="00FE3C65"/>
    <w:rsid w:val="00FE49DE"/>
    <w:rsid w:val="00FE5912"/>
    <w:rsid w:val="00FE5E97"/>
    <w:rsid w:val="00FE708A"/>
    <w:rsid w:val="00FF01A1"/>
    <w:rsid w:val="00FF0485"/>
    <w:rsid w:val="00FF094B"/>
    <w:rsid w:val="00FF0EB1"/>
    <w:rsid w:val="00FF1067"/>
    <w:rsid w:val="00FF12CB"/>
    <w:rsid w:val="00FF305B"/>
    <w:rsid w:val="00FF4DF8"/>
    <w:rsid w:val="00FF6435"/>
    <w:rsid w:val="00FF646A"/>
    <w:rsid w:val="00FF730A"/>
    <w:rsid w:val="00FF7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1495"/>
  <w15:docId w15:val="{2F412EE5-CFA4-41AC-8B4F-A7B6F3A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link w:val="Heading2Char"/>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1"/>
      </w:numPr>
      <w:spacing w:before="120" w:after="120"/>
    </w:pPr>
  </w:style>
  <w:style w:type="paragraph" w:styleId="ListBullet2">
    <w:name w:val="List Bullet 2"/>
    <w:basedOn w:val="Normal"/>
    <w:pPr>
      <w:numPr>
        <w:numId w:val="2"/>
      </w:numPr>
      <w:tabs>
        <w:tab w:val="clear" w:pos="643"/>
        <w:tab w:val="num" w:pos="717"/>
      </w:tabs>
      <w:spacing w:before="60" w:after="60"/>
      <w:ind w:left="717"/>
    </w:pPr>
  </w:style>
  <w:style w:type="paragraph" w:styleId="ListBullet3">
    <w:name w:val="List Bullet 3"/>
    <w:basedOn w:val="Normal"/>
    <w:pPr>
      <w:numPr>
        <w:numId w:val="3"/>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4"/>
      </w:numPr>
      <w:tabs>
        <w:tab w:val="clear" w:pos="360"/>
      </w:tabs>
      <w:spacing w:after="120"/>
    </w:pPr>
  </w:style>
  <w:style w:type="paragraph" w:styleId="ListNumber2">
    <w:name w:val="List Number 2"/>
    <w:basedOn w:val="Normal"/>
    <w:pPr>
      <w:numPr>
        <w:numId w:val="5"/>
      </w:numPr>
      <w:tabs>
        <w:tab w:val="clear" w:pos="641"/>
        <w:tab w:val="num" w:pos="643"/>
      </w:tabs>
      <w:spacing w:before="60" w:after="60"/>
    </w:pPr>
  </w:style>
  <w:style w:type="paragraph" w:styleId="ListNumber3">
    <w:name w:val="List Number 3"/>
    <w:basedOn w:val="Normal"/>
    <w:pPr>
      <w:numPr>
        <w:numId w:val="6"/>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3343F5"/>
    <w:pPr>
      <w:keepLines/>
      <w:tabs>
        <w:tab w:val="right" w:leader="dot" w:pos="8714"/>
      </w:tab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 w:type="paragraph" w:styleId="EndnoteText">
    <w:name w:val="endnote text"/>
    <w:basedOn w:val="Normal"/>
    <w:link w:val="EndnoteTextChar"/>
    <w:rsid w:val="005E6DA9"/>
    <w:pPr>
      <w:spacing w:after="0"/>
    </w:pPr>
    <w:rPr>
      <w:sz w:val="20"/>
      <w:szCs w:val="20"/>
    </w:rPr>
  </w:style>
  <w:style w:type="character" w:customStyle="1" w:styleId="EndnoteTextChar">
    <w:name w:val="Endnote Text Char"/>
    <w:basedOn w:val="DefaultParagraphFont"/>
    <w:link w:val="EndnoteText"/>
    <w:rsid w:val="005E6DA9"/>
    <w:rPr>
      <w:rFonts w:ascii="Gill Sans MT" w:eastAsia="Times New Roman" w:hAnsi="Gill Sans MT"/>
      <w:lang w:eastAsia="en-US"/>
    </w:rPr>
  </w:style>
  <w:style w:type="character" w:styleId="EndnoteReference">
    <w:name w:val="endnote reference"/>
    <w:basedOn w:val="DefaultParagraphFont"/>
    <w:rsid w:val="005E6DA9"/>
    <w:rPr>
      <w:vertAlign w:val="superscript"/>
    </w:rPr>
  </w:style>
  <w:style w:type="character" w:customStyle="1" w:styleId="Heading2Char">
    <w:name w:val="Heading 2 Char"/>
    <w:basedOn w:val="DefaultParagraphFont"/>
    <w:link w:val="Heading2"/>
    <w:rsid w:val="003A5392"/>
    <w:rPr>
      <w:rFonts w:ascii="Rockwell" w:eastAsia="Times New Roman" w:hAnsi="Rockwell"/>
      <w:b/>
      <w:color w:val="CC3399"/>
      <w:sz w:val="32"/>
      <w:szCs w:val="32"/>
      <w:lang w:eastAsia="en-US"/>
    </w:rPr>
  </w:style>
  <w:style w:type="character" w:customStyle="1" w:styleId="TitleChar">
    <w:name w:val="Title Char"/>
    <w:basedOn w:val="DefaultParagraphFont"/>
    <w:link w:val="Title"/>
    <w:rsid w:val="00F920D4"/>
    <w:rPr>
      <w:rFonts w:ascii="Gill Sans MT" w:eastAsia="Times New Roman" w:hAnsi="Gill Sans MT" w:cs="Arial"/>
      <w:b/>
      <w:bCs/>
      <w:kern w:val="28"/>
      <w:sz w:val="36"/>
      <w:szCs w:val="32"/>
      <w:lang w:eastAsia="en-US"/>
    </w:rPr>
  </w:style>
  <w:style w:type="character" w:styleId="UnresolvedMention">
    <w:name w:val="Unresolved Mention"/>
    <w:basedOn w:val="DefaultParagraphFont"/>
    <w:uiPriority w:val="99"/>
    <w:semiHidden/>
    <w:unhideWhenUsed/>
    <w:rsid w:val="00114E29"/>
    <w:rPr>
      <w:color w:val="605E5C"/>
      <w:shd w:val="clear" w:color="auto" w:fill="E1DFDD"/>
    </w:rPr>
  </w:style>
  <w:style w:type="paragraph" w:styleId="NoSpacing">
    <w:name w:val="No Spacing"/>
    <w:uiPriority w:val="1"/>
    <w:qFormat/>
    <w:rsid w:val="00E46650"/>
    <w:rPr>
      <w:rFonts w:ascii="Gill Sans MT" w:eastAsia="Times New Roman" w:hAnsi="Gill Sans MT"/>
      <w:sz w:val="26"/>
      <w:szCs w:val="24"/>
      <w:lang w:eastAsia="en-US"/>
    </w:rPr>
  </w:style>
  <w:style w:type="character" w:customStyle="1" w:styleId="cf01">
    <w:name w:val="cf01"/>
    <w:basedOn w:val="DefaultParagraphFont"/>
    <w:rsid w:val="00D43A0A"/>
    <w:rPr>
      <w:rFonts w:ascii="Segoe UI" w:hAnsi="Segoe UI" w:cs="Segoe UI" w:hint="default"/>
      <w:sz w:val="18"/>
      <w:szCs w:val="18"/>
    </w:rPr>
  </w:style>
  <w:style w:type="paragraph" w:customStyle="1" w:styleId="pf0">
    <w:name w:val="pf0"/>
    <w:basedOn w:val="Normal"/>
    <w:rsid w:val="00D43A0A"/>
    <w:pPr>
      <w:spacing w:before="100" w:beforeAutospacing="1" w:after="100" w:afterAutospacing="1"/>
    </w:pPr>
    <w:rPr>
      <w:rFonts w:ascii="Times New Roman"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5">
      <w:bodyDiv w:val="1"/>
      <w:marLeft w:val="0"/>
      <w:marRight w:val="0"/>
      <w:marTop w:val="0"/>
      <w:marBottom w:val="0"/>
      <w:divBdr>
        <w:top w:val="none" w:sz="0" w:space="0" w:color="auto"/>
        <w:left w:val="none" w:sz="0" w:space="0" w:color="auto"/>
        <w:bottom w:val="none" w:sz="0" w:space="0" w:color="auto"/>
        <w:right w:val="none" w:sz="0" w:space="0" w:color="auto"/>
      </w:divBdr>
    </w:div>
    <w:div w:id="10572907">
      <w:bodyDiv w:val="1"/>
      <w:marLeft w:val="0"/>
      <w:marRight w:val="0"/>
      <w:marTop w:val="0"/>
      <w:marBottom w:val="0"/>
      <w:divBdr>
        <w:top w:val="none" w:sz="0" w:space="0" w:color="auto"/>
        <w:left w:val="none" w:sz="0" w:space="0" w:color="auto"/>
        <w:bottom w:val="none" w:sz="0" w:space="0" w:color="auto"/>
        <w:right w:val="none" w:sz="0" w:space="0" w:color="auto"/>
      </w:divBdr>
    </w:div>
    <w:div w:id="14694645">
      <w:bodyDiv w:val="1"/>
      <w:marLeft w:val="0"/>
      <w:marRight w:val="0"/>
      <w:marTop w:val="0"/>
      <w:marBottom w:val="0"/>
      <w:divBdr>
        <w:top w:val="none" w:sz="0" w:space="0" w:color="auto"/>
        <w:left w:val="none" w:sz="0" w:space="0" w:color="auto"/>
        <w:bottom w:val="none" w:sz="0" w:space="0" w:color="auto"/>
        <w:right w:val="none" w:sz="0" w:space="0" w:color="auto"/>
      </w:divBdr>
    </w:div>
    <w:div w:id="27532342">
      <w:bodyDiv w:val="1"/>
      <w:marLeft w:val="0"/>
      <w:marRight w:val="0"/>
      <w:marTop w:val="0"/>
      <w:marBottom w:val="0"/>
      <w:divBdr>
        <w:top w:val="none" w:sz="0" w:space="0" w:color="auto"/>
        <w:left w:val="none" w:sz="0" w:space="0" w:color="auto"/>
        <w:bottom w:val="none" w:sz="0" w:space="0" w:color="auto"/>
        <w:right w:val="none" w:sz="0" w:space="0" w:color="auto"/>
      </w:divBdr>
    </w:div>
    <w:div w:id="29766270">
      <w:bodyDiv w:val="1"/>
      <w:marLeft w:val="0"/>
      <w:marRight w:val="0"/>
      <w:marTop w:val="0"/>
      <w:marBottom w:val="0"/>
      <w:divBdr>
        <w:top w:val="none" w:sz="0" w:space="0" w:color="auto"/>
        <w:left w:val="none" w:sz="0" w:space="0" w:color="auto"/>
        <w:bottom w:val="none" w:sz="0" w:space="0" w:color="auto"/>
        <w:right w:val="none" w:sz="0" w:space="0" w:color="auto"/>
      </w:divBdr>
    </w:div>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32536114">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48188934">
      <w:bodyDiv w:val="1"/>
      <w:marLeft w:val="0"/>
      <w:marRight w:val="0"/>
      <w:marTop w:val="0"/>
      <w:marBottom w:val="0"/>
      <w:divBdr>
        <w:top w:val="none" w:sz="0" w:space="0" w:color="auto"/>
        <w:left w:val="none" w:sz="0" w:space="0" w:color="auto"/>
        <w:bottom w:val="none" w:sz="0" w:space="0" w:color="auto"/>
        <w:right w:val="none" w:sz="0" w:space="0" w:color="auto"/>
      </w:divBdr>
    </w:div>
    <w:div w:id="54814233">
      <w:bodyDiv w:val="1"/>
      <w:marLeft w:val="0"/>
      <w:marRight w:val="0"/>
      <w:marTop w:val="0"/>
      <w:marBottom w:val="0"/>
      <w:divBdr>
        <w:top w:val="none" w:sz="0" w:space="0" w:color="auto"/>
        <w:left w:val="none" w:sz="0" w:space="0" w:color="auto"/>
        <w:bottom w:val="none" w:sz="0" w:space="0" w:color="auto"/>
        <w:right w:val="none" w:sz="0" w:space="0" w:color="auto"/>
      </w:divBdr>
    </w:div>
    <w:div w:id="56050381">
      <w:bodyDiv w:val="1"/>
      <w:marLeft w:val="0"/>
      <w:marRight w:val="0"/>
      <w:marTop w:val="0"/>
      <w:marBottom w:val="0"/>
      <w:divBdr>
        <w:top w:val="none" w:sz="0" w:space="0" w:color="auto"/>
        <w:left w:val="none" w:sz="0" w:space="0" w:color="auto"/>
        <w:bottom w:val="none" w:sz="0" w:space="0" w:color="auto"/>
        <w:right w:val="none" w:sz="0" w:space="0" w:color="auto"/>
      </w:divBdr>
    </w:div>
    <w:div w:id="62530575">
      <w:bodyDiv w:val="1"/>
      <w:marLeft w:val="0"/>
      <w:marRight w:val="0"/>
      <w:marTop w:val="0"/>
      <w:marBottom w:val="0"/>
      <w:divBdr>
        <w:top w:val="none" w:sz="0" w:space="0" w:color="auto"/>
        <w:left w:val="none" w:sz="0" w:space="0" w:color="auto"/>
        <w:bottom w:val="none" w:sz="0" w:space="0" w:color="auto"/>
        <w:right w:val="none" w:sz="0" w:space="0" w:color="auto"/>
      </w:divBdr>
    </w:div>
    <w:div w:id="77334736">
      <w:bodyDiv w:val="1"/>
      <w:marLeft w:val="0"/>
      <w:marRight w:val="0"/>
      <w:marTop w:val="0"/>
      <w:marBottom w:val="0"/>
      <w:divBdr>
        <w:top w:val="none" w:sz="0" w:space="0" w:color="auto"/>
        <w:left w:val="none" w:sz="0" w:space="0" w:color="auto"/>
        <w:bottom w:val="none" w:sz="0" w:space="0" w:color="auto"/>
        <w:right w:val="none" w:sz="0" w:space="0" w:color="auto"/>
      </w:divBdr>
    </w:div>
    <w:div w:id="86780589">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87167119">
      <w:bodyDiv w:val="1"/>
      <w:marLeft w:val="0"/>
      <w:marRight w:val="0"/>
      <w:marTop w:val="0"/>
      <w:marBottom w:val="0"/>
      <w:divBdr>
        <w:top w:val="none" w:sz="0" w:space="0" w:color="auto"/>
        <w:left w:val="none" w:sz="0" w:space="0" w:color="auto"/>
        <w:bottom w:val="none" w:sz="0" w:space="0" w:color="auto"/>
        <w:right w:val="none" w:sz="0" w:space="0" w:color="auto"/>
      </w:divBdr>
    </w:div>
    <w:div w:id="89933209">
      <w:bodyDiv w:val="1"/>
      <w:marLeft w:val="0"/>
      <w:marRight w:val="0"/>
      <w:marTop w:val="0"/>
      <w:marBottom w:val="0"/>
      <w:divBdr>
        <w:top w:val="none" w:sz="0" w:space="0" w:color="auto"/>
        <w:left w:val="none" w:sz="0" w:space="0" w:color="auto"/>
        <w:bottom w:val="none" w:sz="0" w:space="0" w:color="auto"/>
        <w:right w:val="none" w:sz="0" w:space="0" w:color="auto"/>
      </w:divBdr>
    </w:div>
    <w:div w:id="90129991">
      <w:bodyDiv w:val="1"/>
      <w:marLeft w:val="0"/>
      <w:marRight w:val="0"/>
      <w:marTop w:val="0"/>
      <w:marBottom w:val="0"/>
      <w:divBdr>
        <w:top w:val="none" w:sz="0" w:space="0" w:color="auto"/>
        <w:left w:val="none" w:sz="0" w:space="0" w:color="auto"/>
        <w:bottom w:val="none" w:sz="0" w:space="0" w:color="auto"/>
        <w:right w:val="none" w:sz="0" w:space="0" w:color="auto"/>
      </w:divBdr>
    </w:div>
    <w:div w:id="99378392">
      <w:bodyDiv w:val="1"/>
      <w:marLeft w:val="0"/>
      <w:marRight w:val="0"/>
      <w:marTop w:val="0"/>
      <w:marBottom w:val="0"/>
      <w:divBdr>
        <w:top w:val="none" w:sz="0" w:space="0" w:color="auto"/>
        <w:left w:val="none" w:sz="0" w:space="0" w:color="auto"/>
        <w:bottom w:val="none" w:sz="0" w:space="0" w:color="auto"/>
        <w:right w:val="none" w:sz="0" w:space="0" w:color="auto"/>
      </w:divBdr>
    </w:div>
    <w:div w:id="103185781">
      <w:bodyDiv w:val="1"/>
      <w:marLeft w:val="0"/>
      <w:marRight w:val="0"/>
      <w:marTop w:val="0"/>
      <w:marBottom w:val="0"/>
      <w:divBdr>
        <w:top w:val="none" w:sz="0" w:space="0" w:color="auto"/>
        <w:left w:val="none" w:sz="0" w:space="0" w:color="auto"/>
        <w:bottom w:val="none" w:sz="0" w:space="0" w:color="auto"/>
        <w:right w:val="none" w:sz="0" w:space="0" w:color="auto"/>
      </w:divBdr>
    </w:div>
    <w:div w:id="108205528">
      <w:bodyDiv w:val="1"/>
      <w:marLeft w:val="0"/>
      <w:marRight w:val="0"/>
      <w:marTop w:val="0"/>
      <w:marBottom w:val="0"/>
      <w:divBdr>
        <w:top w:val="none" w:sz="0" w:space="0" w:color="auto"/>
        <w:left w:val="none" w:sz="0" w:space="0" w:color="auto"/>
        <w:bottom w:val="none" w:sz="0" w:space="0" w:color="auto"/>
        <w:right w:val="none" w:sz="0" w:space="0" w:color="auto"/>
      </w:divBdr>
    </w:div>
    <w:div w:id="112284005">
      <w:bodyDiv w:val="1"/>
      <w:marLeft w:val="0"/>
      <w:marRight w:val="0"/>
      <w:marTop w:val="0"/>
      <w:marBottom w:val="0"/>
      <w:divBdr>
        <w:top w:val="none" w:sz="0" w:space="0" w:color="auto"/>
        <w:left w:val="none" w:sz="0" w:space="0" w:color="auto"/>
        <w:bottom w:val="none" w:sz="0" w:space="0" w:color="auto"/>
        <w:right w:val="none" w:sz="0" w:space="0" w:color="auto"/>
      </w:divBdr>
    </w:div>
    <w:div w:id="112797558">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0653681">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25130522">
      <w:bodyDiv w:val="1"/>
      <w:marLeft w:val="0"/>
      <w:marRight w:val="0"/>
      <w:marTop w:val="0"/>
      <w:marBottom w:val="0"/>
      <w:divBdr>
        <w:top w:val="none" w:sz="0" w:space="0" w:color="auto"/>
        <w:left w:val="none" w:sz="0" w:space="0" w:color="auto"/>
        <w:bottom w:val="none" w:sz="0" w:space="0" w:color="auto"/>
        <w:right w:val="none" w:sz="0" w:space="0" w:color="auto"/>
      </w:divBdr>
    </w:div>
    <w:div w:id="126317448">
      <w:bodyDiv w:val="1"/>
      <w:marLeft w:val="0"/>
      <w:marRight w:val="0"/>
      <w:marTop w:val="0"/>
      <w:marBottom w:val="0"/>
      <w:divBdr>
        <w:top w:val="none" w:sz="0" w:space="0" w:color="auto"/>
        <w:left w:val="none" w:sz="0" w:space="0" w:color="auto"/>
        <w:bottom w:val="none" w:sz="0" w:space="0" w:color="auto"/>
        <w:right w:val="none" w:sz="0" w:space="0" w:color="auto"/>
      </w:divBdr>
    </w:div>
    <w:div w:id="128480374">
      <w:bodyDiv w:val="1"/>
      <w:marLeft w:val="0"/>
      <w:marRight w:val="0"/>
      <w:marTop w:val="0"/>
      <w:marBottom w:val="0"/>
      <w:divBdr>
        <w:top w:val="none" w:sz="0" w:space="0" w:color="auto"/>
        <w:left w:val="none" w:sz="0" w:space="0" w:color="auto"/>
        <w:bottom w:val="none" w:sz="0" w:space="0" w:color="auto"/>
        <w:right w:val="none" w:sz="0" w:space="0" w:color="auto"/>
      </w:divBdr>
    </w:div>
    <w:div w:id="129518111">
      <w:bodyDiv w:val="1"/>
      <w:marLeft w:val="0"/>
      <w:marRight w:val="0"/>
      <w:marTop w:val="0"/>
      <w:marBottom w:val="0"/>
      <w:divBdr>
        <w:top w:val="none" w:sz="0" w:space="0" w:color="auto"/>
        <w:left w:val="none" w:sz="0" w:space="0" w:color="auto"/>
        <w:bottom w:val="none" w:sz="0" w:space="0" w:color="auto"/>
        <w:right w:val="none" w:sz="0" w:space="0" w:color="auto"/>
      </w:divBdr>
    </w:div>
    <w:div w:id="134614442">
      <w:bodyDiv w:val="1"/>
      <w:marLeft w:val="0"/>
      <w:marRight w:val="0"/>
      <w:marTop w:val="0"/>
      <w:marBottom w:val="0"/>
      <w:divBdr>
        <w:top w:val="none" w:sz="0" w:space="0" w:color="auto"/>
        <w:left w:val="none" w:sz="0" w:space="0" w:color="auto"/>
        <w:bottom w:val="none" w:sz="0" w:space="0" w:color="auto"/>
        <w:right w:val="none" w:sz="0" w:space="0" w:color="auto"/>
      </w:divBdr>
    </w:div>
    <w:div w:id="142548513">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50293696">
      <w:bodyDiv w:val="1"/>
      <w:marLeft w:val="0"/>
      <w:marRight w:val="0"/>
      <w:marTop w:val="0"/>
      <w:marBottom w:val="0"/>
      <w:divBdr>
        <w:top w:val="none" w:sz="0" w:space="0" w:color="auto"/>
        <w:left w:val="none" w:sz="0" w:space="0" w:color="auto"/>
        <w:bottom w:val="none" w:sz="0" w:space="0" w:color="auto"/>
        <w:right w:val="none" w:sz="0" w:space="0" w:color="auto"/>
      </w:divBdr>
    </w:div>
    <w:div w:id="154229983">
      <w:bodyDiv w:val="1"/>
      <w:marLeft w:val="0"/>
      <w:marRight w:val="0"/>
      <w:marTop w:val="0"/>
      <w:marBottom w:val="0"/>
      <w:divBdr>
        <w:top w:val="none" w:sz="0" w:space="0" w:color="auto"/>
        <w:left w:val="none" w:sz="0" w:space="0" w:color="auto"/>
        <w:bottom w:val="none" w:sz="0" w:space="0" w:color="auto"/>
        <w:right w:val="none" w:sz="0" w:space="0" w:color="auto"/>
      </w:divBdr>
    </w:div>
    <w:div w:id="162746902">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69680039">
      <w:bodyDiv w:val="1"/>
      <w:marLeft w:val="0"/>
      <w:marRight w:val="0"/>
      <w:marTop w:val="0"/>
      <w:marBottom w:val="0"/>
      <w:divBdr>
        <w:top w:val="none" w:sz="0" w:space="0" w:color="auto"/>
        <w:left w:val="none" w:sz="0" w:space="0" w:color="auto"/>
        <w:bottom w:val="none" w:sz="0" w:space="0" w:color="auto"/>
        <w:right w:val="none" w:sz="0" w:space="0" w:color="auto"/>
      </w:divBdr>
    </w:div>
    <w:div w:id="169949485">
      <w:bodyDiv w:val="1"/>
      <w:marLeft w:val="0"/>
      <w:marRight w:val="0"/>
      <w:marTop w:val="0"/>
      <w:marBottom w:val="0"/>
      <w:divBdr>
        <w:top w:val="none" w:sz="0" w:space="0" w:color="auto"/>
        <w:left w:val="none" w:sz="0" w:space="0" w:color="auto"/>
        <w:bottom w:val="none" w:sz="0" w:space="0" w:color="auto"/>
        <w:right w:val="none" w:sz="0" w:space="0" w:color="auto"/>
      </w:divBdr>
    </w:div>
    <w:div w:id="175970218">
      <w:bodyDiv w:val="1"/>
      <w:marLeft w:val="0"/>
      <w:marRight w:val="0"/>
      <w:marTop w:val="0"/>
      <w:marBottom w:val="0"/>
      <w:divBdr>
        <w:top w:val="none" w:sz="0" w:space="0" w:color="auto"/>
        <w:left w:val="none" w:sz="0" w:space="0" w:color="auto"/>
        <w:bottom w:val="none" w:sz="0" w:space="0" w:color="auto"/>
        <w:right w:val="none" w:sz="0" w:space="0" w:color="auto"/>
      </w:divBdr>
    </w:div>
    <w:div w:id="178397908">
      <w:bodyDiv w:val="1"/>
      <w:marLeft w:val="0"/>
      <w:marRight w:val="0"/>
      <w:marTop w:val="0"/>
      <w:marBottom w:val="0"/>
      <w:divBdr>
        <w:top w:val="none" w:sz="0" w:space="0" w:color="auto"/>
        <w:left w:val="none" w:sz="0" w:space="0" w:color="auto"/>
        <w:bottom w:val="none" w:sz="0" w:space="0" w:color="auto"/>
        <w:right w:val="none" w:sz="0" w:space="0" w:color="auto"/>
      </w:divBdr>
    </w:div>
    <w:div w:id="186988594">
      <w:bodyDiv w:val="1"/>
      <w:marLeft w:val="0"/>
      <w:marRight w:val="0"/>
      <w:marTop w:val="0"/>
      <w:marBottom w:val="0"/>
      <w:divBdr>
        <w:top w:val="none" w:sz="0" w:space="0" w:color="auto"/>
        <w:left w:val="none" w:sz="0" w:space="0" w:color="auto"/>
        <w:bottom w:val="none" w:sz="0" w:space="0" w:color="auto"/>
        <w:right w:val="none" w:sz="0" w:space="0" w:color="auto"/>
      </w:divBdr>
    </w:div>
    <w:div w:id="195315922">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195891173">
      <w:bodyDiv w:val="1"/>
      <w:marLeft w:val="0"/>
      <w:marRight w:val="0"/>
      <w:marTop w:val="0"/>
      <w:marBottom w:val="0"/>
      <w:divBdr>
        <w:top w:val="none" w:sz="0" w:space="0" w:color="auto"/>
        <w:left w:val="none" w:sz="0" w:space="0" w:color="auto"/>
        <w:bottom w:val="none" w:sz="0" w:space="0" w:color="auto"/>
        <w:right w:val="none" w:sz="0" w:space="0" w:color="auto"/>
      </w:divBdr>
    </w:div>
    <w:div w:id="206766762">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13397647">
      <w:bodyDiv w:val="1"/>
      <w:marLeft w:val="0"/>
      <w:marRight w:val="0"/>
      <w:marTop w:val="0"/>
      <w:marBottom w:val="0"/>
      <w:divBdr>
        <w:top w:val="none" w:sz="0" w:space="0" w:color="auto"/>
        <w:left w:val="none" w:sz="0" w:space="0" w:color="auto"/>
        <w:bottom w:val="none" w:sz="0" w:space="0" w:color="auto"/>
        <w:right w:val="none" w:sz="0" w:space="0" w:color="auto"/>
      </w:divBdr>
    </w:div>
    <w:div w:id="216432130">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35097586">
      <w:bodyDiv w:val="1"/>
      <w:marLeft w:val="0"/>
      <w:marRight w:val="0"/>
      <w:marTop w:val="0"/>
      <w:marBottom w:val="0"/>
      <w:divBdr>
        <w:top w:val="none" w:sz="0" w:space="0" w:color="auto"/>
        <w:left w:val="none" w:sz="0" w:space="0" w:color="auto"/>
        <w:bottom w:val="none" w:sz="0" w:space="0" w:color="auto"/>
        <w:right w:val="none" w:sz="0" w:space="0" w:color="auto"/>
      </w:divBdr>
    </w:div>
    <w:div w:id="236745742">
      <w:bodyDiv w:val="1"/>
      <w:marLeft w:val="0"/>
      <w:marRight w:val="0"/>
      <w:marTop w:val="0"/>
      <w:marBottom w:val="0"/>
      <w:divBdr>
        <w:top w:val="none" w:sz="0" w:space="0" w:color="auto"/>
        <w:left w:val="none" w:sz="0" w:space="0" w:color="auto"/>
        <w:bottom w:val="none" w:sz="0" w:space="0" w:color="auto"/>
        <w:right w:val="none" w:sz="0" w:space="0" w:color="auto"/>
      </w:divBdr>
    </w:div>
    <w:div w:id="242954282">
      <w:bodyDiv w:val="1"/>
      <w:marLeft w:val="0"/>
      <w:marRight w:val="0"/>
      <w:marTop w:val="0"/>
      <w:marBottom w:val="0"/>
      <w:divBdr>
        <w:top w:val="none" w:sz="0" w:space="0" w:color="auto"/>
        <w:left w:val="none" w:sz="0" w:space="0" w:color="auto"/>
        <w:bottom w:val="none" w:sz="0" w:space="0" w:color="auto"/>
        <w:right w:val="none" w:sz="0" w:space="0" w:color="auto"/>
      </w:divBdr>
    </w:div>
    <w:div w:id="244997920">
      <w:bodyDiv w:val="1"/>
      <w:marLeft w:val="0"/>
      <w:marRight w:val="0"/>
      <w:marTop w:val="0"/>
      <w:marBottom w:val="0"/>
      <w:divBdr>
        <w:top w:val="none" w:sz="0" w:space="0" w:color="auto"/>
        <w:left w:val="none" w:sz="0" w:space="0" w:color="auto"/>
        <w:bottom w:val="none" w:sz="0" w:space="0" w:color="auto"/>
        <w:right w:val="none" w:sz="0" w:space="0" w:color="auto"/>
      </w:divBdr>
    </w:div>
    <w:div w:id="245265410">
      <w:bodyDiv w:val="1"/>
      <w:marLeft w:val="0"/>
      <w:marRight w:val="0"/>
      <w:marTop w:val="0"/>
      <w:marBottom w:val="0"/>
      <w:divBdr>
        <w:top w:val="none" w:sz="0" w:space="0" w:color="auto"/>
        <w:left w:val="none" w:sz="0" w:space="0" w:color="auto"/>
        <w:bottom w:val="none" w:sz="0" w:space="0" w:color="auto"/>
        <w:right w:val="none" w:sz="0" w:space="0" w:color="auto"/>
      </w:divBdr>
    </w:div>
    <w:div w:id="246305718">
      <w:bodyDiv w:val="1"/>
      <w:marLeft w:val="0"/>
      <w:marRight w:val="0"/>
      <w:marTop w:val="0"/>
      <w:marBottom w:val="0"/>
      <w:divBdr>
        <w:top w:val="none" w:sz="0" w:space="0" w:color="auto"/>
        <w:left w:val="none" w:sz="0" w:space="0" w:color="auto"/>
        <w:bottom w:val="none" w:sz="0" w:space="0" w:color="auto"/>
        <w:right w:val="none" w:sz="0" w:space="0" w:color="auto"/>
      </w:divBdr>
    </w:div>
    <w:div w:id="248271297">
      <w:bodyDiv w:val="1"/>
      <w:marLeft w:val="0"/>
      <w:marRight w:val="0"/>
      <w:marTop w:val="0"/>
      <w:marBottom w:val="0"/>
      <w:divBdr>
        <w:top w:val="none" w:sz="0" w:space="0" w:color="auto"/>
        <w:left w:val="none" w:sz="0" w:space="0" w:color="auto"/>
        <w:bottom w:val="none" w:sz="0" w:space="0" w:color="auto"/>
        <w:right w:val="none" w:sz="0" w:space="0" w:color="auto"/>
      </w:divBdr>
    </w:div>
    <w:div w:id="249198040">
      <w:bodyDiv w:val="1"/>
      <w:marLeft w:val="0"/>
      <w:marRight w:val="0"/>
      <w:marTop w:val="0"/>
      <w:marBottom w:val="0"/>
      <w:divBdr>
        <w:top w:val="none" w:sz="0" w:space="0" w:color="auto"/>
        <w:left w:val="none" w:sz="0" w:space="0" w:color="auto"/>
        <w:bottom w:val="none" w:sz="0" w:space="0" w:color="auto"/>
        <w:right w:val="none" w:sz="0" w:space="0" w:color="auto"/>
      </w:divBdr>
    </w:div>
    <w:div w:id="251160015">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62803390">
      <w:bodyDiv w:val="1"/>
      <w:marLeft w:val="0"/>
      <w:marRight w:val="0"/>
      <w:marTop w:val="0"/>
      <w:marBottom w:val="0"/>
      <w:divBdr>
        <w:top w:val="none" w:sz="0" w:space="0" w:color="auto"/>
        <w:left w:val="none" w:sz="0" w:space="0" w:color="auto"/>
        <w:bottom w:val="none" w:sz="0" w:space="0" w:color="auto"/>
        <w:right w:val="none" w:sz="0" w:space="0" w:color="auto"/>
      </w:divBdr>
    </w:div>
    <w:div w:id="267353904">
      <w:bodyDiv w:val="1"/>
      <w:marLeft w:val="0"/>
      <w:marRight w:val="0"/>
      <w:marTop w:val="0"/>
      <w:marBottom w:val="0"/>
      <w:divBdr>
        <w:top w:val="none" w:sz="0" w:space="0" w:color="auto"/>
        <w:left w:val="none" w:sz="0" w:space="0" w:color="auto"/>
        <w:bottom w:val="none" w:sz="0" w:space="0" w:color="auto"/>
        <w:right w:val="none" w:sz="0" w:space="0" w:color="auto"/>
      </w:divBdr>
    </w:div>
    <w:div w:id="268894644">
      <w:bodyDiv w:val="1"/>
      <w:marLeft w:val="0"/>
      <w:marRight w:val="0"/>
      <w:marTop w:val="0"/>
      <w:marBottom w:val="0"/>
      <w:divBdr>
        <w:top w:val="none" w:sz="0" w:space="0" w:color="auto"/>
        <w:left w:val="none" w:sz="0" w:space="0" w:color="auto"/>
        <w:bottom w:val="none" w:sz="0" w:space="0" w:color="auto"/>
        <w:right w:val="none" w:sz="0" w:space="0" w:color="auto"/>
      </w:divBdr>
    </w:div>
    <w:div w:id="272177563">
      <w:bodyDiv w:val="1"/>
      <w:marLeft w:val="0"/>
      <w:marRight w:val="0"/>
      <w:marTop w:val="0"/>
      <w:marBottom w:val="0"/>
      <w:divBdr>
        <w:top w:val="none" w:sz="0" w:space="0" w:color="auto"/>
        <w:left w:val="none" w:sz="0" w:space="0" w:color="auto"/>
        <w:bottom w:val="none" w:sz="0" w:space="0" w:color="auto"/>
        <w:right w:val="none" w:sz="0" w:space="0" w:color="auto"/>
      </w:divBdr>
    </w:div>
    <w:div w:id="274992887">
      <w:bodyDiv w:val="1"/>
      <w:marLeft w:val="0"/>
      <w:marRight w:val="0"/>
      <w:marTop w:val="0"/>
      <w:marBottom w:val="0"/>
      <w:divBdr>
        <w:top w:val="none" w:sz="0" w:space="0" w:color="auto"/>
        <w:left w:val="none" w:sz="0" w:space="0" w:color="auto"/>
        <w:bottom w:val="none" w:sz="0" w:space="0" w:color="auto"/>
        <w:right w:val="none" w:sz="0" w:space="0" w:color="auto"/>
      </w:divBdr>
    </w:div>
    <w:div w:id="276178630">
      <w:bodyDiv w:val="1"/>
      <w:marLeft w:val="0"/>
      <w:marRight w:val="0"/>
      <w:marTop w:val="0"/>
      <w:marBottom w:val="0"/>
      <w:divBdr>
        <w:top w:val="none" w:sz="0" w:space="0" w:color="auto"/>
        <w:left w:val="none" w:sz="0" w:space="0" w:color="auto"/>
        <w:bottom w:val="none" w:sz="0" w:space="0" w:color="auto"/>
        <w:right w:val="none" w:sz="0" w:space="0" w:color="auto"/>
      </w:divBdr>
    </w:div>
    <w:div w:id="278689303">
      <w:bodyDiv w:val="1"/>
      <w:marLeft w:val="0"/>
      <w:marRight w:val="0"/>
      <w:marTop w:val="0"/>
      <w:marBottom w:val="0"/>
      <w:divBdr>
        <w:top w:val="none" w:sz="0" w:space="0" w:color="auto"/>
        <w:left w:val="none" w:sz="0" w:space="0" w:color="auto"/>
        <w:bottom w:val="none" w:sz="0" w:space="0" w:color="auto"/>
        <w:right w:val="none" w:sz="0" w:space="0" w:color="auto"/>
      </w:divBdr>
    </w:div>
    <w:div w:id="278755980">
      <w:bodyDiv w:val="1"/>
      <w:marLeft w:val="0"/>
      <w:marRight w:val="0"/>
      <w:marTop w:val="0"/>
      <w:marBottom w:val="0"/>
      <w:divBdr>
        <w:top w:val="none" w:sz="0" w:space="0" w:color="auto"/>
        <w:left w:val="none" w:sz="0" w:space="0" w:color="auto"/>
        <w:bottom w:val="none" w:sz="0" w:space="0" w:color="auto"/>
        <w:right w:val="none" w:sz="0" w:space="0" w:color="auto"/>
      </w:divBdr>
    </w:div>
    <w:div w:id="292831927">
      <w:bodyDiv w:val="1"/>
      <w:marLeft w:val="0"/>
      <w:marRight w:val="0"/>
      <w:marTop w:val="0"/>
      <w:marBottom w:val="0"/>
      <w:divBdr>
        <w:top w:val="none" w:sz="0" w:space="0" w:color="auto"/>
        <w:left w:val="none" w:sz="0" w:space="0" w:color="auto"/>
        <w:bottom w:val="none" w:sz="0" w:space="0" w:color="auto"/>
        <w:right w:val="none" w:sz="0" w:space="0" w:color="auto"/>
      </w:divBdr>
    </w:div>
    <w:div w:id="293564930">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02077122">
      <w:bodyDiv w:val="1"/>
      <w:marLeft w:val="0"/>
      <w:marRight w:val="0"/>
      <w:marTop w:val="0"/>
      <w:marBottom w:val="0"/>
      <w:divBdr>
        <w:top w:val="none" w:sz="0" w:space="0" w:color="auto"/>
        <w:left w:val="none" w:sz="0" w:space="0" w:color="auto"/>
        <w:bottom w:val="none" w:sz="0" w:space="0" w:color="auto"/>
        <w:right w:val="none" w:sz="0" w:space="0" w:color="auto"/>
      </w:divBdr>
    </w:div>
    <w:div w:id="303239650">
      <w:bodyDiv w:val="1"/>
      <w:marLeft w:val="0"/>
      <w:marRight w:val="0"/>
      <w:marTop w:val="0"/>
      <w:marBottom w:val="0"/>
      <w:divBdr>
        <w:top w:val="none" w:sz="0" w:space="0" w:color="auto"/>
        <w:left w:val="none" w:sz="0" w:space="0" w:color="auto"/>
        <w:bottom w:val="none" w:sz="0" w:space="0" w:color="auto"/>
        <w:right w:val="none" w:sz="0" w:space="0" w:color="auto"/>
      </w:divBdr>
    </w:div>
    <w:div w:id="309335865">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0213604">
      <w:bodyDiv w:val="1"/>
      <w:marLeft w:val="0"/>
      <w:marRight w:val="0"/>
      <w:marTop w:val="0"/>
      <w:marBottom w:val="0"/>
      <w:divBdr>
        <w:top w:val="none" w:sz="0" w:space="0" w:color="auto"/>
        <w:left w:val="none" w:sz="0" w:space="0" w:color="auto"/>
        <w:bottom w:val="none" w:sz="0" w:space="0" w:color="auto"/>
        <w:right w:val="none" w:sz="0" w:space="0" w:color="auto"/>
      </w:divBdr>
    </w:div>
    <w:div w:id="310909194">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017596">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47677007">
      <w:bodyDiv w:val="1"/>
      <w:marLeft w:val="0"/>
      <w:marRight w:val="0"/>
      <w:marTop w:val="0"/>
      <w:marBottom w:val="0"/>
      <w:divBdr>
        <w:top w:val="none" w:sz="0" w:space="0" w:color="auto"/>
        <w:left w:val="none" w:sz="0" w:space="0" w:color="auto"/>
        <w:bottom w:val="none" w:sz="0" w:space="0" w:color="auto"/>
        <w:right w:val="none" w:sz="0" w:space="0" w:color="auto"/>
      </w:divBdr>
    </w:div>
    <w:div w:id="348724217">
      <w:bodyDiv w:val="1"/>
      <w:marLeft w:val="0"/>
      <w:marRight w:val="0"/>
      <w:marTop w:val="0"/>
      <w:marBottom w:val="0"/>
      <w:divBdr>
        <w:top w:val="none" w:sz="0" w:space="0" w:color="auto"/>
        <w:left w:val="none" w:sz="0" w:space="0" w:color="auto"/>
        <w:bottom w:val="none" w:sz="0" w:space="0" w:color="auto"/>
        <w:right w:val="none" w:sz="0" w:space="0" w:color="auto"/>
      </w:divBdr>
    </w:div>
    <w:div w:id="350497697">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1343371">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6955958">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04693237">
      <w:bodyDiv w:val="1"/>
      <w:marLeft w:val="0"/>
      <w:marRight w:val="0"/>
      <w:marTop w:val="0"/>
      <w:marBottom w:val="0"/>
      <w:divBdr>
        <w:top w:val="none" w:sz="0" w:space="0" w:color="auto"/>
        <w:left w:val="none" w:sz="0" w:space="0" w:color="auto"/>
        <w:bottom w:val="none" w:sz="0" w:space="0" w:color="auto"/>
        <w:right w:val="none" w:sz="0" w:space="0" w:color="auto"/>
      </w:divBdr>
    </w:div>
    <w:div w:id="405958734">
      <w:bodyDiv w:val="1"/>
      <w:marLeft w:val="0"/>
      <w:marRight w:val="0"/>
      <w:marTop w:val="0"/>
      <w:marBottom w:val="0"/>
      <w:divBdr>
        <w:top w:val="none" w:sz="0" w:space="0" w:color="auto"/>
        <w:left w:val="none" w:sz="0" w:space="0" w:color="auto"/>
        <w:bottom w:val="none" w:sz="0" w:space="0" w:color="auto"/>
        <w:right w:val="none" w:sz="0" w:space="0" w:color="auto"/>
      </w:divBdr>
    </w:div>
    <w:div w:id="406270949">
      <w:bodyDiv w:val="1"/>
      <w:marLeft w:val="0"/>
      <w:marRight w:val="0"/>
      <w:marTop w:val="0"/>
      <w:marBottom w:val="0"/>
      <w:divBdr>
        <w:top w:val="none" w:sz="0" w:space="0" w:color="auto"/>
        <w:left w:val="none" w:sz="0" w:space="0" w:color="auto"/>
        <w:bottom w:val="none" w:sz="0" w:space="0" w:color="auto"/>
        <w:right w:val="none" w:sz="0" w:space="0" w:color="auto"/>
      </w:divBdr>
    </w:div>
    <w:div w:id="412505677">
      <w:bodyDiv w:val="1"/>
      <w:marLeft w:val="0"/>
      <w:marRight w:val="0"/>
      <w:marTop w:val="0"/>
      <w:marBottom w:val="0"/>
      <w:divBdr>
        <w:top w:val="none" w:sz="0" w:space="0" w:color="auto"/>
        <w:left w:val="none" w:sz="0" w:space="0" w:color="auto"/>
        <w:bottom w:val="none" w:sz="0" w:space="0" w:color="auto"/>
        <w:right w:val="none" w:sz="0" w:space="0" w:color="auto"/>
      </w:divBdr>
    </w:div>
    <w:div w:id="415328564">
      <w:bodyDiv w:val="1"/>
      <w:marLeft w:val="0"/>
      <w:marRight w:val="0"/>
      <w:marTop w:val="0"/>
      <w:marBottom w:val="0"/>
      <w:divBdr>
        <w:top w:val="none" w:sz="0" w:space="0" w:color="auto"/>
        <w:left w:val="none" w:sz="0" w:space="0" w:color="auto"/>
        <w:bottom w:val="none" w:sz="0" w:space="0" w:color="auto"/>
        <w:right w:val="none" w:sz="0" w:space="0" w:color="auto"/>
      </w:divBdr>
    </w:div>
    <w:div w:id="415716089">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41538092">
      <w:bodyDiv w:val="1"/>
      <w:marLeft w:val="0"/>
      <w:marRight w:val="0"/>
      <w:marTop w:val="0"/>
      <w:marBottom w:val="0"/>
      <w:divBdr>
        <w:top w:val="none" w:sz="0" w:space="0" w:color="auto"/>
        <w:left w:val="none" w:sz="0" w:space="0" w:color="auto"/>
        <w:bottom w:val="none" w:sz="0" w:space="0" w:color="auto"/>
        <w:right w:val="none" w:sz="0" w:space="0" w:color="auto"/>
      </w:divBdr>
    </w:div>
    <w:div w:id="447164417">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456724952">
      <w:bodyDiv w:val="1"/>
      <w:marLeft w:val="0"/>
      <w:marRight w:val="0"/>
      <w:marTop w:val="0"/>
      <w:marBottom w:val="0"/>
      <w:divBdr>
        <w:top w:val="none" w:sz="0" w:space="0" w:color="auto"/>
        <w:left w:val="none" w:sz="0" w:space="0" w:color="auto"/>
        <w:bottom w:val="none" w:sz="0" w:space="0" w:color="auto"/>
        <w:right w:val="none" w:sz="0" w:space="0" w:color="auto"/>
      </w:divBdr>
    </w:div>
    <w:div w:id="457065082">
      <w:bodyDiv w:val="1"/>
      <w:marLeft w:val="0"/>
      <w:marRight w:val="0"/>
      <w:marTop w:val="0"/>
      <w:marBottom w:val="0"/>
      <w:divBdr>
        <w:top w:val="none" w:sz="0" w:space="0" w:color="auto"/>
        <w:left w:val="none" w:sz="0" w:space="0" w:color="auto"/>
        <w:bottom w:val="none" w:sz="0" w:space="0" w:color="auto"/>
        <w:right w:val="none" w:sz="0" w:space="0" w:color="auto"/>
      </w:divBdr>
    </w:div>
    <w:div w:id="466165391">
      <w:bodyDiv w:val="1"/>
      <w:marLeft w:val="0"/>
      <w:marRight w:val="0"/>
      <w:marTop w:val="0"/>
      <w:marBottom w:val="0"/>
      <w:divBdr>
        <w:top w:val="none" w:sz="0" w:space="0" w:color="auto"/>
        <w:left w:val="none" w:sz="0" w:space="0" w:color="auto"/>
        <w:bottom w:val="none" w:sz="0" w:space="0" w:color="auto"/>
        <w:right w:val="none" w:sz="0" w:space="0" w:color="auto"/>
      </w:divBdr>
    </w:div>
    <w:div w:id="478111331">
      <w:bodyDiv w:val="1"/>
      <w:marLeft w:val="0"/>
      <w:marRight w:val="0"/>
      <w:marTop w:val="0"/>
      <w:marBottom w:val="0"/>
      <w:divBdr>
        <w:top w:val="none" w:sz="0" w:space="0" w:color="auto"/>
        <w:left w:val="none" w:sz="0" w:space="0" w:color="auto"/>
        <w:bottom w:val="none" w:sz="0" w:space="0" w:color="auto"/>
        <w:right w:val="none" w:sz="0" w:space="0" w:color="auto"/>
      </w:divBdr>
    </w:div>
    <w:div w:id="480780864">
      <w:bodyDiv w:val="1"/>
      <w:marLeft w:val="0"/>
      <w:marRight w:val="0"/>
      <w:marTop w:val="0"/>
      <w:marBottom w:val="0"/>
      <w:divBdr>
        <w:top w:val="none" w:sz="0" w:space="0" w:color="auto"/>
        <w:left w:val="none" w:sz="0" w:space="0" w:color="auto"/>
        <w:bottom w:val="none" w:sz="0" w:space="0" w:color="auto"/>
        <w:right w:val="none" w:sz="0" w:space="0" w:color="auto"/>
      </w:divBdr>
    </w:div>
    <w:div w:id="487790571">
      <w:bodyDiv w:val="1"/>
      <w:marLeft w:val="0"/>
      <w:marRight w:val="0"/>
      <w:marTop w:val="0"/>
      <w:marBottom w:val="0"/>
      <w:divBdr>
        <w:top w:val="none" w:sz="0" w:space="0" w:color="auto"/>
        <w:left w:val="none" w:sz="0" w:space="0" w:color="auto"/>
        <w:bottom w:val="none" w:sz="0" w:space="0" w:color="auto"/>
        <w:right w:val="none" w:sz="0" w:space="0" w:color="auto"/>
      </w:divBdr>
    </w:div>
    <w:div w:id="501042172">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10341338">
      <w:bodyDiv w:val="1"/>
      <w:marLeft w:val="0"/>
      <w:marRight w:val="0"/>
      <w:marTop w:val="0"/>
      <w:marBottom w:val="0"/>
      <w:divBdr>
        <w:top w:val="none" w:sz="0" w:space="0" w:color="auto"/>
        <w:left w:val="none" w:sz="0" w:space="0" w:color="auto"/>
        <w:bottom w:val="none" w:sz="0" w:space="0" w:color="auto"/>
        <w:right w:val="none" w:sz="0" w:space="0" w:color="auto"/>
      </w:divBdr>
    </w:div>
    <w:div w:id="512720252">
      <w:bodyDiv w:val="1"/>
      <w:marLeft w:val="0"/>
      <w:marRight w:val="0"/>
      <w:marTop w:val="0"/>
      <w:marBottom w:val="0"/>
      <w:divBdr>
        <w:top w:val="none" w:sz="0" w:space="0" w:color="auto"/>
        <w:left w:val="none" w:sz="0" w:space="0" w:color="auto"/>
        <w:bottom w:val="none" w:sz="0" w:space="0" w:color="auto"/>
        <w:right w:val="none" w:sz="0" w:space="0" w:color="auto"/>
      </w:divBdr>
    </w:div>
    <w:div w:id="523205427">
      <w:bodyDiv w:val="1"/>
      <w:marLeft w:val="0"/>
      <w:marRight w:val="0"/>
      <w:marTop w:val="0"/>
      <w:marBottom w:val="0"/>
      <w:divBdr>
        <w:top w:val="none" w:sz="0" w:space="0" w:color="auto"/>
        <w:left w:val="none" w:sz="0" w:space="0" w:color="auto"/>
        <w:bottom w:val="none" w:sz="0" w:space="0" w:color="auto"/>
        <w:right w:val="none" w:sz="0" w:space="0" w:color="auto"/>
      </w:divBdr>
    </w:div>
    <w:div w:id="531261277">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1792365">
      <w:bodyDiv w:val="1"/>
      <w:marLeft w:val="0"/>
      <w:marRight w:val="0"/>
      <w:marTop w:val="0"/>
      <w:marBottom w:val="0"/>
      <w:divBdr>
        <w:top w:val="none" w:sz="0" w:space="0" w:color="auto"/>
        <w:left w:val="none" w:sz="0" w:space="0" w:color="auto"/>
        <w:bottom w:val="none" w:sz="0" w:space="0" w:color="auto"/>
        <w:right w:val="none" w:sz="0" w:space="0" w:color="auto"/>
      </w:divBdr>
    </w:div>
    <w:div w:id="543106358">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2934387">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4511871">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58977812">
      <w:bodyDiv w:val="1"/>
      <w:marLeft w:val="0"/>
      <w:marRight w:val="0"/>
      <w:marTop w:val="0"/>
      <w:marBottom w:val="0"/>
      <w:divBdr>
        <w:top w:val="none" w:sz="0" w:space="0" w:color="auto"/>
        <w:left w:val="none" w:sz="0" w:space="0" w:color="auto"/>
        <w:bottom w:val="none" w:sz="0" w:space="0" w:color="auto"/>
        <w:right w:val="none" w:sz="0" w:space="0" w:color="auto"/>
      </w:divBdr>
    </w:div>
    <w:div w:id="559560235">
      <w:bodyDiv w:val="1"/>
      <w:marLeft w:val="0"/>
      <w:marRight w:val="0"/>
      <w:marTop w:val="0"/>
      <w:marBottom w:val="0"/>
      <w:divBdr>
        <w:top w:val="none" w:sz="0" w:space="0" w:color="auto"/>
        <w:left w:val="none" w:sz="0" w:space="0" w:color="auto"/>
        <w:bottom w:val="none" w:sz="0" w:space="0" w:color="auto"/>
        <w:right w:val="none" w:sz="0" w:space="0" w:color="auto"/>
      </w:divBdr>
    </w:div>
    <w:div w:id="560673484">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67618804">
      <w:bodyDiv w:val="1"/>
      <w:marLeft w:val="0"/>
      <w:marRight w:val="0"/>
      <w:marTop w:val="0"/>
      <w:marBottom w:val="0"/>
      <w:divBdr>
        <w:top w:val="none" w:sz="0" w:space="0" w:color="auto"/>
        <w:left w:val="none" w:sz="0" w:space="0" w:color="auto"/>
        <w:bottom w:val="none" w:sz="0" w:space="0" w:color="auto"/>
        <w:right w:val="none" w:sz="0" w:space="0" w:color="auto"/>
      </w:divBdr>
    </w:div>
    <w:div w:id="578029010">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09628607">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24895526">
      <w:bodyDiv w:val="1"/>
      <w:marLeft w:val="0"/>
      <w:marRight w:val="0"/>
      <w:marTop w:val="0"/>
      <w:marBottom w:val="0"/>
      <w:divBdr>
        <w:top w:val="none" w:sz="0" w:space="0" w:color="auto"/>
        <w:left w:val="none" w:sz="0" w:space="0" w:color="auto"/>
        <w:bottom w:val="none" w:sz="0" w:space="0" w:color="auto"/>
        <w:right w:val="none" w:sz="0" w:space="0" w:color="auto"/>
      </w:divBdr>
    </w:div>
    <w:div w:id="630985969">
      <w:bodyDiv w:val="1"/>
      <w:marLeft w:val="0"/>
      <w:marRight w:val="0"/>
      <w:marTop w:val="0"/>
      <w:marBottom w:val="0"/>
      <w:divBdr>
        <w:top w:val="none" w:sz="0" w:space="0" w:color="auto"/>
        <w:left w:val="none" w:sz="0" w:space="0" w:color="auto"/>
        <w:bottom w:val="none" w:sz="0" w:space="0" w:color="auto"/>
        <w:right w:val="none" w:sz="0" w:space="0" w:color="auto"/>
      </w:divBdr>
    </w:div>
    <w:div w:id="633679110">
      <w:bodyDiv w:val="1"/>
      <w:marLeft w:val="0"/>
      <w:marRight w:val="0"/>
      <w:marTop w:val="0"/>
      <w:marBottom w:val="0"/>
      <w:divBdr>
        <w:top w:val="none" w:sz="0" w:space="0" w:color="auto"/>
        <w:left w:val="none" w:sz="0" w:space="0" w:color="auto"/>
        <w:bottom w:val="none" w:sz="0" w:space="0" w:color="auto"/>
        <w:right w:val="none" w:sz="0" w:space="0" w:color="auto"/>
      </w:divBdr>
    </w:div>
    <w:div w:id="643435204">
      <w:bodyDiv w:val="1"/>
      <w:marLeft w:val="0"/>
      <w:marRight w:val="0"/>
      <w:marTop w:val="0"/>
      <w:marBottom w:val="0"/>
      <w:divBdr>
        <w:top w:val="none" w:sz="0" w:space="0" w:color="auto"/>
        <w:left w:val="none" w:sz="0" w:space="0" w:color="auto"/>
        <w:bottom w:val="none" w:sz="0" w:space="0" w:color="auto"/>
        <w:right w:val="none" w:sz="0" w:space="0" w:color="auto"/>
      </w:divBdr>
    </w:div>
    <w:div w:id="655963001">
      <w:bodyDiv w:val="1"/>
      <w:marLeft w:val="0"/>
      <w:marRight w:val="0"/>
      <w:marTop w:val="0"/>
      <w:marBottom w:val="0"/>
      <w:divBdr>
        <w:top w:val="none" w:sz="0" w:space="0" w:color="auto"/>
        <w:left w:val="none" w:sz="0" w:space="0" w:color="auto"/>
        <w:bottom w:val="none" w:sz="0" w:space="0" w:color="auto"/>
        <w:right w:val="none" w:sz="0" w:space="0" w:color="auto"/>
      </w:divBdr>
    </w:div>
    <w:div w:id="662052885">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69332036">
      <w:bodyDiv w:val="1"/>
      <w:marLeft w:val="0"/>
      <w:marRight w:val="0"/>
      <w:marTop w:val="0"/>
      <w:marBottom w:val="0"/>
      <w:divBdr>
        <w:top w:val="none" w:sz="0" w:space="0" w:color="auto"/>
        <w:left w:val="none" w:sz="0" w:space="0" w:color="auto"/>
        <w:bottom w:val="none" w:sz="0" w:space="0" w:color="auto"/>
        <w:right w:val="none" w:sz="0" w:space="0" w:color="auto"/>
      </w:divBdr>
    </w:div>
    <w:div w:id="669674548">
      <w:bodyDiv w:val="1"/>
      <w:marLeft w:val="0"/>
      <w:marRight w:val="0"/>
      <w:marTop w:val="0"/>
      <w:marBottom w:val="0"/>
      <w:divBdr>
        <w:top w:val="none" w:sz="0" w:space="0" w:color="auto"/>
        <w:left w:val="none" w:sz="0" w:space="0" w:color="auto"/>
        <w:bottom w:val="none" w:sz="0" w:space="0" w:color="auto"/>
        <w:right w:val="none" w:sz="0" w:space="0" w:color="auto"/>
      </w:divBdr>
    </w:div>
    <w:div w:id="669678312">
      <w:bodyDiv w:val="1"/>
      <w:marLeft w:val="0"/>
      <w:marRight w:val="0"/>
      <w:marTop w:val="0"/>
      <w:marBottom w:val="0"/>
      <w:divBdr>
        <w:top w:val="none" w:sz="0" w:space="0" w:color="auto"/>
        <w:left w:val="none" w:sz="0" w:space="0" w:color="auto"/>
        <w:bottom w:val="none" w:sz="0" w:space="0" w:color="auto"/>
        <w:right w:val="none" w:sz="0" w:space="0" w:color="auto"/>
      </w:divBdr>
    </w:div>
    <w:div w:id="669986193">
      <w:bodyDiv w:val="1"/>
      <w:marLeft w:val="0"/>
      <w:marRight w:val="0"/>
      <w:marTop w:val="0"/>
      <w:marBottom w:val="0"/>
      <w:divBdr>
        <w:top w:val="none" w:sz="0" w:space="0" w:color="auto"/>
        <w:left w:val="none" w:sz="0" w:space="0" w:color="auto"/>
        <w:bottom w:val="none" w:sz="0" w:space="0" w:color="auto"/>
        <w:right w:val="none" w:sz="0" w:space="0" w:color="auto"/>
      </w:divBdr>
    </w:div>
    <w:div w:id="670567452">
      <w:bodyDiv w:val="1"/>
      <w:marLeft w:val="0"/>
      <w:marRight w:val="0"/>
      <w:marTop w:val="0"/>
      <w:marBottom w:val="0"/>
      <w:divBdr>
        <w:top w:val="none" w:sz="0" w:space="0" w:color="auto"/>
        <w:left w:val="none" w:sz="0" w:space="0" w:color="auto"/>
        <w:bottom w:val="none" w:sz="0" w:space="0" w:color="auto"/>
        <w:right w:val="none" w:sz="0" w:space="0" w:color="auto"/>
      </w:divBdr>
    </w:div>
    <w:div w:id="670716751">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682631447">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4620946">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19666052">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24180704">
      <w:bodyDiv w:val="1"/>
      <w:marLeft w:val="0"/>
      <w:marRight w:val="0"/>
      <w:marTop w:val="0"/>
      <w:marBottom w:val="0"/>
      <w:divBdr>
        <w:top w:val="none" w:sz="0" w:space="0" w:color="auto"/>
        <w:left w:val="none" w:sz="0" w:space="0" w:color="auto"/>
        <w:bottom w:val="none" w:sz="0" w:space="0" w:color="auto"/>
        <w:right w:val="none" w:sz="0" w:space="0" w:color="auto"/>
      </w:divBdr>
    </w:div>
    <w:div w:id="728190011">
      <w:bodyDiv w:val="1"/>
      <w:marLeft w:val="0"/>
      <w:marRight w:val="0"/>
      <w:marTop w:val="0"/>
      <w:marBottom w:val="0"/>
      <w:divBdr>
        <w:top w:val="none" w:sz="0" w:space="0" w:color="auto"/>
        <w:left w:val="none" w:sz="0" w:space="0" w:color="auto"/>
        <w:bottom w:val="none" w:sz="0" w:space="0" w:color="auto"/>
        <w:right w:val="none" w:sz="0" w:space="0" w:color="auto"/>
      </w:divBdr>
    </w:div>
    <w:div w:id="729155781">
      <w:bodyDiv w:val="1"/>
      <w:marLeft w:val="0"/>
      <w:marRight w:val="0"/>
      <w:marTop w:val="0"/>
      <w:marBottom w:val="0"/>
      <w:divBdr>
        <w:top w:val="none" w:sz="0" w:space="0" w:color="auto"/>
        <w:left w:val="none" w:sz="0" w:space="0" w:color="auto"/>
        <w:bottom w:val="none" w:sz="0" w:space="0" w:color="auto"/>
        <w:right w:val="none" w:sz="0" w:space="0" w:color="auto"/>
      </w:divBdr>
    </w:div>
    <w:div w:id="730229812">
      <w:bodyDiv w:val="1"/>
      <w:marLeft w:val="0"/>
      <w:marRight w:val="0"/>
      <w:marTop w:val="0"/>
      <w:marBottom w:val="0"/>
      <w:divBdr>
        <w:top w:val="none" w:sz="0" w:space="0" w:color="auto"/>
        <w:left w:val="none" w:sz="0" w:space="0" w:color="auto"/>
        <w:bottom w:val="none" w:sz="0" w:space="0" w:color="auto"/>
        <w:right w:val="none" w:sz="0" w:space="0" w:color="auto"/>
      </w:divBdr>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41373908">
      <w:bodyDiv w:val="1"/>
      <w:marLeft w:val="0"/>
      <w:marRight w:val="0"/>
      <w:marTop w:val="0"/>
      <w:marBottom w:val="0"/>
      <w:divBdr>
        <w:top w:val="none" w:sz="0" w:space="0" w:color="auto"/>
        <w:left w:val="none" w:sz="0" w:space="0" w:color="auto"/>
        <w:bottom w:val="none" w:sz="0" w:space="0" w:color="auto"/>
        <w:right w:val="none" w:sz="0" w:space="0" w:color="auto"/>
      </w:divBdr>
    </w:div>
    <w:div w:id="743720093">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50390071">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67500850">
      <w:bodyDiv w:val="1"/>
      <w:marLeft w:val="0"/>
      <w:marRight w:val="0"/>
      <w:marTop w:val="0"/>
      <w:marBottom w:val="0"/>
      <w:divBdr>
        <w:top w:val="none" w:sz="0" w:space="0" w:color="auto"/>
        <w:left w:val="none" w:sz="0" w:space="0" w:color="auto"/>
        <w:bottom w:val="none" w:sz="0" w:space="0" w:color="auto"/>
        <w:right w:val="none" w:sz="0" w:space="0" w:color="auto"/>
      </w:divBdr>
    </w:div>
    <w:div w:id="768160819">
      <w:bodyDiv w:val="1"/>
      <w:marLeft w:val="0"/>
      <w:marRight w:val="0"/>
      <w:marTop w:val="0"/>
      <w:marBottom w:val="0"/>
      <w:divBdr>
        <w:top w:val="none" w:sz="0" w:space="0" w:color="auto"/>
        <w:left w:val="none" w:sz="0" w:space="0" w:color="auto"/>
        <w:bottom w:val="none" w:sz="0" w:space="0" w:color="auto"/>
        <w:right w:val="none" w:sz="0" w:space="0" w:color="auto"/>
      </w:divBdr>
    </w:div>
    <w:div w:id="768357475">
      <w:bodyDiv w:val="1"/>
      <w:marLeft w:val="0"/>
      <w:marRight w:val="0"/>
      <w:marTop w:val="0"/>
      <w:marBottom w:val="0"/>
      <w:divBdr>
        <w:top w:val="none" w:sz="0" w:space="0" w:color="auto"/>
        <w:left w:val="none" w:sz="0" w:space="0" w:color="auto"/>
        <w:bottom w:val="none" w:sz="0" w:space="0" w:color="auto"/>
        <w:right w:val="none" w:sz="0" w:space="0" w:color="auto"/>
      </w:divBdr>
    </w:div>
    <w:div w:id="770321096">
      <w:bodyDiv w:val="1"/>
      <w:marLeft w:val="0"/>
      <w:marRight w:val="0"/>
      <w:marTop w:val="0"/>
      <w:marBottom w:val="0"/>
      <w:divBdr>
        <w:top w:val="none" w:sz="0" w:space="0" w:color="auto"/>
        <w:left w:val="none" w:sz="0" w:space="0" w:color="auto"/>
        <w:bottom w:val="none" w:sz="0" w:space="0" w:color="auto"/>
        <w:right w:val="none" w:sz="0" w:space="0" w:color="auto"/>
      </w:divBdr>
    </w:div>
    <w:div w:id="774204715">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796921242">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22159724">
      <w:bodyDiv w:val="1"/>
      <w:marLeft w:val="0"/>
      <w:marRight w:val="0"/>
      <w:marTop w:val="0"/>
      <w:marBottom w:val="0"/>
      <w:divBdr>
        <w:top w:val="none" w:sz="0" w:space="0" w:color="auto"/>
        <w:left w:val="none" w:sz="0" w:space="0" w:color="auto"/>
        <w:bottom w:val="none" w:sz="0" w:space="0" w:color="auto"/>
        <w:right w:val="none" w:sz="0" w:space="0" w:color="auto"/>
      </w:divBdr>
    </w:div>
    <w:div w:id="823162535">
      <w:bodyDiv w:val="1"/>
      <w:marLeft w:val="0"/>
      <w:marRight w:val="0"/>
      <w:marTop w:val="0"/>
      <w:marBottom w:val="0"/>
      <w:divBdr>
        <w:top w:val="none" w:sz="0" w:space="0" w:color="auto"/>
        <w:left w:val="none" w:sz="0" w:space="0" w:color="auto"/>
        <w:bottom w:val="none" w:sz="0" w:space="0" w:color="auto"/>
        <w:right w:val="none" w:sz="0" w:space="0" w:color="auto"/>
      </w:divBdr>
    </w:div>
    <w:div w:id="830750860">
      <w:bodyDiv w:val="1"/>
      <w:marLeft w:val="0"/>
      <w:marRight w:val="0"/>
      <w:marTop w:val="0"/>
      <w:marBottom w:val="0"/>
      <w:divBdr>
        <w:top w:val="none" w:sz="0" w:space="0" w:color="auto"/>
        <w:left w:val="none" w:sz="0" w:space="0" w:color="auto"/>
        <w:bottom w:val="none" w:sz="0" w:space="0" w:color="auto"/>
        <w:right w:val="none" w:sz="0" w:space="0" w:color="auto"/>
      </w:divBdr>
    </w:div>
    <w:div w:id="838081567">
      <w:bodyDiv w:val="1"/>
      <w:marLeft w:val="0"/>
      <w:marRight w:val="0"/>
      <w:marTop w:val="0"/>
      <w:marBottom w:val="0"/>
      <w:divBdr>
        <w:top w:val="none" w:sz="0" w:space="0" w:color="auto"/>
        <w:left w:val="none" w:sz="0" w:space="0" w:color="auto"/>
        <w:bottom w:val="none" w:sz="0" w:space="0" w:color="auto"/>
        <w:right w:val="none" w:sz="0" w:space="0" w:color="auto"/>
      </w:divBdr>
    </w:div>
    <w:div w:id="842862928">
      <w:bodyDiv w:val="1"/>
      <w:marLeft w:val="0"/>
      <w:marRight w:val="0"/>
      <w:marTop w:val="0"/>
      <w:marBottom w:val="0"/>
      <w:divBdr>
        <w:top w:val="none" w:sz="0" w:space="0" w:color="auto"/>
        <w:left w:val="none" w:sz="0" w:space="0" w:color="auto"/>
        <w:bottom w:val="none" w:sz="0" w:space="0" w:color="auto"/>
        <w:right w:val="none" w:sz="0" w:space="0" w:color="auto"/>
      </w:divBdr>
    </w:div>
    <w:div w:id="844904748">
      <w:bodyDiv w:val="1"/>
      <w:marLeft w:val="0"/>
      <w:marRight w:val="0"/>
      <w:marTop w:val="0"/>
      <w:marBottom w:val="0"/>
      <w:divBdr>
        <w:top w:val="none" w:sz="0" w:space="0" w:color="auto"/>
        <w:left w:val="none" w:sz="0" w:space="0" w:color="auto"/>
        <w:bottom w:val="none" w:sz="0" w:space="0" w:color="auto"/>
        <w:right w:val="none" w:sz="0" w:space="0" w:color="auto"/>
      </w:divBdr>
    </w:div>
    <w:div w:id="845092735">
      <w:bodyDiv w:val="1"/>
      <w:marLeft w:val="0"/>
      <w:marRight w:val="0"/>
      <w:marTop w:val="0"/>
      <w:marBottom w:val="0"/>
      <w:divBdr>
        <w:top w:val="none" w:sz="0" w:space="0" w:color="auto"/>
        <w:left w:val="none" w:sz="0" w:space="0" w:color="auto"/>
        <w:bottom w:val="none" w:sz="0" w:space="0" w:color="auto"/>
        <w:right w:val="none" w:sz="0" w:space="0" w:color="auto"/>
      </w:divBdr>
    </w:div>
    <w:div w:id="855849951">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0751458">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64319986">
      <w:bodyDiv w:val="1"/>
      <w:marLeft w:val="0"/>
      <w:marRight w:val="0"/>
      <w:marTop w:val="0"/>
      <w:marBottom w:val="0"/>
      <w:divBdr>
        <w:top w:val="none" w:sz="0" w:space="0" w:color="auto"/>
        <w:left w:val="none" w:sz="0" w:space="0" w:color="auto"/>
        <w:bottom w:val="none" w:sz="0" w:space="0" w:color="auto"/>
        <w:right w:val="none" w:sz="0" w:space="0" w:color="auto"/>
      </w:divBdr>
    </w:div>
    <w:div w:id="869342772">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86599665">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03028243">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1258894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3420933">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55329496">
      <w:bodyDiv w:val="1"/>
      <w:marLeft w:val="0"/>
      <w:marRight w:val="0"/>
      <w:marTop w:val="0"/>
      <w:marBottom w:val="0"/>
      <w:divBdr>
        <w:top w:val="none" w:sz="0" w:space="0" w:color="auto"/>
        <w:left w:val="none" w:sz="0" w:space="0" w:color="auto"/>
        <w:bottom w:val="none" w:sz="0" w:space="0" w:color="auto"/>
        <w:right w:val="none" w:sz="0" w:space="0" w:color="auto"/>
      </w:divBdr>
    </w:div>
    <w:div w:id="959871335">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60846052">
      <w:bodyDiv w:val="1"/>
      <w:marLeft w:val="0"/>
      <w:marRight w:val="0"/>
      <w:marTop w:val="0"/>
      <w:marBottom w:val="0"/>
      <w:divBdr>
        <w:top w:val="none" w:sz="0" w:space="0" w:color="auto"/>
        <w:left w:val="none" w:sz="0" w:space="0" w:color="auto"/>
        <w:bottom w:val="none" w:sz="0" w:space="0" w:color="auto"/>
        <w:right w:val="none" w:sz="0" w:space="0" w:color="auto"/>
      </w:divBdr>
    </w:div>
    <w:div w:id="961688982">
      <w:bodyDiv w:val="1"/>
      <w:marLeft w:val="0"/>
      <w:marRight w:val="0"/>
      <w:marTop w:val="0"/>
      <w:marBottom w:val="0"/>
      <w:divBdr>
        <w:top w:val="none" w:sz="0" w:space="0" w:color="auto"/>
        <w:left w:val="none" w:sz="0" w:space="0" w:color="auto"/>
        <w:bottom w:val="none" w:sz="0" w:space="0" w:color="auto"/>
        <w:right w:val="none" w:sz="0" w:space="0" w:color="auto"/>
      </w:divBdr>
    </w:div>
    <w:div w:id="964388945">
      <w:bodyDiv w:val="1"/>
      <w:marLeft w:val="0"/>
      <w:marRight w:val="0"/>
      <w:marTop w:val="0"/>
      <w:marBottom w:val="0"/>
      <w:divBdr>
        <w:top w:val="none" w:sz="0" w:space="0" w:color="auto"/>
        <w:left w:val="none" w:sz="0" w:space="0" w:color="auto"/>
        <w:bottom w:val="none" w:sz="0" w:space="0" w:color="auto"/>
        <w:right w:val="none" w:sz="0" w:space="0" w:color="auto"/>
      </w:divBdr>
    </w:div>
    <w:div w:id="970131479">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986283540">
      <w:bodyDiv w:val="1"/>
      <w:marLeft w:val="0"/>
      <w:marRight w:val="0"/>
      <w:marTop w:val="0"/>
      <w:marBottom w:val="0"/>
      <w:divBdr>
        <w:top w:val="none" w:sz="0" w:space="0" w:color="auto"/>
        <w:left w:val="none" w:sz="0" w:space="0" w:color="auto"/>
        <w:bottom w:val="none" w:sz="0" w:space="0" w:color="auto"/>
        <w:right w:val="none" w:sz="0" w:space="0" w:color="auto"/>
      </w:divBdr>
    </w:div>
    <w:div w:id="993879454">
      <w:bodyDiv w:val="1"/>
      <w:marLeft w:val="0"/>
      <w:marRight w:val="0"/>
      <w:marTop w:val="0"/>
      <w:marBottom w:val="0"/>
      <w:divBdr>
        <w:top w:val="none" w:sz="0" w:space="0" w:color="auto"/>
        <w:left w:val="none" w:sz="0" w:space="0" w:color="auto"/>
        <w:bottom w:val="none" w:sz="0" w:space="0" w:color="auto"/>
        <w:right w:val="none" w:sz="0" w:space="0" w:color="auto"/>
      </w:divBdr>
    </w:div>
    <w:div w:id="997538066">
      <w:bodyDiv w:val="1"/>
      <w:marLeft w:val="0"/>
      <w:marRight w:val="0"/>
      <w:marTop w:val="0"/>
      <w:marBottom w:val="0"/>
      <w:divBdr>
        <w:top w:val="none" w:sz="0" w:space="0" w:color="auto"/>
        <w:left w:val="none" w:sz="0" w:space="0" w:color="auto"/>
        <w:bottom w:val="none" w:sz="0" w:space="0" w:color="auto"/>
        <w:right w:val="none" w:sz="0" w:space="0" w:color="auto"/>
      </w:divBdr>
    </w:div>
    <w:div w:id="999115163">
      <w:bodyDiv w:val="1"/>
      <w:marLeft w:val="0"/>
      <w:marRight w:val="0"/>
      <w:marTop w:val="0"/>
      <w:marBottom w:val="0"/>
      <w:divBdr>
        <w:top w:val="none" w:sz="0" w:space="0" w:color="auto"/>
        <w:left w:val="none" w:sz="0" w:space="0" w:color="auto"/>
        <w:bottom w:val="none" w:sz="0" w:space="0" w:color="auto"/>
        <w:right w:val="none" w:sz="0" w:space="0" w:color="auto"/>
      </w:divBdr>
    </w:div>
    <w:div w:id="1008826864">
      <w:bodyDiv w:val="1"/>
      <w:marLeft w:val="0"/>
      <w:marRight w:val="0"/>
      <w:marTop w:val="0"/>
      <w:marBottom w:val="0"/>
      <w:divBdr>
        <w:top w:val="none" w:sz="0" w:space="0" w:color="auto"/>
        <w:left w:val="none" w:sz="0" w:space="0" w:color="auto"/>
        <w:bottom w:val="none" w:sz="0" w:space="0" w:color="auto"/>
        <w:right w:val="none" w:sz="0" w:space="0" w:color="auto"/>
      </w:divBdr>
    </w:div>
    <w:div w:id="1012074910">
      <w:bodyDiv w:val="1"/>
      <w:marLeft w:val="0"/>
      <w:marRight w:val="0"/>
      <w:marTop w:val="0"/>
      <w:marBottom w:val="0"/>
      <w:divBdr>
        <w:top w:val="none" w:sz="0" w:space="0" w:color="auto"/>
        <w:left w:val="none" w:sz="0" w:space="0" w:color="auto"/>
        <w:bottom w:val="none" w:sz="0" w:space="0" w:color="auto"/>
        <w:right w:val="none" w:sz="0" w:space="0" w:color="auto"/>
      </w:divBdr>
    </w:div>
    <w:div w:id="1034770725">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47873973">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6608882">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094130525">
      <w:bodyDiv w:val="1"/>
      <w:marLeft w:val="0"/>
      <w:marRight w:val="0"/>
      <w:marTop w:val="0"/>
      <w:marBottom w:val="0"/>
      <w:divBdr>
        <w:top w:val="none" w:sz="0" w:space="0" w:color="auto"/>
        <w:left w:val="none" w:sz="0" w:space="0" w:color="auto"/>
        <w:bottom w:val="none" w:sz="0" w:space="0" w:color="auto"/>
        <w:right w:val="none" w:sz="0" w:space="0" w:color="auto"/>
      </w:divBdr>
    </w:div>
    <w:div w:id="1104378800">
      <w:bodyDiv w:val="1"/>
      <w:marLeft w:val="0"/>
      <w:marRight w:val="0"/>
      <w:marTop w:val="0"/>
      <w:marBottom w:val="0"/>
      <w:divBdr>
        <w:top w:val="none" w:sz="0" w:space="0" w:color="auto"/>
        <w:left w:val="none" w:sz="0" w:space="0" w:color="auto"/>
        <w:bottom w:val="none" w:sz="0" w:space="0" w:color="auto"/>
        <w:right w:val="none" w:sz="0" w:space="0" w:color="auto"/>
      </w:divBdr>
    </w:div>
    <w:div w:id="1110010284">
      <w:bodyDiv w:val="1"/>
      <w:marLeft w:val="0"/>
      <w:marRight w:val="0"/>
      <w:marTop w:val="0"/>
      <w:marBottom w:val="0"/>
      <w:divBdr>
        <w:top w:val="none" w:sz="0" w:space="0" w:color="auto"/>
        <w:left w:val="none" w:sz="0" w:space="0" w:color="auto"/>
        <w:bottom w:val="none" w:sz="0" w:space="0" w:color="auto"/>
        <w:right w:val="none" w:sz="0" w:space="0" w:color="auto"/>
      </w:divBdr>
    </w:div>
    <w:div w:id="1110322779">
      <w:bodyDiv w:val="1"/>
      <w:marLeft w:val="0"/>
      <w:marRight w:val="0"/>
      <w:marTop w:val="0"/>
      <w:marBottom w:val="0"/>
      <w:divBdr>
        <w:top w:val="none" w:sz="0" w:space="0" w:color="auto"/>
        <w:left w:val="none" w:sz="0" w:space="0" w:color="auto"/>
        <w:bottom w:val="none" w:sz="0" w:space="0" w:color="auto"/>
        <w:right w:val="none" w:sz="0" w:space="0" w:color="auto"/>
      </w:divBdr>
    </w:div>
    <w:div w:id="1111513133">
      <w:bodyDiv w:val="1"/>
      <w:marLeft w:val="0"/>
      <w:marRight w:val="0"/>
      <w:marTop w:val="0"/>
      <w:marBottom w:val="0"/>
      <w:divBdr>
        <w:top w:val="none" w:sz="0" w:space="0" w:color="auto"/>
        <w:left w:val="none" w:sz="0" w:space="0" w:color="auto"/>
        <w:bottom w:val="none" w:sz="0" w:space="0" w:color="auto"/>
        <w:right w:val="none" w:sz="0" w:space="0" w:color="auto"/>
      </w:divBdr>
    </w:div>
    <w:div w:id="1122965107">
      <w:bodyDiv w:val="1"/>
      <w:marLeft w:val="0"/>
      <w:marRight w:val="0"/>
      <w:marTop w:val="0"/>
      <w:marBottom w:val="0"/>
      <w:divBdr>
        <w:top w:val="none" w:sz="0" w:space="0" w:color="auto"/>
        <w:left w:val="none" w:sz="0" w:space="0" w:color="auto"/>
        <w:bottom w:val="none" w:sz="0" w:space="0" w:color="auto"/>
        <w:right w:val="none" w:sz="0" w:space="0" w:color="auto"/>
      </w:divBdr>
    </w:div>
    <w:div w:id="1123770087">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33258347">
      <w:bodyDiv w:val="1"/>
      <w:marLeft w:val="0"/>
      <w:marRight w:val="0"/>
      <w:marTop w:val="0"/>
      <w:marBottom w:val="0"/>
      <w:divBdr>
        <w:top w:val="none" w:sz="0" w:space="0" w:color="auto"/>
        <w:left w:val="none" w:sz="0" w:space="0" w:color="auto"/>
        <w:bottom w:val="none" w:sz="0" w:space="0" w:color="auto"/>
        <w:right w:val="none" w:sz="0" w:space="0" w:color="auto"/>
      </w:divBdr>
    </w:div>
    <w:div w:id="1135222887">
      <w:bodyDiv w:val="1"/>
      <w:marLeft w:val="0"/>
      <w:marRight w:val="0"/>
      <w:marTop w:val="0"/>
      <w:marBottom w:val="0"/>
      <w:divBdr>
        <w:top w:val="none" w:sz="0" w:space="0" w:color="auto"/>
        <w:left w:val="none" w:sz="0" w:space="0" w:color="auto"/>
        <w:bottom w:val="none" w:sz="0" w:space="0" w:color="auto"/>
        <w:right w:val="none" w:sz="0" w:space="0" w:color="auto"/>
      </w:divBdr>
    </w:div>
    <w:div w:id="1136601922">
      <w:bodyDiv w:val="1"/>
      <w:marLeft w:val="0"/>
      <w:marRight w:val="0"/>
      <w:marTop w:val="0"/>
      <w:marBottom w:val="0"/>
      <w:divBdr>
        <w:top w:val="none" w:sz="0" w:space="0" w:color="auto"/>
        <w:left w:val="none" w:sz="0" w:space="0" w:color="auto"/>
        <w:bottom w:val="none" w:sz="0" w:space="0" w:color="auto"/>
        <w:right w:val="none" w:sz="0" w:space="0" w:color="auto"/>
      </w:divBdr>
    </w:div>
    <w:div w:id="1140270178">
      <w:bodyDiv w:val="1"/>
      <w:marLeft w:val="0"/>
      <w:marRight w:val="0"/>
      <w:marTop w:val="0"/>
      <w:marBottom w:val="0"/>
      <w:divBdr>
        <w:top w:val="none" w:sz="0" w:space="0" w:color="auto"/>
        <w:left w:val="none" w:sz="0" w:space="0" w:color="auto"/>
        <w:bottom w:val="none" w:sz="0" w:space="0" w:color="auto"/>
        <w:right w:val="none" w:sz="0" w:space="0" w:color="auto"/>
      </w:divBdr>
    </w:div>
    <w:div w:id="1146051234">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1652412">
      <w:bodyDiv w:val="1"/>
      <w:marLeft w:val="0"/>
      <w:marRight w:val="0"/>
      <w:marTop w:val="0"/>
      <w:marBottom w:val="0"/>
      <w:divBdr>
        <w:top w:val="none" w:sz="0" w:space="0" w:color="auto"/>
        <w:left w:val="none" w:sz="0" w:space="0" w:color="auto"/>
        <w:bottom w:val="none" w:sz="0" w:space="0" w:color="auto"/>
        <w:right w:val="none" w:sz="0" w:space="0" w:color="auto"/>
      </w:divBdr>
    </w:div>
    <w:div w:id="1162936965">
      <w:bodyDiv w:val="1"/>
      <w:marLeft w:val="0"/>
      <w:marRight w:val="0"/>
      <w:marTop w:val="0"/>
      <w:marBottom w:val="0"/>
      <w:divBdr>
        <w:top w:val="none" w:sz="0" w:space="0" w:color="auto"/>
        <w:left w:val="none" w:sz="0" w:space="0" w:color="auto"/>
        <w:bottom w:val="none" w:sz="0" w:space="0" w:color="auto"/>
        <w:right w:val="none" w:sz="0" w:space="0" w:color="auto"/>
      </w:divBdr>
    </w:div>
    <w:div w:id="116327338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75537397">
      <w:bodyDiv w:val="1"/>
      <w:marLeft w:val="0"/>
      <w:marRight w:val="0"/>
      <w:marTop w:val="0"/>
      <w:marBottom w:val="0"/>
      <w:divBdr>
        <w:top w:val="none" w:sz="0" w:space="0" w:color="auto"/>
        <w:left w:val="none" w:sz="0" w:space="0" w:color="auto"/>
        <w:bottom w:val="none" w:sz="0" w:space="0" w:color="auto"/>
        <w:right w:val="none" w:sz="0" w:space="0" w:color="auto"/>
      </w:divBdr>
    </w:div>
    <w:div w:id="1180895550">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6871066">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2383485">
      <w:bodyDiv w:val="1"/>
      <w:marLeft w:val="0"/>
      <w:marRight w:val="0"/>
      <w:marTop w:val="0"/>
      <w:marBottom w:val="0"/>
      <w:divBdr>
        <w:top w:val="none" w:sz="0" w:space="0" w:color="auto"/>
        <w:left w:val="none" w:sz="0" w:space="0" w:color="auto"/>
        <w:bottom w:val="none" w:sz="0" w:space="0" w:color="auto"/>
        <w:right w:val="none" w:sz="0" w:space="0" w:color="auto"/>
      </w:divBdr>
    </w:div>
    <w:div w:id="1193156405">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2203188">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16700199">
      <w:bodyDiv w:val="1"/>
      <w:marLeft w:val="0"/>
      <w:marRight w:val="0"/>
      <w:marTop w:val="0"/>
      <w:marBottom w:val="0"/>
      <w:divBdr>
        <w:top w:val="none" w:sz="0" w:space="0" w:color="auto"/>
        <w:left w:val="none" w:sz="0" w:space="0" w:color="auto"/>
        <w:bottom w:val="none" w:sz="0" w:space="0" w:color="auto"/>
        <w:right w:val="none" w:sz="0" w:space="0" w:color="auto"/>
      </w:divBdr>
    </w:div>
    <w:div w:id="1223639890">
      <w:bodyDiv w:val="1"/>
      <w:marLeft w:val="0"/>
      <w:marRight w:val="0"/>
      <w:marTop w:val="0"/>
      <w:marBottom w:val="0"/>
      <w:divBdr>
        <w:top w:val="none" w:sz="0" w:space="0" w:color="auto"/>
        <w:left w:val="none" w:sz="0" w:space="0" w:color="auto"/>
        <w:bottom w:val="none" w:sz="0" w:space="0" w:color="auto"/>
        <w:right w:val="none" w:sz="0" w:space="0" w:color="auto"/>
      </w:divBdr>
    </w:div>
    <w:div w:id="1231695864">
      <w:bodyDiv w:val="1"/>
      <w:marLeft w:val="0"/>
      <w:marRight w:val="0"/>
      <w:marTop w:val="0"/>
      <w:marBottom w:val="0"/>
      <w:divBdr>
        <w:top w:val="none" w:sz="0" w:space="0" w:color="auto"/>
        <w:left w:val="none" w:sz="0" w:space="0" w:color="auto"/>
        <w:bottom w:val="none" w:sz="0" w:space="0" w:color="auto"/>
        <w:right w:val="none" w:sz="0" w:space="0" w:color="auto"/>
      </w:divBdr>
    </w:div>
    <w:div w:id="123400299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44953069">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59682522">
      <w:bodyDiv w:val="1"/>
      <w:marLeft w:val="0"/>
      <w:marRight w:val="0"/>
      <w:marTop w:val="0"/>
      <w:marBottom w:val="0"/>
      <w:divBdr>
        <w:top w:val="none" w:sz="0" w:space="0" w:color="auto"/>
        <w:left w:val="none" w:sz="0" w:space="0" w:color="auto"/>
        <w:bottom w:val="none" w:sz="0" w:space="0" w:color="auto"/>
        <w:right w:val="none" w:sz="0" w:space="0" w:color="auto"/>
      </w:divBdr>
    </w:div>
    <w:div w:id="1261185822">
      <w:bodyDiv w:val="1"/>
      <w:marLeft w:val="0"/>
      <w:marRight w:val="0"/>
      <w:marTop w:val="0"/>
      <w:marBottom w:val="0"/>
      <w:divBdr>
        <w:top w:val="none" w:sz="0" w:space="0" w:color="auto"/>
        <w:left w:val="none" w:sz="0" w:space="0" w:color="auto"/>
        <w:bottom w:val="none" w:sz="0" w:space="0" w:color="auto"/>
        <w:right w:val="none" w:sz="0" w:space="0" w:color="auto"/>
      </w:divBdr>
    </w:div>
    <w:div w:id="1262374284">
      <w:bodyDiv w:val="1"/>
      <w:marLeft w:val="0"/>
      <w:marRight w:val="0"/>
      <w:marTop w:val="0"/>
      <w:marBottom w:val="0"/>
      <w:divBdr>
        <w:top w:val="none" w:sz="0" w:space="0" w:color="auto"/>
        <w:left w:val="none" w:sz="0" w:space="0" w:color="auto"/>
        <w:bottom w:val="none" w:sz="0" w:space="0" w:color="auto"/>
        <w:right w:val="none" w:sz="0" w:space="0" w:color="auto"/>
      </w:divBdr>
    </w:div>
    <w:div w:id="1267077522">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271821518">
      <w:bodyDiv w:val="1"/>
      <w:marLeft w:val="0"/>
      <w:marRight w:val="0"/>
      <w:marTop w:val="0"/>
      <w:marBottom w:val="0"/>
      <w:divBdr>
        <w:top w:val="none" w:sz="0" w:space="0" w:color="auto"/>
        <w:left w:val="none" w:sz="0" w:space="0" w:color="auto"/>
        <w:bottom w:val="none" w:sz="0" w:space="0" w:color="auto"/>
        <w:right w:val="none" w:sz="0" w:space="0" w:color="auto"/>
      </w:divBdr>
    </w:div>
    <w:div w:id="1275140264">
      <w:bodyDiv w:val="1"/>
      <w:marLeft w:val="0"/>
      <w:marRight w:val="0"/>
      <w:marTop w:val="0"/>
      <w:marBottom w:val="0"/>
      <w:divBdr>
        <w:top w:val="none" w:sz="0" w:space="0" w:color="auto"/>
        <w:left w:val="none" w:sz="0" w:space="0" w:color="auto"/>
        <w:bottom w:val="none" w:sz="0" w:space="0" w:color="auto"/>
        <w:right w:val="none" w:sz="0" w:space="0" w:color="auto"/>
      </w:divBdr>
    </w:div>
    <w:div w:id="1285116133">
      <w:bodyDiv w:val="1"/>
      <w:marLeft w:val="0"/>
      <w:marRight w:val="0"/>
      <w:marTop w:val="0"/>
      <w:marBottom w:val="0"/>
      <w:divBdr>
        <w:top w:val="none" w:sz="0" w:space="0" w:color="auto"/>
        <w:left w:val="none" w:sz="0" w:space="0" w:color="auto"/>
        <w:bottom w:val="none" w:sz="0" w:space="0" w:color="auto"/>
        <w:right w:val="none" w:sz="0" w:space="0" w:color="auto"/>
      </w:divBdr>
    </w:div>
    <w:div w:id="1286230675">
      <w:bodyDiv w:val="1"/>
      <w:marLeft w:val="0"/>
      <w:marRight w:val="0"/>
      <w:marTop w:val="0"/>
      <w:marBottom w:val="0"/>
      <w:divBdr>
        <w:top w:val="none" w:sz="0" w:space="0" w:color="auto"/>
        <w:left w:val="none" w:sz="0" w:space="0" w:color="auto"/>
        <w:bottom w:val="none" w:sz="0" w:space="0" w:color="auto"/>
        <w:right w:val="none" w:sz="0" w:space="0" w:color="auto"/>
      </w:divBdr>
    </w:div>
    <w:div w:id="1294406893">
      <w:bodyDiv w:val="1"/>
      <w:marLeft w:val="0"/>
      <w:marRight w:val="0"/>
      <w:marTop w:val="0"/>
      <w:marBottom w:val="0"/>
      <w:divBdr>
        <w:top w:val="none" w:sz="0" w:space="0" w:color="auto"/>
        <w:left w:val="none" w:sz="0" w:space="0" w:color="auto"/>
        <w:bottom w:val="none" w:sz="0" w:space="0" w:color="auto"/>
        <w:right w:val="none" w:sz="0" w:space="0" w:color="auto"/>
      </w:divBdr>
    </w:div>
    <w:div w:id="1299920806">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169220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12717147">
      <w:bodyDiv w:val="1"/>
      <w:marLeft w:val="0"/>
      <w:marRight w:val="0"/>
      <w:marTop w:val="0"/>
      <w:marBottom w:val="0"/>
      <w:divBdr>
        <w:top w:val="none" w:sz="0" w:space="0" w:color="auto"/>
        <w:left w:val="none" w:sz="0" w:space="0" w:color="auto"/>
        <w:bottom w:val="none" w:sz="0" w:space="0" w:color="auto"/>
        <w:right w:val="none" w:sz="0" w:space="0" w:color="auto"/>
      </w:divBdr>
    </w:div>
    <w:div w:id="1314989764">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21539053">
      <w:bodyDiv w:val="1"/>
      <w:marLeft w:val="0"/>
      <w:marRight w:val="0"/>
      <w:marTop w:val="0"/>
      <w:marBottom w:val="0"/>
      <w:divBdr>
        <w:top w:val="none" w:sz="0" w:space="0" w:color="auto"/>
        <w:left w:val="none" w:sz="0" w:space="0" w:color="auto"/>
        <w:bottom w:val="none" w:sz="0" w:space="0" w:color="auto"/>
        <w:right w:val="none" w:sz="0" w:space="0" w:color="auto"/>
      </w:divBdr>
    </w:div>
    <w:div w:id="1330060608">
      <w:bodyDiv w:val="1"/>
      <w:marLeft w:val="0"/>
      <w:marRight w:val="0"/>
      <w:marTop w:val="0"/>
      <w:marBottom w:val="0"/>
      <w:divBdr>
        <w:top w:val="none" w:sz="0" w:space="0" w:color="auto"/>
        <w:left w:val="none" w:sz="0" w:space="0" w:color="auto"/>
        <w:bottom w:val="none" w:sz="0" w:space="0" w:color="auto"/>
        <w:right w:val="none" w:sz="0" w:space="0" w:color="auto"/>
      </w:divBdr>
    </w:div>
    <w:div w:id="1334337407">
      <w:bodyDiv w:val="1"/>
      <w:marLeft w:val="0"/>
      <w:marRight w:val="0"/>
      <w:marTop w:val="0"/>
      <w:marBottom w:val="0"/>
      <w:divBdr>
        <w:top w:val="none" w:sz="0" w:space="0" w:color="auto"/>
        <w:left w:val="none" w:sz="0" w:space="0" w:color="auto"/>
        <w:bottom w:val="none" w:sz="0" w:space="0" w:color="auto"/>
        <w:right w:val="none" w:sz="0" w:space="0" w:color="auto"/>
      </w:divBdr>
    </w:div>
    <w:div w:id="1351102896">
      <w:bodyDiv w:val="1"/>
      <w:marLeft w:val="0"/>
      <w:marRight w:val="0"/>
      <w:marTop w:val="0"/>
      <w:marBottom w:val="0"/>
      <w:divBdr>
        <w:top w:val="none" w:sz="0" w:space="0" w:color="auto"/>
        <w:left w:val="none" w:sz="0" w:space="0" w:color="auto"/>
        <w:bottom w:val="none" w:sz="0" w:space="0" w:color="auto"/>
        <w:right w:val="none" w:sz="0" w:space="0" w:color="auto"/>
      </w:divBdr>
    </w:div>
    <w:div w:id="1355811687">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387678400">
      <w:bodyDiv w:val="1"/>
      <w:marLeft w:val="0"/>
      <w:marRight w:val="0"/>
      <w:marTop w:val="0"/>
      <w:marBottom w:val="0"/>
      <w:divBdr>
        <w:top w:val="none" w:sz="0" w:space="0" w:color="auto"/>
        <w:left w:val="none" w:sz="0" w:space="0" w:color="auto"/>
        <w:bottom w:val="none" w:sz="0" w:space="0" w:color="auto"/>
        <w:right w:val="none" w:sz="0" w:space="0" w:color="auto"/>
      </w:divBdr>
    </w:div>
    <w:div w:id="1397389297">
      <w:bodyDiv w:val="1"/>
      <w:marLeft w:val="0"/>
      <w:marRight w:val="0"/>
      <w:marTop w:val="0"/>
      <w:marBottom w:val="0"/>
      <w:divBdr>
        <w:top w:val="none" w:sz="0" w:space="0" w:color="auto"/>
        <w:left w:val="none" w:sz="0" w:space="0" w:color="auto"/>
        <w:bottom w:val="none" w:sz="0" w:space="0" w:color="auto"/>
        <w:right w:val="none" w:sz="0" w:space="0" w:color="auto"/>
      </w:divBdr>
    </w:div>
    <w:div w:id="1399012641">
      <w:bodyDiv w:val="1"/>
      <w:marLeft w:val="0"/>
      <w:marRight w:val="0"/>
      <w:marTop w:val="0"/>
      <w:marBottom w:val="0"/>
      <w:divBdr>
        <w:top w:val="none" w:sz="0" w:space="0" w:color="auto"/>
        <w:left w:val="none" w:sz="0" w:space="0" w:color="auto"/>
        <w:bottom w:val="none" w:sz="0" w:space="0" w:color="auto"/>
        <w:right w:val="none" w:sz="0" w:space="0" w:color="auto"/>
      </w:divBdr>
    </w:div>
    <w:div w:id="1400982478">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2853672">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15280188">
      <w:bodyDiv w:val="1"/>
      <w:marLeft w:val="0"/>
      <w:marRight w:val="0"/>
      <w:marTop w:val="0"/>
      <w:marBottom w:val="0"/>
      <w:divBdr>
        <w:top w:val="none" w:sz="0" w:space="0" w:color="auto"/>
        <w:left w:val="none" w:sz="0" w:space="0" w:color="auto"/>
        <w:bottom w:val="none" w:sz="0" w:space="0" w:color="auto"/>
        <w:right w:val="none" w:sz="0" w:space="0" w:color="auto"/>
      </w:divBdr>
    </w:div>
    <w:div w:id="1416170068">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3919066">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604243">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39834636">
      <w:bodyDiv w:val="1"/>
      <w:marLeft w:val="0"/>
      <w:marRight w:val="0"/>
      <w:marTop w:val="0"/>
      <w:marBottom w:val="0"/>
      <w:divBdr>
        <w:top w:val="none" w:sz="0" w:space="0" w:color="auto"/>
        <w:left w:val="none" w:sz="0" w:space="0" w:color="auto"/>
        <w:bottom w:val="none" w:sz="0" w:space="0" w:color="auto"/>
        <w:right w:val="none" w:sz="0" w:space="0" w:color="auto"/>
      </w:divBdr>
    </w:div>
    <w:div w:id="1440030205">
      <w:bodyDiv w:val="1"/>
      <w:marLeft w:val="0"/>
      <w:marRight w:val="0"/>
      <w:marTop w:val="0"/>
      <w:marBottom w:val="0"/>
      <w:divBdr>
        <w:top w:val="none" w:sz="0" w:space="0" w:color="auto"/>
        <w:left w:val="none" w:sz="0" w:space="0" w:color="auto"/>
        <w:bottom w:val="none" w:sz="0" w:space="0" w:color="auto"/>
        <w:right w:val="none" w:sz="0" w:space="0" w:color="auto"/>
      </w:divBdr>
    </w:div>
    <w:div w:id="144326102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4378125">
      <w:bodyDiv w:val="1"/>
      <w:marLeft w:val="0"/>
      <w:marRight w:val="0"/>
      <w:marTop w:val="0"/>
      <w:marBottom w:val="0"/>
      <w:divBdr>
        <w:top w:val="none" w:sz="0" w:space="0" w:color="auto"/>
        <w:left w:val="none" w:sz="0" w:space="0" w:color="auto"/>
        <w:bottom w:val="none" w:sz="0" w:space="0" w:color="auto"/>
        <w:right w:val="none" w:sz="0" w:space="0" w:color="auto"/>
      </w:divBdr>
    </w:div>
    <w:div w:id="1447430435">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295596">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3569966">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68082828">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1097361">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75371231">
      <w:bodyDiv w:val="1"/>
      <w:marLeft w:val="0"/>
      <w:marRight w:val="0"/>
      <w:marTop w:val="0"/>
      <w:marBottom w:val="0"/>
      <w:divBdr>
        <w:top w:val="none" w:sz="0" w:space="0" w:color="auto"/>
        <w:left w:val="none" w:sz="0" w:space="0" w:color="auto"/>
        <w:bottom w:val="none" w:sz="0" w:space="0" w:color="auto"/>
        <w:right w:val="none" w:sz="0" w:space="0" w:color="auto"/>
      </w:divBdr>
    </w:div>
    <w:div w:id="1482232555">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3061128">
      <w:bodyDiv w:val="1"/>
      <w:marLeft w:val="0"/>
      <w:marRight w:val="0"/>
      <w:marTop w:val="0"/>
      <w:marBottom w:val="0"/>
      <w:divBdr>
        <w:top w:val="none" w:sz="0" w:space="0" w:color="auto"/>
        <w:left w:val="none" w:sz="0" w:space="0" w:color="auto"/>
        <w:bottom w:val="none" w:sz="0" w:space="0" w:color="auto"/>
        <w:right w:val="none" w:sz="0" w:space="0" w:color="auto"/>
      </w:divBdr>
    </w:div>
    <w:div w:id="1494637736">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2159354">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1384732">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6380591">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46333900">
      <w:bodyDiv w:val="1"/>
      <w:marLeft w:val="0"/>
      <w:marRight w:val="0"/>
      <w:marTop w:val="0"/>
      <w:marBottom w:val="0"/>
      <w:divBdr>
        <w:top w:val="none" w:sz="0" w:space="0" w:color="auto"/>
        <w:left w:val="none" w:sz="0" w:space="0" w:color="auto"/>
        <w:bottom w:val="none" w:sz="0" w:space="0" w:color="auto"/>
        <w:right w:val="none" w:sz="0" w:space="0" w:color="auto"/>
      </w:divBdr>
    </w:div>
    <w:div w:id="1546988292">
      <w:bodyDiv w:val="1"/>
      <w:marLeft w:val="0"/>
      <w:marRight w:val="0"/>
      <w:marTop w:val="0"/>
      <w:marBottom w:val="0"/>
      <w:divBdr>
        <w:top w:val="none" w:sz="0" w:space="0" w:color="auto"/>
        <w:left w:val="none" w:sz="0" w:space="0" w:color="auto"/>
        <w:bottom w:val="none" w:sz="0" w:space="0" w:color="auto"/>
        <w:right w:val="none" w:sz="0" w:space="0" w:color="auto"/>
      </w:divBdr>
    </w:div>
    <w:div w:id="1550070382">
      <w:bodyDiv w:val="1"/>
      <w:marLeft w:val="0"/>
      <w:marRight w:val="0"/>
      <w:marTop w:val="0"/>
      <w:marBottom w:val="0"/>
      <w:divBdr>
        <w:top w:val="none" w:sz="0" w:space="0" w:color="auto"/>
        <w:left w:val="none" w:sz="0" w:space="0" w:color="auto"/>
        <w:bottom w:val="none" w:sz="0" w:space="0" w:color="auto"/>
        <w:right w:val="none" w:sz="0" w:space="0" w:color="auto"/>
      </w:divBdr>
    </w:div>
    <w:div w:id="1571113268">
      <w:bodyDiv w:val="1"/>
      <w:marLeft w:val="0"/>
      <w:marRight w:val="0"/>
      <w:marTop w:val="0"/>
      <w:marBottom w:val="0"/>
      <w:divBdr>
        <w:top w:val="none" w:sz="0" w:space="0" w:color="auto"/>
        <w:left w:val="none" w:sz="0" w:space="0" w:color="auto"/>
        <w:bottom w:val="none" w:sz="0" w:space="0" w:color="auto"/>
        <w:right w:val="none" w:sz="0" w:space="0" w:color="auto"/>
      </w:divBdr>
    </w:div>
    <w:div w:id="1572615596">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2929802">
      <w:bodyDiv w:val="1"/>
      <w:marLeft w:val="0"/>
      <w:marRight w:val="0"/>
      <w:marTop w:val="0"/>
      <w:marBottom w:val="0"/>
      <w:divBdr>
        <w:top w:val="none" w:sz="0" w:space="0" w:color="auto"/>
        <w:left w:val="none" w:sz="0" w:space="0" w:color="auto"/>
        <w:bottom w:val="none" w:sz="0" w:space="0" w:color="auto"/>
        <w:right w:val="none" w:sz="0" w:space="0" w:color="auto"/>
      </w:divBdr>
    </w:div>
    <w:div w:id="1593970892">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4163624">
      <w:bodyDiv w:val="1"/>
      <w:marLeft w:val="0"/>
      <w:marRight w:val="0"/>
      <w:marTop w:val="0"/>
      <w:marBottom w:val="0"/>
      <w:divBdr>
        <w:top w:val="none" w:sz="0" w:space="0" w:color="auto"/>
        <w:left w:val="none" w:sz="0" w:space="0" w:color="auto"/>
        <w:bottom w:val="none" w:sz="0" w:space="0" w:color="auto"/>
        <w:right w:val="none" w:sz="0" w:space="0" w:color="auto"/>
      </w:divBdr>
    </w:div>
    <w:div w:id="1595479164">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597715465">
      <w:bodyDiv w:val="1"/>
      <w:marLeft w:val="0"/>
      <w:marRight w:val="0"/>
      <w:marTop w:val="0"/>
      <w:marBottom w:val="0"/>
      <w:divBdr>
        <w:top w:val="none" w:sz="0" w:space="0" w:color="auto"/>
        <w:left w:val="none" w:sz="0" w:space="0" w:color="auto"/>
        <w:bottom w:val="none" w:sz="0" w:space="0" w:color="auto"/>
        <w:right w:val="none" w:sz="0" w:space="0" w:color="auto"/>
      </w:divBdr>
    </w:div>
    <w:div w:id="1609198085">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21645737">
      <w:bodyDiv w:val="1"/>
      <w:marLeft w:val="0"/>
      <w:marRight w:val="0"/>
      <w:marTop w:val="0"/>
      <w:marBottom w:val="0"/>
      <w:divBdr>
        <w:top w:val="none" w:sz="0" w:space="0" w:color="auto"/>
        <w:left w:val="none" w:sz="0" w:space="0" w:color="auto"/>
        <w:bottom w:val="none" w:sz="0" w:space="0" w:color="auto"/>
        <w:right w:val="none" w:sz="0" w:space="0" w:color="auto"/>
      </w:divBdr>
    </w:div>
    <w:div w:id="1628926567">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38294937">
      <w:bodyDiv w:val="1"/>
      <w:marLeft w:val="0"/>
      <w:marRight w:val="0"/>
      <w:marTop w:val="0"/>
      <w:marBottom w:val="0"/>
      <w:divBdr>
        <w:top w:val="none" w:sz="0" w:space="0" w:color="auto"/>
        <w:left w:val="none" w:sz="0" w:space="0" w:color="auto"/>
        <w:bottom w:val="none" w:sz="0" w:space="0" w:color="auto"/>
        <w:right w:val="none" w:sz="0" w:space="0" w:color="auto"/>
      </w:divBdr>
    </w:div>
    <w:div w:id="1642612323">
      <w:bodyDiv w:val="1"/>
      <w:marLeft w:val="0"/>
      <w:marRight w:val="0"/>
      <w:marTop w:val="0"/>
      <w:marBottom w:val="0"/>
      <w:divBdr>
        <w:top w:val="none" w:sz="0" w:space="0" w:color="auto"/>
        <w:left w:val="none" w:sz="0" w:space="0" w:color="auto"/>
        <w:bottom w:val="none" w:sz="0" w:space="0" w:color="auto"/>
        <w:right w:val="none" w:sz="0" w:space="0" w:color="auto"/>
      </w:divBdr>
    </w:div>
    <w:div w:id="1644233900">
      <w:bodyDiv w:val="1"/>
      <w:marLeft w:val="0"/>
      <w:marRight w:val="0"/>
      <w:marTop w:val="0"/>
      <w:marBottom w:val="0"/>
      <w:divBdr>
        <w:top w:val="none" w:sz="0" w:space="0" w:color="auto"/>
        <w:left w:val="none" w:sz="0" w:space="0" w:color="auto"/>
        <w:bottom w:val="none" w:sz="0" w:space="0" w:color="auto"/>
        <w:right w:val="none" w:sz="0" w:space="0" w:color="auto"/>
      </w:divBdr>
    </w:div>
    <w:div w:id="1651521161">
      <w:bodyDiv w:val="1"/>
      <w:marLeft w:val="0"/>
      <w:marRight w:val="0"/>
      <w:marTop w:val="0"/>
      <w:marBottom w:val="0"/>
      <w:divBdr>
        <w:top w:val="none" w:sz="0" w:space="0" w:color="auto"/>
        <w:left w:val="none" w:sz="0" w:space="0" w:color="auto"/>
        <w:bottom w:val="none" w:sz="0" w:space="0" w:color="auto"/>
        <w:right w:val="none" w:sz="0" w:space="0" w:color="auto"/>
      </w:divBdr>
    </w:div>
    <w:div w:id="1657227677">
      <w:bodyDiv w:val="1"/>
      <w:marLeft w:val="0"/>
      <w:marRight w:val="0"/>
      <w:marTop w:val="0"/>
      <w:marBottom w:val="0"/>
      <w:divBdr>
        <w:top w:val="none" w:sz="0" w:space="0" w:color="auto"/>
        <w:left w:val="none" w:sz="0" w:space="0" w:color="auto"/>
        <w:bottom w:val="none" w:sz="0" w:space="0" w:color="auto"/>
        <w:right w:val="none" w:sz="0" w:space="0" w:color="auto"/>
      </w:divBdr>
    </w:div>
    <w:div w:id="1661612621">
      <w:bodyDiv w:val="1"/>
      <w:marLeft w:val="0"/>
      <w:marRight w:val="0"/>
      <w:marTop w:val="0"/>
      <w:marBottom w:val="0"/>
      <w:divBdr>
        <w:top w:val="none" w:sz="0" w:space="0" w:color="auto"/>
        <w:left w:val="none" w:sz="0" w:space="0" w:color="auto"/>
        <w:bottom w:val="none" w:sz="0" w:space="0" w:color="auto"/>
        <w:right w:val="none" w:sz="0" w:space="0" w:color="auto"/>
      </w:divBdr>
    </w:div>
    <w:div w:id="168481947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88677252">
      <w:bodyDiv w:val="1"/>
      <w:marLeft w:val="0"/>
      <w:marRight w:val="0"/>
      <w:marTop w:val="0"/>
      <w:marBottom w:val="0"/>
      <w:divBdr>
        <w:top w:val="none" w:sz="0" w:space="0" w:color="auto"/>
        <w:left w:val="none" w:sz="0" w:space="0" w:color="auto"/>
        <w:bottom w:val="none" w:sz="0" w:space="0" w:color="auto"/>
        <w:right w:val="none" w:sz="0" w:space="0" w:color="auto"/>
      </w:divBdr>
    </w:div>
    <w:div w:id="168945369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694964241">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250991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2073832">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1880158">
      <w:bodyDiv w:val="1"/>
      <w:marLeft w:val="0"/>
      <w:marRight w:val="0"/>
      <w:marTop w:val="0"/>
      <w:marBottom w:val="0"/>
      <w:divBdr>
        <w:top w:val="none" w:sz="0" w:space="0" w:color="auto"/>
        <w:left w:val="none" w:sz="0" w:space="0" w:color="auto"/>
        <w:bottom w:val="none" w:sz="0" w:space="0" w:color="auto"/>
        <w:right w:val="none" w:sz="0" w:space="0" w:color="auto"/>
      </w:divBdr>
    </w:div>
    <w:div w:id="1732458589">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0441111">
      <w:bodyDiv w:val="1"/>
      <w:marLeft w:val="0"/>
      <w:marRight w:val="0"/>
      <w:marTop w:val="0"/>
      <w:marBottom w:val="0"/>
      <w:divBdr>
        <w:top w:val="none" w:sz="0" w:space="0" w:color="auto"/>
        <w:left w:val="none" w:sz="0" w:space="0" w:color="auto"/>
        <w:bottom w:val="none" w:sz="0" w:space="0" w:color="auto"/>
        <w:right w:val="none" w:sz="0" w:space="0" w:color="auto"/>
      </w:divBdr>
    </w:div>
    <w:div w:id="1745714319">
      <w:bodyDiv w:val="1"/>
      <w:marLeft w:val="0"/>
      <w:marRight w:val="0"/>
      <w:marTop w:val="0"/>
      <w:marBottom w:val="0"/>
      <w:divBdr>
        <w:top w:val="none" w:sz="0" w:space="0" w:color="auto"/>
        <w:left w:val="none" w:sz="0" w:space="0" w:color="auto"/>
        <w:bottom w:val="none" w:sz="0" w:space="0" w:color="auto"/>
        <w:right w:val="none" w:sz="0" w:space="0" w:color="auto"/>
      </w:divBdr>
    </w:div>
    <w:div w:id="1746610806">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51080343">
      <w:bodyDiv w:val="1"/>
      <w:marLeft w:val="0"/>
      <w:marRight w:val="0"/>
      <w:marTop w:val="0"/>
      <w:marBottom w:val="0"/>
      <w:divBdr>
        <w:top w:val="none" w:sz="0" w:space="0" w:color="auto"/>
        <w:left w:val="none" w:sz="0" w:space="0" w:color="auto"/>
        <w:bottom w:val="none" w:sz="0" w:space="0" w:color="auto"/>
        <w:right w:val="none" w:sz="0" w:space="0" w:color="auto"/>
      </w:divBdr>
    </w:div>
    <w:div w:id="1751996783">
      <w:bodyDiv w:val="1"/>
      <w:marLeft w:val="0"/>
      <w:marRight w:val="0"/>
      <w:marTop w:val="0"/>
      <w:marBottom w:val="0"/>
      <w:divBdr>
        <w:top w:val="none" w:sz="0" w:space="0" w:color="auto"/>
        <w:left w:val="none" w:sz="0" w:space="0" w:color="auto"/>
        <w:bottom w:val="none" w:sz="0" w:space="0" w:color="auto"/>
        <w:right w:val="none" w:sz="0" w:space="0" w:color="auto"/>
      </w:divBdr>
    </w:div>
    <w:div w:id="1761220830">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68502976">
      <w:bodyDiv w:val="1"/>
      <w:marLeft w:val="0"/>
      <w:marRight w:val="0"/>
      <w:marTop w:val="0"/>
      <w:marBottom w:val="0"/>
      <w:divBdr>
        <w:top w:val="none" w:sz="0" w:space="0" w:color="auto"/>
        <w:left w:val="none" w:sz="0" w:space="0" w:color="auto"/>
        <w:bottom w:val="none" w:sz="0" w:space="0" w:color="auto"/>
        <w:right w:val="none" w:sz="0" w:space="0" w:color="auto"/>
      </w:divBdr>
    </w:div>
    <w:div w:id="1768652649">
      <w:bodyDiv w:val="1"/>
      <w:marLeft w:val="0"/>
      <w:marRight w:val="0"/>
      <w:marTop w:val="0"/>
      <w:marBottom w:val="0"/>
      <w:divBdr>
        <w:top w:val="none" w:sz="0" w:space="0" w:color="auto"/>
        <w:left w:val="none" w:sz="0" w:space="0" w:color="auto"/>
        <w:bottom w:val="none" w:sz="0" w:space="0" w:color="auto"/>
        <w:right w:val="none" w:sz="0" w:space="0" w:color="auto"/>
      </w:divBdr>
    </w:div>
    <w:div w:id="1770463637">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72629156">
      <w:bodyDiv w:val="1"/>
      <w:marLeft w:val="0"/>
      <w:marRight w:val="0"/>
      <w:marTop w:val="0"/>
      <w:marBottom w:val="0"/>
      <w:divBdr>
        <w:top w:val="none" w:sz="0" w:space="0" w:color="auto"/>
        <w:left w:val="none" w:sz="0" w:space="0" w:color="auto"/>
        <w:bottom w:val="none" w:sz="0" w:space="0" w:color="auto"/>
        <w:right w:val="none" w:sz="0" w:space="0" w:color="auto"/>
      </w:divBdr>
    </w:div>
    <w:div w:id="1772823503">
      <w:bodyDiv w:val="1"/>
      <w:marLeft w:val="0"/>
      <w:marRight w:val="0"/>
      <w:marTop w:val="0"/>
      <w:marBottom w:val="0"/>
      <w:divBdr>
        <w:top w:val="none" w:sz="0" w:space="0" w:color="auto"/>
        <w:left w:val="none" w:sz="0" w:space="0" w:color="auto"/>
        <w:bottom w:val="none" w:sz="0" w:space="0" w:color="auto"/>
        <w:right w:val="none" w:sz="0" w:space="0" w:color="auto"/>
      </w:divBdr>
    </w:div>
    <w:div w:id="1778717985">
      <w:bodyDiv w:val="1"/>
      <w:marLeft w:val="0"/>
      <w:marRight w:val="0"/>
      <w:marTop w:val="0"/>
      <w:marBottom w:val="0"/>
      <w:divBdr>
        <w:top w:val="none" w:sz="0" w:space="0" w:color="auto"/>
        <w:left w:val="none" w:sz="0" w:space="0" w:color="auto"/>
        <w:bottom w:val="none" w:sz="0" w:space="0" w:color="auto"/>
        <w:right w:val="none" w:sz="0" w:space="0" w:color="auto"/>
      </w:divBdr>
    </w:div>
    <w:div w:id="1782218172">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416">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2457217">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08353487">
      <w:bodyDiv w:val="1"/>
      <w:marLeft w:val="0"/>
      <w:marRight w:val="0"/>
      <w:marTop w:val="0"/>
      <w:marBottom w:val="0"/>
      <w:divBdr>
        <w:top w:val="none" w:sz="0" w:space="0" w:color="auto"/>
        <w:left w:val="none" w:sz="0" w:space="0" w:color="auto"/>
        <w:bottom w:val="none" w:sz="0" w:space="0" w:color="auto"/>
        <w:right w:val="none" w:sz="0" w:space="0" w:color="auto"/>
      </w:divBdr>
    </w:div>
    <w:div w:id="1824734445">
      <w:bodyDiv w:val="1"/>
      <w:marLeft w:val="0"/>
      <w:marRight w:val="0"/>
      <w:marTop w:val="0"/>
      <w:marBottom w:val="0"/>
      <w:divBdr>
        <w:top w:val="none" w:sz="0" w:space="0" w:color="auto"/>
        <w:left w:val="none" w:sz="0" w:space="0" w:color="auto"/>
        <w:bottom w:val="none" w:sz="0" w:space="0" w:color="auto"/>
        <w:right w:val="none" w:sz="0" w:space="0" w:color="auto"/>
      </w:divBdr>
    </w:div>
    <w:div w:id="1825582208">
      <w:bodyDiv w:val="1"/>
      <w:marLeft w:val="0"/>
      <w:marRight w:val="0"/>
      <w:marTop w:val="0"/>
      <w:marBottom w:val="0"/>
      <w:divBdr>
        <w:top w:val="none" w:sz="0" w:space="0" w:color="auto"/>
        <w:left w:val="none" w:sz="0" w:space="0" w:color="auto"/>
        <w:bottom w:val="none" w:sz="0" w:space="0" w:color="auto"/>
        <w:right w:val="none" w:sz="0" w:space="0" w:color="auto"/>
      </w:divBdr>
    </w:div>
    <w:div w:id="1829175332">
      <w:bodyDiv w:val="1"/>
      <w:marLeft w:val="0"/>
      <w:marRight w:val="0"/>
      <w:marTop w:val="0"/>
      <w:marBottom w:val="0"/>
      <w:divBdr>
        <w:top w:val="none" w:sz="0" w:space="0" w:color="auto"/>
        <w:left w:val="none" w:sz="0" w:space="0" w:color="auto"/>
        <w:bottom w:val="none" w:sz="0" w:space="0" w:color="auto"/>
        <w:right w:val="none" w:sz="0" w:space="0" w:color="auto"/>
      </w:divBdr>
    </w:div>
    <w:div w:id="1830243667">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33986480">
      <w:bodyDiv w:val="1"/>
      <w:marLeft w:val="0"/>
      <w:marRight w:val="0"/>
      <w:marTop w:val="0"/>
      <w:marBottom w:val="0"/>
      <w:divBdr>
        <w:top w:val="none" w:sz="0" w:space="0" w:color="auto"/>
        <w:left w:val="none" w:sz="0" w:space="0" w:color="auto"/>
        <w:bottom w:val="none" w:sz="0" w:space="0" w:color="auto"/>
        <w:right w:val="none" w:sz="0" w:space="0" w:color="auto"/>
      </w:divBdr>
    </w:div>
    <w:div w:id="1834442490">
      <w:bodyDiv w:val="1"/>
      <w:marLeft w:val="0"/>
      <w:marRight w:val="0"/>
      <w:marTop w:val="0"/>
      <w:marBottom w:val="0"/>
      <w:divBdr>
        <w:top w:val="none" w:sz="0" w:space="0" w:color="auto"/>
        <w:left w:val="none" w:sz="0" w:space="0" w:color="auto"/>
        <w:bottom w:val="none" w:sz="0" w:space="0" w:color="auto"/>
        <w:right w:val="none" w:sz="0" w:space="0" w:color="auto"/>
      </w:divBdr>
    </w:div>
    <w:div w:id="1841654691">
      <w:bodyDiv w:val="1"/>
      <w:marLeft w:val="0"/>
      <w:marRight w:val="0"/>
      <w:marTop w:val="0"/>
      <w:marBottom w:val="0"/>
      <w:divBdr>
        <w:top w:val="none" w:sz="0" w:space="0" w:color="auto"/>
        <w:left w:val="none" w:sz="0" w:space="0" w:color="auto"/>
        <w:bottom w:val="none" w:sz="0" w:space="0" w:color="auto"/>
        <w:right w:val="none" w:sz="0" w:space="0" w:color="auto"/>
      </w:divBdr>
    </w:div>
    <w:div w:id="1847594348">
      <w:bodyDiv w:val="1"/>
      <w:marLeft w:val="0"/>
      <w:marRight w:val="0"/>
      <w:marTop w:val="0"/>
      <w:marBottom w:val="0"/>
      <w:divBdr>
        <w:top w:val="none" w:sz="0" w:space="0" w:color="auto"/>
        <w:left w:val="none" w:sz="0" w:space="0" w:color="auto"/>
        <w:bottom w:val="none" w:sz="0" w:space="0" w:color="auto"/>
        <w:right w:val="none" w:sz="0" w:space="0" w:color="auto"/>
      </w:divBdr>
    </w:div>
    <w:div w:id="1854682927">
      <w:bodyDiv w:val="1"/>
      <w:marLeft w:val="0"/>
      <w:marRight w:val="0"/>
      <w:marTop w:val="0"/>
      <w:marBottom w:val="0"/>
      <w:divBdr>
        <w:top w:val="none" w:sz="0" w:space="0" w:color="auto"/>
        <w:left w:val="none" w:sz="0" w:space="0" w:color="auto"/>
        <w:bottom w:val="none" w:sz="0" w:space="0" w:color="auto"/>
        <w:right w:val="none" w:sz="0" w:space="0" w:color="auto"/>
      </w:divBdr>
    </w:div>
    <w:div w:id="1862160213">
      <w:bodyDiv w:val="1"/>
      <w:marLeft w:val="0"/>
      <w:marRight w:val="0"/>
      <w:marTop w:val="0"/>
      <w:marBottom w:val="0"/>
      <w:divBdr>
        <w:top w:val="none" w:sz="0" w:space="0" w:color="auto"/>
        <w:left w:val="none" w:sz="0" w:space="0" w:color="auto"/>
        <w:bottom w:val="none" w:sz="0" w:space="0" w:color="auto"/>
        <w:right w:val="none" w:sz="0" w:space="0" w:color="auto"/>
      </w:divBdr>
    </w:div>
    <w:div w:id="1862622321">
      <w:bodyDiv w:val="1"/>
      <w:marLeft w:val="0"/>
      <w:marRight w:val="0"/>
      <w:marTop w:val="0"/>
      <w:marBottom w:val="0"/>
      <w:divBdr>
        <w:top w:val="none" w:sz="0" w:space="0" w:color="auto"/>
        <w:left w:val="none" w:sz="0" w:space="0" w:color="auto"/>
        <w:bottom w:val="none" w:sz="0" w:space="0" w:color="auto"/>
        <w:right w:val="none" w:sz="0" w:space="0" w:color="auto"/>
      </w:divBdr>
    </w:div>
    <w:div w:id="1866209181">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67252935">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0237060">
      <w:bodyDiv w:val="1"/>
      <w:marLeft w:val="0"/>
      <w:marRight w:val="0"/>
      <w:marTop w:val="0"/>
      <w:marBottom w:val="0"/>
      <w:divBdr>
        <w:top w:val="none" w:sz="0" w:space="0" w:color="auto"/>
        <w:left w:val="none" w:sz="0" w:space="0" w:color="auto"/>
        <w:bottom w:val="none" w:sz="0" w:space="0" w:color="auto"/>
        <w:right w:val="none" w:sz="0" w:space="0" w:color="auto"/>
      </w:divBdr>
    </w:div>
    <w:div w:id="1882396155">
      <w:bodyDiv w:val="1"/>
      <w:marLeft w:val="0"/>
      <w:marRight w:val="0"/>
      <w:marTop w:val="0"/>
      <w:marBottom w:val="0"/>
      <w:divBdr>
        <w:top w:val="none" w:sz="0" w:space="0" w:color="auto"/>
        <w:left w:val="none" w:sz="0" w:space="0" w:color="auto"/>
        <w:bottom w:val="none" w:sz="0" w:space="0" w:color="auto"/>
        <w:right w:val="none" w:sz="0" w:space="0" w:color="auto"/>
      </w:divBdr>
    </w:div>
    <w:div w:id="1884322841">
      <w:bodyDiv w:val="1"/>
      <w:marLeft w:val="0"/>
      <w:marRight w:val="0"/>
      <w:marTop w:val="0"/>
      <w:marBottom w:val="0"/>
      <w:divBdr>
        <w:top w:val="none" w:sz="0" w:space="0" w:color="auto"/>
        <w:left w:val="none" w:sz="0" w:space="0" w:color="auto"/>
        <w:bottom w:val="none" w:sz="0" w:space="0" w:color="auto"/>
        <w:right w:val="none" w:sz="0" w:space="0" w:color="auto"/>
      </w:divBdr>
    </w:div>
    <w:div w:id="1885363010">
      <w:bodyDiv w:val="1"/>
      <w:marLeft w:val="0"/>
      <w:marRight w:val="0"/>
      <w:marTop w:val="0"/>
      <w:marBottom w:val="0"/>
      <w:divBdr>
        <w:top w:val="none" w:sz="0" w:space="0" w:color="auto"/>
        <w:left w:val="none" w:sz="0" w:space="0" w:color="auto"/>
        <w:bottom w:val="none" w:sz="0" w:space="0" w:color="auto"/>
        <w:right w:val="none" w:sz="0" w:space="0" w:color="auto"/>
      </w:divBdr>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89534689">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899438483">
      <w:bodyDiv w:val="1"/>
      <w:marLeft w:val="0"/>
      <w:marRight w:val="0"/>
      <w:marTop w:val="0"/>
      <w:marBottom w:val="0"/>
      <w:divBdr>
        <w:top w:val="none" w:sz="0" w:space="0" w:color="auto"/>
        <w:left w:val="none" w:sz="0" w:space="0" w:color="auto"/>
        <w:bottom w:val="none" w:sz="0" w:space="0" w:color="auto"/>
        <w:right w:val="none" w:sz="0" w:space="0" w:color="auto"/>
      </w:divBdr>
    </w:div>
    <w:div w:id="1909729374">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23710963">
      <w:bodyDiv w:val="1"/>
      <w:marLeft w:val="0"/>
      <w:marRight w:val="0"/>
      <w:marTop w:val="0"/>
      <w:marBottom w:val="0"/>
      <w:divBdr>
        <w:top w:val="none" w:sz="0" w:space="0" w:color="auto"/>
        <w:left w:val="none" w:sz="0" w:space="0" w:color="auto"/>
        <w:bottom w:val="none" w:sz="0" w:space="0" w:color="auto"/>
        <w:right w:val="none" w:sz="0" w:space="0" w:color="auto"/>
      </w:divBdr>
    </w:div>
    <w:div w:id="1924534694">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1928230980">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43108802">
      <w:bodyDiv w:val="1"/>
      <w:marLeft w:val="0"/>
      <w:marRight w:val="0"/>
      <w:marTop w:val="0"/>
      <w:marBottom w:val="0"/>
      <w:divBdr>
        <w:top w:val="none" w:sz="0" w:space="0" w:color="auto"/>
        <w:left w:val="none" w:sz="0" w:space="0" w:color="auto"/>
        <w:bottom w:val="none" w:sz="0" w:space="0" w:color="auto"/>
        <w:right w:val="none" w:sz="0" w:space="0" w:color="auto"/>
      </w:divBdr>
    </w:div>
    <w:div w:id="1944725190">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52978321">
      <w:bodyDiv w:val="1"/>
      <w:marLeft w:val="0"/>
      <w:marRight w:val="0"/>
      <w:marTop w:val="0"/>
      <w:marBottom w:val="0"/>
      <w:divBdr>
        <w:top w:val="none" w:sz="0" w:space="0" w:color="auto"/>
        <w:left w:val="none" w:sz="0" w:space="0" w:color="auto"/>
        <w:bottom w:val="none" w:sz="0" w:space="0" w:color="auto"/>
        <w:right w:val="none" w:sz="0" w:space="0" w:color="auto"/>
      </w:divBdr>
    </w:div>
    <w:div w:id="1954169371">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70086808">
      <w:bodyDiv w:val="1"/>
      <w:marLeft w:val="0"/>
      <w:marRight w:val="0"/>
      <w:marTop w:val="0"/>
      <w:marBottom w:val="0"/>
      <w:divBdr>
        <w:top w:val="none" w:sz="0" w:space="0" w:color="auto"/>
        <w:left w:val="none" w:sz="0" w:space="0" w:color="auto"/>
        <w:bottom w:val="none" w:sz="0" w:space="0" w:color="auto"/>
        <w:right w:val="none" w:sz="0" w:space="0" w:color="auto"/>
      </w:divBdr>
    </w:div>
    <w:div w:id="1976597346">
      <w:bodyDiv w:val="1"/>
      <w:marLeft w:val="0"/>
      <w:marRight w:val="0"/>
      <w:marTop w:val="0"/>
      <w:marBottom w:val="0"/>
      <w:divBdr>
        <w:top w:val="none" w:sz="0" w:space="0" w:color="auto"/>
        <w:left w:val="none" w:sz="0" w:space="0" w:color="auto"/>
        <w:bottom w:val="none" w:sz="0" w:space="0" w:color="auto"/>
        <w:right w:val="none" w:sz="0" w:space="0" w:color="auto"/>
      </w:divBdr>
    </w:div>
    <w:div w:id="1980108800">
      <w:bodyDiv w:val="1"/>
      <w:marLeft w:val="0"/>
      <w:marRight w:val="0"/>
      <w:marTop w:val="0"/>
      <w:marBottom w:val="0"/>
      <w:divBdr>
        <w:top w:val="none" w:sz="0" w:space="0" w:color="auto"/>
        <w:left w:val="none" w:sz="0" w:space="0" w:color="auto"/>
        <w:bottom w:val="none" w:sz="0" w:space="0" w:color="auto"/>
        <w:right w:val="none" w:sz="0" w:space="0" w:color="auto"/>
      </w:divBdr>
    </w:div>
    <w:div w:id="1980576843">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1986886080">
      <w:bodyDiv w:val="1"/>
      <w:marLeft w:val="0"/>
      <w:marRight w:val="0"/>
      <w:marTop w:val="0"/>
      <w:marBottom w:val="0"/>
      <w:divBdr>
        <w:top w:val="none" w:sz="0" w:space="0" w:color="auto"/>
        <w:left w:val="none" w:sz="0" w:space="0" w:color="auto"/>
        <w:bottom w:val="none" w:sz="0" w:space="0" w:color="auto"/>
        <w:right w:val="none" w:sz="0" w:space="0" w:color="auto"/>
      </w:divBdr>
    </w:div>
    <w:div w:id="1991012912">
      <w:bodyDiv w:val="1"/>
      <w:marLeft w:val="0"/>
      <w:marRight w:val="0"/>
      <w:marTop w:val="0"/>
      <w:marBottom w:val="0"/>
      <w:divBdr>
        <w:top w:val="none" w:sz="0" w:space="0" w:color="auto"/>
        <w:left w:val="none" w:sz="0" w:space="0" w:color="auto"/>
        <w:bottom w:val="none" w:sz="0" w:space="0" w:color="auto"/>
        <w:right w:val="none" w:sz="0" w:space="0" w:color="auto"/>
      </w:divBdr>
    </w:div>
    <w:div w:id="1991131071">
      <w:bodyDiv w:val="1"/>
      <w:marLeft w:val="0"/>
      <w:marRight w:val="0"/>
      <w:marTop w:val="0"/>
      <w:marBottom w:val="0"/>
      <w:divBdr>
        <w:top w:val="none" w:sz="0" w:space="0" w:color="auto"/>
        <w:left w:val="none" w:sz="0" w:space="0" w:color="auto"/>
        <w:bottom w:val="none" w:sz="0" w:space="0" w:color="auto"/>
        <w:right w:val="none" w:sz="0" w:space="0" w:color="auto"/>
      </w:divBdr>
    </w:div>
    <w:div w:id="1992908168">
      <w:bodyDiv w:val="1"/>
      <w:marLeft w:val="0"/>
      <w:marRight w:val="0"/>
      <w:marTop w:val="0"/>
      <w:marBottom w:val="0"/>
      <w:divBdr>
        <w:top w:val="none" w:sz="0" w:space="0" w:color="auto"/>
        <w:left w:val="none" w:sz="0" w:space="0" w:color="auto"/>
        <w:bottom w:val="none" w:sz="0" w:space="0" w:color="auto"/>
        <w:right w:val="none" w:sz="0" w:space="0" w:color="auto"/>
      </w:divBdr>
    </w:div>
    <w:div w:id="1993633724">
      <w:bodyDiv w:val="1"/>
      <w:marLeft w:val="0"/>
      <w:marRight w:val="0"/>
      <w:marTop w:val="0"/>
      <w:marBottom w:val="0"/>
      <w:divBdr>
        <w:top w:val="none" w:sz="0" w:space="0" w:color="auto"/>
        <w:left w:val="none" w:sz="0" w:space="0" w:color="auto"/>
        <w:bottom w:val="none" w:sz="0" w:space="0" w:color="auto"/>
        <w:right w:val="none" w:sz="0" w:space="0" w:color="auto"/>
      </w:divBdr>
    </w:div>
    <w:div w:id="1997760735">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5207257">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0372656">
      <w:bodyDiv w:val="1"/>
      <w:marLeft w:val="0"/>
      <w:marRight w:val="0"/>
      <w:marTop w:val="0"/>
      <w:marBottom w:val="0"/>
      <w:divBdr>
        <w:top w:val="none" w:sz="0" w:space="0" w:color="auto"/>
        <w:left w:val="none" w:sz="0" w:space="0" w:color="auto"/>
        <w:bottom w:val="none" w:sz="0" w:space="0" w:color="auto"/>
        <w:right w:val="none" w:sz="0" w:space="0" w:color="auto"/>
      </w:divBdr>
    </w:div>
    <w:div w:id="2033336478">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36685163">
      <w:bodyDiv w:val="1"/>
      <w:marLeft w:val="0"/>
      <w:marRight w:val="0"/>
      <w:marTop w:val="0"/>
      <w:marBottom w:val="0"/>
      <w:divBdr>
        <w:top w:val="none" w:sz="0" w:space="0" w:color="auto"/>
        <w:left w:val="none" w:sz="0" w:space="0" w:color="auto"/>
        <w:bottom w:val="none" w:sz="0" w:space="0" w:color="auto"/>
        <w:right w:val="none" w:sz="0" w:space="0" w:color="auto"/>
      </w:divBdr>
    </w:div>
    <w:div w:id="2037847982">
      <w:bodyDiv w:val="1"/>
      <w:marLeft w:val="0"/>
      <w:marRight w:val="0"/>
      <w:marTop w:val="0"/>
      <w:marBottom w:val="0"/>
      <w:divBdr>
        <w:top w:val="none" w:sz="0" w:space="0" w:color="auto"/>
        <w:left w:val="none" w:sz="0" w:space="0" w:color="auto"/>
        <w:bottom w:val="none" w:sz="0" w:space="0" w:color="auto"/>
        <w:right w:val="none" w:sz="0" w:space="0" w:color="auto"/>
      </w:divBdr>
    </w:div>
    <w:div w:id="2039772617">
      <w:bodyDiv w:val="1"/>
      <w:marLeft w:val="0"/>
      <w:marRight w:val="0"/>
      <w:marTop w:val="0"/>
      <w:marBottom w:val="0"/>
      <w:divBdr>
        <w:top w:val="none" w:sz="0" w:space="0" w:color="auto"/>
        <w:left w:val="none" w:sz="0" w:space="0" w:color="auto"/>
        <w:bottom w:val="none" w:sz="0" w:space="0" w:color="auto"/>
        <w:right w:val="none" w:sz="0" w:space="0" w:color="auto"/>
      </w:divBdr>
    </w:div>
    <w:div w:id="2039813850">
      <w:bodyDiv w:val="1"/>
      <w:marLeft w:val="0"/>
      <w:marRight w:val="0"/>
      <w:marTop w:val="0"/>
      <w:marBottom w:val="0"/>
      <w:divBdr>
        <w:top w:val="none" w:sz="0" w:space="0" w:color="auto"/>
        <w:left w:val="none" w:sz="0" w:space="0" w:color="auto"/>
        <w:bottom w:val="none" w:sz="0" w:space="0" w:color="auto"/>
        <w:right w:val="none" w:sz="0" w:space="0" w:color="auto"/>
      </w:divBdr>
    </w:div>
    <w:div w:id="2040936971">
      <w:bodyDiv w:val="1"/>
      <w:marLeft w:val="0"/>
      <w:marRight w:val="0"/>
      <w:marTop w:val="0"/>
      <w:marBottom w:val="0"/>
      <w:divBdr>
        <w:top w:val="none" w:sz="0" w:space="0" w:color="auto"/>
        <w:left w:val="none" w:sz="0" w:space="0" w:color="auto"/>
        <w:bottom w:val="none" w:sz="0" w:space="0" w:color="auto"/>
        <w:right w:val="none" w:sz="0" w:space="0" w:color="auto"/>
      </w:divBdr>
    </w:div>
    <w:div w:id="2041587701">
      <w:bodyDiv w:val="1"/>
      <w:marLeft w:val="0"/>
      <w:marRight w:val="0"/>
      <w:marTop w:val="0"/>
      <w:marBottom w:val="0"/>
      <w:divBdr>
        <w:top w:val="none" w:sz="0" w:space="0" w:color="auto"/>
        <w:left w:val="none" w:sz="0" w:space="0" w:color="auto"/>
        <w:bottom w:val="none" w:sz="0" w:space="0" w:color="auto"/>
        <w:right w:val="none" w:sz="0" w:space="0" w:color="auto"/>
      </w:divBdr>
    </w:div>
    <w:div w:id="2057702754">
      <w:bodyDiv w:val="1"/>
      <w:marLeft w:val="0"/>
      <w:marRight w:val="0"/>
      <w:marTop w:val="0"/>
      <w:marBottom w:val="0"/>
      <w:divBdr>
        <w:top w:val="none" w:sz="0" w:space="0" w:color="auto"/>
        <w:left w:val="none" w:sz="0" w:space="0" w:color="auto"/>
        <w:bottom w:val="none" w:sz="0" w:space="0" w:color="auto"/>
        <w:right w:val="none" w:sz="0" w:space="0" w:color="auto"/>
      </w:divBdr>
    </w:div>
    <w:div w:id="2061975969">
      <w:bodyDiv w:val="1"/>
      <w:marLeft w:val="0"/>
      <w:marRight w:val="0"/>
      <w:marTop w:val="0"/>
      <w:marBottom w:val="0"/>
      <w:divBdr>
        <w:top w:val="none" w:sz="0" w:space="0" w:color="auto"/>
        <w:left w:val="none" w:sz="0" w:space="0" w:color="auto"/>
        <w:bottom w:val="none" w:sz="0" w:space="0" w:color="auto"/>
        <w:right w:val="none" w:sz="0" w:space="0" w:color="auto"/>
      </w:divBdr>
    </w:div>
    <w:div w:id="2065326363">
      <w:bodyDiv w:val="1"/>
      <w:marLeft w:val="0"/>
      <w:marRight w:val="0"/>
      <w:marTop w:val="0"/>
      <w:marBottom w:val="0"/>
      <w:divBdr>
        <w:top w:val="none" w:sz="0" w:space="0" w:color="auto"/>
        <w:left w:val="none" w:sz="0" w:space="0" w:color="auto"/>
        <w:bottom w:val="none" w:sz="0" w:space="0" w:color="auto"/>
        <w:right w:val="none" w:sz="0" w:space="0" w:color="auto"/>
      </w:divBdr>
    </w:div>
    <w:div w:id="2065371333">
      <w:bodyDiv w:val="1"/>
      <w:marLeft w:val="0"/>
      <w:marRight w:val="0"/>
      <w:marTop w:val="0"/>
      <w:marBottom w:val="0"/>
      <w:divBdr>
        <w:top w:val="none" w:sz="0" w:space="0" w:color="auto"/>
        <w:left w:val="none" w:sz="0" w:space="0" w:color="auto"/>
        <w:bottom w:val="none" w:sz="0" w:space="0" w:color="auto"/>
        <w:right w:val="none" w:sz="0" w:space="0" w:color="auto"/>
      </w:divBdr>
    </w:div>
    <w:div w:id="2066222323">
      <w:bodyDiv w:val="1"/>
      <w:marLeft w:val="0"/>
      <w:marRight w:val="0"/>
      <w:marTop w:val="0"/>
      <w:marBottom w:val="0"/>
      <w:divBdr>
        <w:top w:val="none" w:sz="0" w:space="0" w:color="auto"/>
        <w:left w:val="none" w:sz="0" w:space="0" w:color="auto"/>
        <w:bottom w:val="none" w:sz="0" w:space="0" w:color="auto"/>
        <w:right w:val="none" w:sz="0" w:space="0" w:color="auto"/>
      </w:divBdr>
    </w:div>
    <w:div w:id="2072262594">
      <w:bodyDiv w:val="1"/>
      <w:marLeft w:val="0"/>
      <w:marRight w:val="0"/>
      <w:marTop w:val="0"/>
      <w:marBottom w:val="0"/>
      <w:divBdr>
        <w:top w:val="none" w:sz="0" w:space="0" w:color="auto"/>
        <w:left w:val="none" w:sz="0" w:space="0" w:color="auto"/>
        <w:bottom w:val="none" w:sz="0" w:space="0" w:color="auto"/>
        <w:right w:val="none" w:sz="0" w:space="0" w:color="auto"/>
      </w:divBdr>
    </w:div>
    <w:div w:id="2077044585">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086610267">
      <w:bodyDiv w:val="1"/>
      <w:marLeft w:val="0"/>
      <w:marRight w:val="0"/>
      <w:marTop w:val="0"/>
      <w:marBottom w:val="0"/>
      <w:divBdr>
        <w:top w:val="none" w:sz="0" w:space="0" w:color="auto"/>
        <w:left w:val="none" w:sz="0" w:space="0" w:color="auto"/>
        <w:bottom w:val="none" w:sz="0" w:space="0" w:color="auto"/>
        <w:right w:val="none" w:sz="0" w:space="0" w:color="auto"/>
      </w:divBdr>
    </w:div>
    <w:div w:id="2099866054">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27044718">
      <w:bodyDiv w:val="1"/>
      <w:marLeft w:val="0"/>
      <w:marRight w:val="0"/>
      <w:marTop w:val="0"/>
      <w:marBottom w:val="0"/>
      <w:divBdr>
        <w:top w:val="none" w:sz="0" w:space="0" w:color="auto"/>
        <w:left w:val="none" w:sz="0" w:space="0" w:color="auto"/>
        <w:bottom w:val="none" w:sz="0" w:space="0" w:color="auto"/>
        <w:right w:val="none" w:sz="0" w:space="0" w:color="auto"/>
      </w:divBdr>
    </w:div>
    <w:div w:id="2131625868">
      <w:bodyDiv w:val="1"/>
      <w:marLeft w:val="0"/>
      <w:marRight w:val="0"/>
      <w:marTop w:val="0"/>
      <w:marBottom w:val="0"/>
      <w:divBdr>
        <w:top w:val="none" w:sz="0" w:space="0" w:color="auto"/>
        <w:left w:val="none" w:sz="0" w:space="0" w:color="auto"/>
        <w:bottom w:val="none" w:sz="0" w:space="0" w:color="auto"/>
        <w:right w:val="none" w:sz="0" w:space="0" w:color="auto"/>
      </w:divBdr>
    </w:div>
    <w:div w:id="2135055361">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 w:id="2143037559">
      <w:bodyDiv w:val="1"/>
      <w:marLeft w:val="0"/>
      <w:marRight w:val="0"/>
      <w:marTop w:val="0"/>
      <w:marBottom w:val="0"/>
      <w:divBdr>
        <w:top w:val="none" w:sz="0" w:space="0" w:color="auto"/>
        <w:left w:val="none" w:sz="0" w:space="0" w:color="auto"/>
        <w:bottom w:val="none" w:sz="0" w:space="0" w:color="auto"/>
        <w:right w:val="none" w:sz="0" w:space="0" w:color="auto"/>
      </w:divBdr>
    </w:div>
    <w:div w:id="2145731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review-of-part-5-of-the-disability-act-200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596A-33A7-439B-B1EE-FEDA55E3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12541</Words>
  <Characters>71488</Characters>
  <Application>Microsoft Office Word</Application>
  <DocSecurity>4</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83862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2022-11-30T15:08:00Z</cp:lastPrinted>
  <dcterms:created xsi:type="dcterms:W3CDTF">2026-01-23T17:09:00Z</dcterms:created>
  <dcterms:modified xsi:type="dcterms:W3CDTF">2026-01-23T17:09:00Z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-2094557482</vt:i4>
  </property>
</Properties>
</file>