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A489" w14:textId="06269F65" w:rsidR="00B74954" w:rsidRDefault="00B74954">
      <w:r>
        <w:fldChar w:fldCharType="begin"/>
      </w:r>
      <w:r>
        <w:instrText xml:space="preserve"> DATE  \@ "dd MMMM yyyy"  \* MERGEFORMAT </w:instrText>
      </w:r>
      <w:r>
        <w:fldChar w:fldCharType="separate"/>
      </w:r>
      <w:r w:rsidR="002475E5">
        <w:rPr>
          <w:noProof/>
        </w:rPr>
        <w:t>14 July 2023</w:t>
      </w:r>
      <w:r>
        <w:fldChar w:fldCharType="end"/>
      </w:r>
    </w:p>
    <w:p w14:paraId="7FB92C19" w14:textId="77777777" w:rsidR="00373D83" w:rsidRDefault="00B74954" w:rsidP="00373D83">
      <w:pPr>
        <w:pStyle w:val="Heading1"/>
        <w:shd w:val="clear" w:color="auto" w:fill="FFFFFF"/>
        <w:spacing w:before="120" w:after="150" w:line="525" w:lineRule="atLeast"/>
        <w:rPr>
          <w:rFonts w:ascii="Gill Sans MT" w:hAnsi="Gill Sans MT" w:cs="Open Sans"/>
        </w:rPr>
      </w:pPr>
      <w:r>
        <w:t>Subject</w:t>
      </w:r>
      <w:r w:rsidRPr="00373D83">
        <w:rPr>
          <w:rFonts w:ascii="Gill Sans MT" w:hAnsi="Gill Sans MT"/>
        </w:rPr>
        <w:t xml:space="preserve">: </w:t>
      </w:r>
      <w:r w:rsidR="00373D83" w:rsidRPr="00373D83">
        <w:rPr>
          <w:rFonts w:ascii="Gill Sans MT" w:hAnsi="Gill Sans MT" w:cs="Open Sans"/>
        </w:rPr>
        <w:t>Public consultations on the Third National Strategy on Domestic, Sexual and Gender-based violence</w:t>
      </w:r>
    </w:p>
    <w:p w14:paraId="3E3E7314" w14:textId="77777777" w:rsidR="00373D83" w:rsidRDefault="00373D83" w:rsidP="00373D83">
      <w:pPr>
        <w:rPr>
          <w:szCs w:val="26"/>
        </w:rPr>
      </w:pPr>
      <w:r w:rsidRPr="00B747C8">
        <w:rPr>
          <w:szCs w:val="26"/>
        </w:rPr>
        <w:t>The National Disability Authority (NDA) is the independent statutory body with a duty to provide information and advice to the Government on policy and practice relevant to the lives of persons with disabilities, and to promote Universal Design.</w:t>
      </w:r>
      <w:r>
        <w:rPr>
          <w:szCs w:val="26"/>
        </w:rPr>
        <w:t xml:space="preserve"> </w:t>
      </w:r>
    </w:p>
    <w:p w14:paraId="7CD193AA" w14:textId="77777777" w:rsidR="00D85AFD" w:rsidRDefault="00D85AFD" w:rsidP="00D85AFD">
      <w:r>
        <w:rPr>
          <w:szCs w:val="26"/>
        </w:rPr>
        <w:t xml:space="preserve">The NDA </w:t>
      </w:r>
      <w:r>
        <w:t xml:space="preserve">worked closely with </w:t>
      </w:r>
      <w:proofErr w:type="spellStart"/>
      <w:r>
        <w:t>Cosc</w:t>
      </w:r>
      <w:proofErr w:type="spellEnd"/>
      <w:r>
        <w:t xml:space="preserve"> in the Department of Justice in developing the previous Strategies and reviews of same, and</w:t>
      </w:r>
      <w:r>
        <w:rPr>
          <w:szCs w:val="26"/>
        </w:rPr>
        <w:t xml:space="preserve"> sat on the Monitoring Committee for the </w:t>
      </w:r>
      <w:r w:rsidR="007E4D84">
        <w:rPr>
          <w:szCs w:val="26"/>
        </w:rPr>
        <w:t xml:space="preserve">Second </w:t>
      </w:r>
      <w:r>
        <w:t xml:space="preserve">National Strategy on Domestic, Sexual and Gender-based Violence 2016-2021. </w:t>
      </w:r>
      <w:r w:rsidR="00055F34">
        <w:t>We look forward to seeing the review and evaluation of the Second Strategy and w</w:t>
      </w:r>
      <w:r>
        <w:t>e welcome this opportunity to share our thoughts for the Third National Strategy.</w:t>
      </w:r>
    </w:p>
    <w:p w14:paraId="0F1AD2F4" w14:textId="781C63F1" w:rsidR="00474063" w:rsidRDefault="00474063" w:rsidP="00474063">
      <w:pPr>
        <w:rPr>
          <w:szCs w:val="26"/>
        </w:rPr>
      </w:pPr>
      <w:r w:rsidRPr="00B747C8">
        <w:rPr>
          <w:szCs w:val="26"/>
        </w:rPr>
        <w:t xml:space="preserve">The comments and advice below address issues related to </w:t>
      </w:r>
      <w:r w:rsidR="00DA71B6">
        <w:rPr>
          <w:szCs w:val="26"/>
        </w:rPr>
        <w:t xml:space="preserve">a </w:t>
      </w:r>
      <w:r w:rsidR="00CE0947">
        <w:rPr>
          <w:szCs w:val="26"/>
        </w:rPr>
        <w:t>successor Strategy</w:t>
      </w:r>
      <w:r w:rsidR="008A73B1">
        <w:rPr>
          <w:szCs w:val="26"/>
        </w:rPr>
        <w:t xml:space="preserve">, </w:t>
      </w:r>
      <w:r w:rsidRPr="00B747C8">
        <w:rPr>
          <w:szCs w:val="26"/>
        </w:rPr>
        <w:t>which fall within the NDA’s competencies and expertise.</w:t>
      </w:r>
    </w:p>
    <w:p w14:paraId="41B4C5FA" w14:textId="77777777" w:rsidR="0017712F" w:rsidRPr="00AA6C80" w:rsidRDefault="0017712F" w:rsidP="0017712F">
      <w:pPr>
        <w:pStyle w:val="Heading2"/>
        <w:rPr>
          <w:rFonts w:ascii="Gill Sans MT" w:hAnsi="Gill Sans MT"/>
        </w:rPr>
      </w:pPr>
      <w:r w:rsidRPr="00AA6C80">
        <w:rPr>
          <w:rFonts w:ascii="Gill Sans MT" w:hAnsi="Gill Sans MT"/>
        </w:rPr>
        <w:t xml:space="preserve">UN Convention on the Rights of Persons with Disabilities </w:t>
      </w:r>
    </w:p>
    <w:p w14:paraId="4F1BEDDF" w14:textId="77777777" w:rsidR="0017712F" w:rsidRDefault="0017712F" w:rsidP="0017712F">
      <w:r>
        <w:t>Ireland ratified the UN Convention on the Rights of Persons with Disabilities (UNCRPD) in March 2018 and is due to submit its initial State Report to the Committee on the Rights of Persons with Disabilities in Q3 2021. The UNCRPD provides the framework to promote, protect and ensure the rights of all persons with disabilities and promotes equal rights in all areas of life. Article 16 of the UNCRPD focuses on freedom from exploitation, violence and abuse and obliges States Parties to take all appropriate legislative, administrative, social, educational and other measures to protect persons with disabilities, both within and outside the home, from all forms of exploitation, violence and abuse, including their gender-based aspects.</w:t>
      </w:r>
    </w:p>
    <w:p w14:paraId="7D816CFC" w14:textId="77777777" w:rsidR="0017712F" w:rsidRDefault="0017712F" w:rsidP="0017712F">
      <w:r>
        <w:t xml:space="preserve">States Parties shall also take all appropriate measures to prevent all forms of exploitation, violence and abuse by ensuring appropriate forms of gender- and age-sensitive assistance and support for persons with disabilities and their families and caregivers, including through the provision of information and education on how to avoid, recognise and report instances of exploitation, violence and abuse. </w:t>
      </w:r>
    </w:p>
    <w:p w14:paraId="693EEBBE" w14:textId="77777777" w:rsidR="0017712F" w:rsidRDefault="0017712F" w:rsidP="0017712F">
      <w:r>
        <w:lastRenderedPageBreak/>
        <w:t>Under the Convention, States Parties should also:</w:t>
      </w:r>
    </w:p>
    <w:p w14:paraId="2DE6BCF4" w14:textId="77777777" w:rsidR="0017712F" w:rsidRDefault="0017712F" w:rsidP="0017712F">
      <w:pPr>
        <w:pStyle w:val="ListBullet"/>
      </w:pPr>
      <w:r>
        <w:t>Ensure that all facilities and programmes designed to serve persons with disabilities are effectively monitored by independent authorities, so as to prevent exploitation, violence and abuse</w:t>
      </w:r>
    </w:p>
    <w:p w14:paraId="07EBA9D2" w14:textId="77777777" w:rsidR="0017712F" w:rsidRDefault="0017712F" w:rsidP="0017712F">
      <w:pPr>
        <w:pStyle w:val="ListBullet"/>
      </w:pPr>
      <w:r>
        <w:t>Promote the physical, cognitive and psychological recovery, rehabilitation and social reintegration of persons with disabilities who become victims of any form of exploitation, violence or abuse</w:t>
      </w:r>
    </w:p>
    <w:p w14:paraId="76DE9435" w14:textId="77777777" w:rsidR="0017712F" w:rsidRDefault="0017712F" w:rsidP="0017712F">
      <w:pPr>
        <w:pStyle w:val="ListBullet"/>
      </w:pPr>
      <w:r>
        <w:t>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53E8BAED" w14:textId="77777777" w:rsidR="0017712F" w:rsidRDefault="0017712F" w:rsidP="0017712F">
      <w:pPr>
        <w:pStyle w:val="ListBullet"/>
        <w:numPr>
          <w:ilvl w:val="0"/>
          <w:numId w:val="0"/>
        </w:numPr>
      </w:pPr>
      <w:r>
        <w:t>While noting that domestic, sexual and gender-based violence can be carried out against men, the NDA recognises that the majority of victims of such crimes are women. In this case, Article 6 of the UNCRPD also applies.</w:t>
      </w:r>
    </w:p>
    <w:p w14:paraId="2257F1BD" w14:textId="77777777" w:rsidR="0017712F" w:rsidRDefault="0017712F" w:rsidP="0017712F">
      <w:pPr>
        <w:pStyle w:val="ListBullet"/>
        <w:numPr>
          <w:ilvl w:val="0"/>
          <w:numId w:val="0"/>
        </w:numPr>
      </w:pPr>
      <w:r>
        <w:t xml:space="preserve">Article 6 seeks to ensure the protection and promotion of rights of women with disabilities, and obliges States Parties to ensure the development, advancement and empowerment of women. The Convention also recognises the intersectional experiences of women, and that they may suffer multiple discriminations by virtue of their gender and disability, as well as other identities they may have. </w:t>
      </w:r>
    </w:p>
    <w:p w14:paraId="22E198C2" w14:textId="0B1326AC" w:rsidR="0017712F" w:rsidRDefault="0017712F" w:rsidP="0017712F">
      <w:pPr>
        <w:pStyle w:val="ListBullet"/>
        <w:numPr>
          <w:ilvl w:val="0"/>
          <w:numId w:val="0"/>
        </w:numPr>
      </w:pPr>
      <w:r>
        <w:t xml:space="preserve">It is important that the </w:t>
      </w:r>
      <w:r w:rsidR="00C91AEA">
        <w:t xml:space="preserve">Third National Strategy on Domestic, Sexual and Gender-based Violence </w:t>
      </w:r>
      <w:r>
        <w:t xml:space="preserve">Strategy has due regard to other existing Strategies and Conventions, in order to promote the streamlining of similar obligations and objectives. The NDA advises that the </w:t>
      </w:r>
      <w:r w:rsidR="00C91AEA">
        <w:t xml:space="preserve">drafting </w:t>
      </w:r>
      <w:r>
        <w:t xml:space="preserve">of the Strategy </w:t>
      </w:r>
      <w:r w:rsidR="00C91AEA">
        <w:t xml:space="preserve">is progressed in the context of </w:t>
      </w:r>
      <w:r>
        <w:t xml:space="preserve">the UNCRPD, in order to consider the relevant obligations of the various stakeholders/audiences, and to emphasise the importance of these obligations in the final Strategy. </w:t>
      </w:r>
    </w:p>
    <w:p w14:paraId="43AE0DB0" w14:textId="77777777" w:rsidR="0017712F" w:rsidRPr="00AA6C80" w:rsidRDefault="0017712F" w:rsidP="0017712F">
      <w:pPr>
        <w:pStyle w:val="Heading2"/>
        <w:rPr>
          <w:rFonts w:ascii="Gill Sans MT" w:hAnsi="Gill Sans MT"/>
        </w:rPr>
      </w:pPr>
      <w:r w:rsidRPr="00AA6C80">
        <w:rPr>
          <w:rFonts w:ascii="Gill Sans MT" w:hAnsi="Gill Sans MT"/>
        </w:rPr>
        <w:t xml:space="preserve">Istanbul Convention </w:t>
      </w:r>
      <w:r w:rsidRPr="00AA6C80">
        <w:rPr>
          <w:rFonts w:ascii="Gill Sans MT" w:hAnsi="Gill Sans MT"/>
          <w:shd w:val="clear" w:color="auto" w:fill="FFFFFF"/>
        </w:rPr>
        <w:t>on preventing and combating violence against women and domestic violence</w:t>
      </w:r>
    </w:p>
    <w:p w14:paraId="074FF028" w14:textId="7971A076" w:rsidR="0017712F" w:rsidRDefault="0017712F" w:rsidP="0017712F">
      <w:pPr>
        <w:rPr>
          <w:sz w:val="24"/>
        </w:rPr>
      </w:pPr>
      <w:r>
        <w:rPr>
          <w:shd w:val="clear" w:color="auto" w:fill="FFFFFF"/>
        </w:rPr>
        <w:t xml:space="preserve">The </w:t>
      </w:r>
      <w:r w:rsidRPr="00A2777F">
        <w:rPr>
          <w:rFonts w:ascii="Gill Sans MT" w:hAnsi="Gill Sans MT"/>
          <w:shd w:val="clear" w:color="auto" w:fill="FFFFFF"/>
        </w:rPr>
        <w:t>Istanbul Convention on preventing and combating violence against women and domestic violence, ratified</w:t>
      </w:r>
      <w:r w:rsidRPr="00A2777F">
        <w:rPr>
          <w:shd w:val="clear" w:color="auto" w:fill="FFFFFF"/>
        </w:rPr>
        <w:t xml:space="preserve"> </w:t>
      </w:r>
      <w:r>
        <w:rPr>
          <w:shd w:val="clear" w:color="auto" w:fill="FFFFFF"/>
        </w:rPr>
        <w:t>by Ireland in 2019, has due regard to the UNCRPD. It states that t</w:t>
      </w:r>
      <w:r>
        <w:t>he implementation of the provisions of this Convention</w:t>
      </w:r>
      <w:r w:rsidR="00C91AEA">
        <w:t>,</w:t>
      </w:r>
      <w:r>
        <w:t xml:space="preserve"> in particular measures to protect the rights of victims, shall be secured without discrimination on any ground such as disability.</w:t>
      </w:r>
    </w:p>
    <w:p w14:paraId="131B873A" w14:textId="1DB90EE5" w:rsidR="00373D83" w:rsidRPr="00AA6C80" w:rsidRDefault="00864287" w:rsidP="00373D83">
      <w:pPr>
        <w:pStyle w:val="Heading2"/>
        <w:rPr>
          <w:rFonts w:ascii="Gill Sans MT" w:hAnsi="Gill Sans MT"/>
        </w:rPr>
      </w:pPr>
      <w:r>
        <w:rPr>
          <w:rFonts w:ascii="Gill Sans MT" w:hAnsi="Gill Sans MT"/>
        </w:rPr>
        <w:t>Statistics</w:t>
      </w:r>
      <w:r>
        <w:rPr>
          <w:rStyle w:val="CommentReference"/>
          <w:rFonts w:ascii="Gill Sans" w:hAnsi="Gill Sans" w:cs="Times New Roman"/>
          <w:b w:val="0"/>
          <w:bCs w:val="0"/>
          <w:iCs w:val="0"/>
        </w:rPr>
        <w:t xml:space="preserve"> </w:t>
      </w:r>
      <w:r w:rsidRPr="00AA6C80">
        <w:rPr>
          <w:rFonts w:ascii="Gill Sans MT" w:hAnsi="Gill Sans MT"/>
        </w:rPr>
        <w:t>relating</w:t>
      </w:r>
      <w:r w:rsidR="003A4EF2" w:rsidRPr="00AA6C80">
        <w:rPr>
          <w:rFonts w:ascii="Gill Sans MT" w:hAnsi="Gill Sans MT"/>
        </w:rPr>
        <w:t xml:space="preserve"> to </w:t>
      </w:r>
      <w:r w:rsidR="00373D83" w:rsidRPr="00AA6C80">
        <w:rPr>
          <w:rFonts w:ascii="Gill Sans MT" w:hAnsi="Gill Sans MT"/>
        </w:rPr>
        <w:t>Violence</w:t>
      </w:r>
      <w:r w:rsidR="008A73B1" w:rsidRPr="00AA6C80">
        <w:rPr>
          <w:rFonts w:ascii="Gill Sans MT" w:hAnsi="Gill Sans MT"/>
        </w:rPr>
        <w:t xml:space="preserve"> against Persons with Disabilities</w:t>
      </w:r>
    </w:p>
    <w:p w14:paraId="221F7278" w14:textId="12019D48" w:rsidR="00656BCC" w:rsidRDefault="00373D83" w:rsidP="00373D83">
      <w:r>
        <w:t xml:space="preserve">There is a considerable body of evidence that shows that violence and abuse are serious problems for persons with disabilities, and that they are at greater risk than non-disabled persons. In the case of domestic violence or abuse by an intimate partner, </w:t>
      </w:r>
      <w:r w:rsidR="00DA71B6">
        <w:t>data from the NDA</w:t>
      </w:r>
      <w:r>
        <w:t xml:space="preserve"> show</w:t>
      </w:r>
      <w:r w:rsidR="00DA71B6">
        <w:t>ed</w:t>
      </w:r>
      <w:r>
        <w:t xml:space="preserve"> that adults with certain disabilities were 2.9 times more </w:t>
      </w:r>
      <w:r>
        <w:lastRenderedPageBreak/>
        <w:t>likely to have experienced such abuse than other adults.</w:t>
      </w:r>
      <w:r w:rsidR="00DA71B6" w:rsidRPr="00432376">
        <w:rPr>
          <w:rStyle w:val="FootnoteReference"/>
          <w:sz w:val="22"/>
          <w:szCs w:val="22"/>
        </w:rPr>
        <w:footnoteReference w:id="1"/>
      </w:r>
      <w:r w:rsidRPr="00432376">
        <w:rPr>
          <w:sz w:val="22"/>
          <w:szCs w:val="22"/>
        </w:rPr>
        <w:t xml:space="preserve"> </w:t>
      </w:r>
      <w:r>
        <w:t>Twice as many adults with disabilities had experienced severe abuse compared with other adults. People with disabilities living in residential services may be exposed to higher risks in the absence of appropriate safeguards.</w:t>
      </w:r>
    </w:p>
    <w:p w14:paraId="14F77042" w14:textId="4682044B" w:rsidR="0094372F" w:rsidRDefault="0094372F" w:rsidP="004E72E6">
      <w:pPr>
        <w:rPr>
          <w:lang w:eastAsia="en-IE"/>
        </w:rPr>
      </w:pPr>
      <w:r>
        <w:rPr>
          <w:lang w:eastAsia="en-IE"/>
        </w:rPr>
        <w:t>In 2019, 6%</w:t>
      </w:r>
      <w:r w:rsidR="004B4843">
        <w:rPr>
          <w:lang w:eastAsia="en-IE"/>
        </w:rPr>
        <w:t xml:space="preserve"> (n=67)</w:t>
      </w:r>
      <w:r>
        <w:rPr>
          <w:lang w:eastAsia="en-IE"/>
        </w:rPr>
        <w:t xml:space="preserve"> of survivors attending Rape Crisis Centres</w:t>
      </w:r>
      <w:r w:rsidR="00BE2409">
        <w:rPr>
          <w:lang w:eastAsia="en-IE"/>
        </w:rPr>
        <w:t xml:space="preserve"> (RCCs)</w:t>
      </w:r>
      <w:r>
        <w:rPr>
          <w:lang w:eastAsia="en-IE"/>
        </w:rPr>
        <w:t xml:space="preserve"> in Ireland for counselling and support had a disability of some kind.</w:t>
      </w:r>
      <w:r w:rsidR="00432376" w:rsidRPr="00432376">
        <w:rPr>
          <w:rStyle w:val="FootnoteReference"/>
          <w:sz w:val="22"/>
          <w:szCs w:val="22"/>
          <w:lang w:eastAsia="en-IE"/>
        </w:rPr>
        <w:footnoteReference w:id="2"/>
      </w:r>
      <w:r w:rsidRPr="00432376">
        <w:rPr>
          <w:sz w:val="22"/>
          <w:szCs w:val="22"/>
          <w:lang w:eastAsia="en-IE"/>
        </w:rPr>
        <w:t xml:space="preserve"> </w:t>
      </w:r>
      <w:r>
        <w:rPr>
          <w:lang w:eastAsia="en-IE"/>
        </w:rPr>
        <w:t>Of these, chronic illness was the most commonly disclosed disability</w:t>
      </w:r>
      <w:r w:rsidR="009C78F0">
        <w:rPr>
          <w:lang w:eastAsia="en-IE"/>
        </w:rPr>
        <w:t xml:space="preserve"> </w:t>
      </w:r>
      <w:r>
        <w:rPr>
          <w:lang w:eastAsia="en-IE"/>
        </w:rPr>
        <w:t xml:space="preserve">(33%), followed by a learning disability (19%), an intellectual disability (15%), a physical disability (15%), hard of hearing/deaf (10%), visually impaired/blind (10%), and wheelchair users (8%). </w:t>
      </w:r>
      <w:r w:rsidR="00BE2409">
        <w:rPr>
          <w:lang w:eastAsia="en-IE"/>
        </w:rPr>
        <w:t>Rape Crisis Network Ireland</w:t>
      </w:r>
      <w:r>
        <w:rPr>
          <w:lang w:eastAsia="en-IE"/>
        </w:rPr>
        <w:t xml:space="preserve"> reported some key points about this group (albeit with a caveat that the numbers are small):</w:t>
      </w:r>
    </w:p>
    <w:p w14:paraId="739A60ED" w14:textId="5F7D223C" w:rsidR="0094372F" w:rsidRDefault="0094372F" w:rsidP="00432376">
      <w:pPr>
        <w:pStyle w:val="ListBullet"/>
        <w:rPr>
          <w:lang w:eastAsia="en-IE"/>
        </w:rPr>
      </w:pPr>
      <w:r>
        <w:rPr>
          <w:lang w:eastAsia="en-IE"/>
        </w:rPr>
        <w:t>The majority of survivors with disabilities attending RCCs were female</w:t>
      </w:r>
    </w:p>
    <w:p w14:paraId="048552D8" w14:textId="5E9736BB" w:rsidR="0094372F" w:rsidRDefault="0094372F" w:rsidP="00432376">
      <w:pPr>
        <w:pStyle w:val="ListBullet"/>
        <w:rPr>
          <w:lang w:eastAsia="en-IE"/>
        </w:rPr>
      </w:pPr>
      <w:r>
        <w:rPr>
          <w:lang w:eastAsia="en-IE"/>
        </w:rPr>
        <w:t>There was a spread of age groups, with the highest numb</w:t>
      </w:r>
      <w:r w:rsidR="004B4843">
        <w:rPr>
          <w:lang w:eastAsia="en-IE"/>
        </w:rPr>
        <w:t>er being in the 20-29 age group</w:t>
      </w:r>
    </w:p>
    <w:p w14:paraId="09C7EDEE" w14:textId="6A1B8317" w:rsidR="0094372F" w:rsidRDefault="0094372F" w:rsidP="00432376">
      <w:pPr>
        <w:pStyle w:val="ListBullet"/>
        <w:rPr>
          <w:lang w:eastAsia="en-IE"/>
        </w:rPr>
      </w:pPr>
      <w:r>
        <w:rPr>
          <w:lang w:eastAsia="en-IE"/>
        </w:rPr>
        <w:t>The majority were living with parents or living in public rented/supplemented homes</w:t>
      </w:r>
    </w:p>
    <w:p w14:paraId="55FF858C" w14:textId="3C80FD6C" w:rsidR="0094372F" w:rsidRDefault="0094372F" w:rsidP="00432376">
      <w:pPr>
        <w:pStyle w:val="ListBullet"/>
        <w:rPr>
          <w:lang w:eastAsia="en-IE"/>
        </w:rPr>
      </w:pPr>
      <w:r>
        <w:rPr>
          <w:lang w:eastAsia="en-IE"/>
        </w:rPr>
        <w:t>Perpetrators of sexual violence against people with a disability were most commonl</w:t>
      </w:r>
      <w:r w:rsidR="004B4843">
        <w:rPr>
          <w:lang w:eastAsia="en-IE"/>
        </w:rPr>
        <w:t>y within their circle of trust</w:t>
      </w:r>
    </w:p>
    <w:p w14:paraId="46B32DA4" w14:textId="3B86D993" w:rsidR="0094372F" w:rsidRDefault="0094372F" w:rsidP="00432376">
      <w:pPr>
        <w:pStyle w:val="ListBullet"/>
        <w:rPr>
          <w:lang w:eastAsia="en-IE"/>
        </w:rPr>
      </w:pPr>
      <w:r>
        <w:rPr>
          <w:lang w:eastAsia="en-IE"/>
        </w:rPr>
        <w:t>The sexual violence was usually perpetrated within the survivor</w:t>
      </w:r>
      <w:r>
        <w:rPr>
          <w:rFonts w:hint="eastAsia"/>
          <w:lang w:eastAsia="en-IE"/>
        </w:rPr>
        <w:t>’</w:t>
      </w:r>
      <w:r>
        <w:rPr>
          <w:lang w:eastAsia="en-IE"/>
        </w:rPr>
        <w:t>s or perpetrator</w:t>
      </w:r>
      <w:r>
        <w:rPr>
          <w:rFonts w:hint="eastAsia"/>
          <w:lang w:eastAsia="en-IE"/>
        </w:rPr>
        <w:t>’</w:t>
      </w:r>
      <w:r w:rsidR="004B4843">
        <w:rPr>
          <w:lang w:eastAsia="en-IE"/>
        </w:rPr>
        <w:t>s homes</w:t>
      </w:r>
    </w:p>
    <w:p w14:paraId="62EAC7FD" w14:textId="3F559EDD" w:rsidR="0094372F" w:rsidRDefault="0094372F" w:rsidP="00432376">
      <w:pPr>
        <w:pStyle w:val="ListBullet"/>
        <w:rPr>
          <w:lang w:eastAsia="en-IE"/>
        </w:rPr>
      </w:pPr>
      <w:r>
        <w:rPr>
          <w:lang w:eastAsia="en-IE"/>
        </w:rPr>
        <w:t xml:space="preserve">The majority were subjected to one incident of sexual violence </w:t>
      </w:r>
    </w:p>
    <w:p w14:paraId="54C79D6C" w14:textId="52BC628B" w:rsidR="0094372F" w:rsidRDefault="0094372F" w:rsidP="00432376">
      <w:pPr>
        <w:pStyle w:val="ListBullet"/>
        <w:rPr>
          <w:lang w:eastAsia="en-IE"/>
        </w:rPr>
      </w:pPr>
      <w:r>
        <w:rPr>
          <w:lang w:eastAsia="en-IE"/>
        </w:rPr>
        <w:t>There was a fairly even mix disclosing child sexual violence and adult sexual violence</w:t>
      </w:r>
    </w:p>
    <w:p w14:paraId="180B9F89" w14:textId="7082018A" w:rsidR="00A2777F" w:rsidRPr="00A2777F" w:rsidRDefault="004B4843" w:rsidP="00432376">
      <w:pPr>
        <w:rPr>
          <w:rFonts w:ascii="Gill Sans MT" w:hAnsi="Gill Sans MT" w:cs="Arial"/>
          <w:color w:val="000000"/>
          <w:szCs w:val="26"/>
          <w:lang w:eastAsia="en-IE"/>
        </w:rPr>
      </w:pPr>
      <w:r>
        <w:rPr>
          <w:lang w:eastAsia="en-IE"/>
        </w:rPr>
        <w:t xml:space="preserve">In previous </w:t>
      </w:r>
      <w:r w:rsidRPr="00A2777F">
        <w:rPr>
          <w:lang w:eastAsia="en-IE"/>
        </w:rPr>
        <w:t xml:space="preserve">research funded by the </w:t>
      </w:r>
      <w:r w:rsidR="00BE2409">
        <w:rPr>
          <w:lang w:eastAsia="en-IE"/>
        </w:rPr>
        <w:t>NDA</w:t>
      </w:r>
      <w:r w:rsidRPr="00A2777F">
        <w:rPr>
          <w:lang w:eastAsia="en-IE"/>
        </w:rPr>
        <w:t xml:space="preserve"> (</w:t>
      </w:r>
      <w:r w:rsidRPr="00A2777F">
        <w:t xml:space="preserve">Sexual Violence </w:t>
      </w:r>
      <w:r w:rsidRPr="00A2777F">
        <w:rPr>
          <w:rFonts w:ascii="Gill Sans MT" w:hAnsi="Gill Sans MT"/>
          <w:szCs w:val="26"/>
        </w:rPr>
        <w:t>Against People with Disabilities: Data collection an</w:t>
      </w:r>
      <w:r>
        <w:rPr>
          <w:rFonts w:ascii="Gill Sans MT" w:hAnsi="Gill Sans MT"/>
          <w:szCs w:val="26"/>
        </w:rPr>
        <w:t xml:space="preserve">d barriers to disclosure, 2011), </w:t>
      </w:r>
      <w:r w:rsidR="005C57C3" w:rsidRPr="00A2777F">
        <w:rPr>
          <w:lang w:eastAsia="en-IE"/>
        </w:rPr>
        <w:t xml:space="preserve">197 persons with disabilities attended </w:t>
      </w:r>
      <w:r w:rsidR="00BE2409">
        <w:rPr>
          <w:lang w:eastAsia="en-IE"/>
        </w:rPr>
        <w:t>RCCs</w:t>
      </w:r>
      <w:r w:rsidR="005C57C3">
        <w:rPr>
          <w:lang w:eastAsia="en-IE"/>
        </w:rPr>
        <w:t xml:space="preserve"> between </w:t>
      </w:r>
      <w:r w:rsidR="00656BCC" w:rsidRPr="00A2777F">
        <w:rPr>
          <w:lang w:eastAsia="en-IE"/>
        </w:rPr>
        <w:t>2008 and 2010</w:t>
      </w:r>
      <w:r w:rsidR="005C57C3">
        <w:rPr>
          <w:lang w:eastAsia="en-IE"/>
        </w:rPr>
        <w:t>.</w:t>
      </w:r>
      <w:r w:rsidR="005C57C3">
        <w:rPr>
          <w:rFonts w:ascii="Gill Sans MT" w:hAnsi="Gill Sans MT" w:cs="Arial"/>
          <w:color w:val="000000"/>
          <w:szCs w:val="26"/>
          <w:lang w:eastAsia="en-IE"/>
        </w:rPr>
        <w:t xml:space="preserve"> </w:t>
      </w:r>
      <w:r w:rsidR="00A2777F" w:rsidRPr="00A2777F">
        <w:rPr>
          <w:rFonts w:ascii="Gill Sans MT" w:hAnsi="Gill Sans MT" w:cs="Arial"/>
          <w:color w:val="000000"/>
          <w:szCs w:val="26"/>
          <w:lang w:eastAsia="en-IE"/>
        </w:rPr>
        <w:t xml:space="preserve">While there were similarities between the details of the sexual violence reported by those with disabilities and by others contacting </w:t>
      </w:r>
      <w:r w:rsidR="00BE2409">
        <w:rPr>
          <w:rFonts w:ascii="Gill Sans MT" w:hAnsi="Gill Sans MT" w:cs="Arial"/>
          <w:color w:val="000000"/>
          <w:szCs w:val="26"/>
          <w:lang w:eastAsia="en-IE"/>
        </w:rPr>
        <w:t>RCCs</w:t>
      </w:r>
      <w:r w:rsidR="00A2777F" w:rsidRPr="00A2777F">
        <w:rPr>
          <w:rFonts w:ascii="Gill Sans MT" w:hAnsi="Gill Sans MT" w:cs="Arial"/>
          <w:color w:val="000000"/>
          <w:szCs w:val="26"/>
          <w:lang w:eastAsia="en-IE"/>
        </w:rPr>
        <w:t xml:space="preserve"> for counselling and support, several clear differences were highlighted: </w:t>
      </w:r>
    </w:p>
    <w:p w14:paraId="10F4013F" w14:textId="201D5BAB" w:rsidR="00A2777F" w:rsidRPr="00A2777F" w:rsidRDefault="00A2777F" w:rsidP="00A2777F">
      <w:pPr>
        <w:numPr>
          <w:ilvl w:val="0"/>
          <w:numId w:val="15"/>
        </w:numPr>
        <w:shd w:val="clear" w:color="auto" w:fill="FFFFFF"/>
        <w:spacing w:after="120"/>
        <w:ind w:left="300"/>
        <w:textAlignment w:val="baseline"/>
        <w:rPr>
          <w:rFonts w:ascii="Gill Sans MT" w:hAnsi="Gill Sans MT" w:cs="Arial"/>
          <w:color w:val="000000"/>
          <w:szCs w:val="26"/>
          <w:lang w:eastAsia="en-IE"/>
        </w:rPr>
      </w:pPr>
      <w:r w:rsidRPr="00A2777F">
        <w:rPr>
          <w:rFonts w:ascii="Gill Sans MT" w:hAnsi="Gill Sans MT" w:cs="Arial"/>
          <w:color w:val="000000"/>
          <w:szCs w:val="26"/>
          <w:lang w:eastAsia="en-IE"/>
        </w:rPr>
        <w:t>Survivors with disabilities were more likely to disclose having been abused solely as adults, and less likely to report having been solely abused as children, than others</w:t>
      </w:r>
    </w:p>
    <w:p w14:paraId="7BE08362" w14:textId="21527B8D" w:rsidR="00A2777F" w:rsidRPr="00A2777F" w:rsidRDefault="00A2777F" w:rsidP="00A2777F">
      <w:pPr>
        <w:numPr>
          <w:ilvl w:val="0"/>
          <w:numId w:val="15"/>
        </w:numPr>
        <w:shd w:val="clear" w:color="auto" w:fill="FFFFFF"/>
        <w:spacing w:after="120"/>
        <w:ind w:left="300"/>
        <w:textAlignment w:val="baseline"/>
        <w:rPr>
          <w:rFonts w:ascii="Gill Sans MT" w:hAnsi="Gill Sans MT" w:cs="Arial"/>
          <w:color w:val="000000"/>
          <w:szCs w:val="26"/>
          <w:lang w:eastAsia="en-IE"/>
        </w:rPr>
      </w:pPr>
      <w:r w:rsidRPr="00A2777F">
        <w:rPr>
          <w:rFonts w:ascii="Gill Sans MT" w:hAnsi="Gill Sans MT" w:cs="Arial"/>
          <w:color w:val="000000"/>
          <w:szCs w:val="26"/>
          <w:lang w:eastAsia="en-IE"/>
        </w:rPr>
        <w:lastRenderedPageBreak/>
        <w:t>Women with disabilities were more vulnerable to sexual violence as they got older, in contrast to other survivors</w:t>
      </w:r>
    </w:p>
    <w:p w14:paraId="6F1D3AF6" w14:textId="745A8E2F" w:rsidR="00A2777F" w:rsidRPr="00A2777F" w:rsidRDefault="00A2777F" w:rsidP="006325D4">
      <w:pPr>
        <w:numPr>
          <w:ilvl w:val="0"/>
          <w:numId w:val="15"/>
        </w:numPr>
        <w:shd w:val="clear" w:color="auto" w:fill="FFFFFF"/>
        <w:spacing w:after="120"/>
        <w:ind w:left="300"/>
        <w:textAlignment w:val="baseline"/>
      </w:pPr>
      <w:r w:rsidRPr="00A2777F">
        <w:rPr>
          <w:rFonts w:ascii="Gill Sans MT" w:hAnsi="Gill Sans MT" w:cs="Arial"/>
          <w:color w:val="000000"/>
          <w:szCs w:val="26"/>
          <w:lang w:eastAsia="en-IE"/>
        </w:rPr>
        <w:t>Survivors with disabilities were more likely than others to have experienced multiple incidents of sexual violence</w:t>
      </w:r>
    </w:p>
    <w:p w14:paraId="4F6BF304" w14:textId="2EB44C80" w:rsidR="005E0806" w:rsidRDefault="00A2777F" w:rsidP="00A2777F">
      <w:pPr>
        <w:shd w:val="clear" w:color="auto" w:fill="FFFFFF"/>
        <w:spacing w:after="150"/>
        <w:textAlignment w:val="baseline"/>
        <w:rPr>
          <w:rFonts w:ascii="Gill Sans MT" w:hAnsi="Gill Sans MT"/>
          <w:szCs w:val="26"/>
        </w:rPr>
      </w:pPr>
      <w:r w:rsidRPr="00A2777F">
        <w:rPr>
          <w:rFonts w:ascii="Gill Sans MT" w:hAnsi="Gill Sans MT" w:cs="Arial"/>
          <w:color w:val="000000"/>
          <w:szCs w:val="26"/>
          <w:lang w:eastAsia="en-IE"/>
        </w:rPr>
        <w:t>The top barriers to disclosure were fear of being blamed; fear of not being believed; or fear of the legal process. About a quarter</w:t>
      </w:r>
      <w:r>
        <w:rPr>
          <w:rFonts w:ascii="Gill Sans MT" w:hAnsi="Gill Sans MT" w:cs="Arial"/>
          <w:color w:val="000000"/>
          <w:szCs w:val="26"/>
          <w:lang w:eastAsia="en-IE"/>
        </w:rPr>
        <w:t xml:space="preserve"> of respondents with disabilities</w:t>
      </w:r>
      <w:r w:rsidRPr="00A2777F">
        <w:rPr>
          <w:rFonts w:ascii="Gill Sans MT" w:hAnsi="Gill Sans MT" w:cs="Arial"/>
          <w:color w:val="000000"/>
          <w:szCs w:val="26"/>
          <w:lang w:eastAsia="en-IE"/>
        </w:rPr>
        <w:t xml:space="preserve"> mentioned fear of losing support as a factor in not disclosing abuse.</w:t>
      </w:r>
      <w:r w:rsidR="00373D83" w:rsidRPr="00A2777F">
        <w:rPr>
          <w:rFonts w:ascii="Gill Sans MT" w:hAnsi="Gill Sans MT"/>
          <w:szCs w:val="26"/>
        </w:rPr>
        <w:t xml:space="preserve"> </w:t>
      </w:r>
    </w:p>
    <w:p w14:paraId="55E78578" w14:textId="5B322D1D" w:rsidR="00B75020" w:rsidRDefault="00B75020" w:rsidP="00432376">
      <w:r>
        <w:t>In 2020, a national survey on students’ sexual violence and harassment experiences in higher education institutions was conducted by NUI Galway’s Active* Consent Programme in partnership with the Union of Students in Ireland (USI) (</w:t>
      </w:r>
      <w:r w:rsidR="00C83BCD">
        <w:t>NUIG, (2021) Sexual Experiences Survey)</w:t>
      </w:r>
      <w:r>
        <w:t xml:space="preserve">. A total of 6,026 students completed the survey between February and April of 2020. </w:t>
      </w:r>
      <w:r w:rsidR="00C83BCD">
        <w:t>This study found that c</w:t>
      </w:r>
      <w:r>
        <w:t>ompared with students who did not have a disability, students with a disability reported consistently higher rates of negative experiences across all measures of sexual misconduct and harassment by disability.</w:t>
      </w:r>
    </w:p>
    <w:p w14:paraId="364AD4B6" w14:textId="77777777" w:rsidR="00A53B83" w:rsidRPr="00AA6C80" w:rsidRDefault="00A53B83" w:rsidP="00A53B83">
      <w:pPr>
        <w:pStyle w:val="Heading2"/>
        <w:rPr>
          <w:rFonts w:ascii="Gill Sans MT" w:hAnsi="Gill Sans MT"/>
        </w:rPr>
      </w:pPr>
      <w:r w:rsidRPr="00AA6C80">
        <w:rPr>
          <w:rFonts w:ascii="Gill Sans MT" w:hAnsi="Gill Sans MT"/>
        </w:rPr>
        <w:t>Scoping Study to Inform a Survey of Knowledge, Attitudes and Behaviours on Sexual Health and Wellbeing and Crisis Pregnancy among the General Population in Ireland</w:t>
      </w:r>
    </w:p>
    <w:p w14:paraId="6FCF223B" w14:textId="77777777" w:rsidR="00A53B83" w:rsidRDefault="00A53B83" w:rsidP="00A53B83">
      <w:r>
        <w:t>In 2020, the NDA participated in a scoping study commissioned by the Sexual Health and Crisis Pregnancy Programme in the HSE Health and Wellbeing, Strategic Planning and Transformation department, to inform the next national survey on sexual health, wellbeing and crisis pregnancy among the general population in Ireland. In our submission we emphasised the particular importance of measuring:</w:t>
      </w:r>
    </w:p>
    <w:p w14:paraId="786122A6" w14:textId="77777777" w:rsidR="00A53B83" w:rsidRDefault="00A53B83" w:rsidP="00A53B83">
      <w:pPr>
        <w:pStyle w:val="ListBullet"/>
      </w:pPr>
      <w:r>
        <w:t xml:space="preserve">Whether respondents had a disability, </w:t>
      </w:r>
    </w:p>
    <w:p w14:paraId="417B25D4" w14:textId="77777777" w:rsidR="00A53B83" w:rsidRDefault="00A53B83" w:rsidP="00A53B83">
      <w:pPr>
        <w:pStyle w:val="ListBullet"/>
      </w:pPr>
      <w:r>
        <w:t xml:space="preserve">Gender-based violence, </w:t>
      </w:r>
    </w:p>
    <w:p w14:paraId="2C6702AB" w14:textId="77777777" w:rsidR="00A53B83" w:rsidRDefault="00A53B83" w:rsidP="00A53B83">
      <w:pPr>
        <w:pStyle w:val="ListBullet"/>
      </w:pPr>
      <w:r>
        <w:t>Non-consensual/coercive sex, and</w:t>
      </w:r>
    </w:p>
    <w:p w14:paraId="06DE2CFF" w14:textId="77777777" w:rsidR="00A53B83" w:rsidRDefault="00A53B83" w:rsidP="00A53B83">
      <w:pPr>
        <w:pStyle w:val="ListBullet"/>
      </w:pPr>
      <w:r>
        <w:t>Consent and capacity to consent.</w:t>
      </w:r>
    </w:p>
    <w:p w14:paraId="499D7F31" w14:textId="188188BD" w:rsidR="00A53B83" w:rsidRPr="00CE0947" w:rsidRDefault="00A53B83" w:rsidP="00A53B83">
      <w:pPr>
        <w:pStyle w:val="ListBullet"/>
        <w:numPr>
          <w:ilvl w:val="0"/>
          <w:numId w:val="0"/>
        </w:numPr>
        <w:rPr>
          <w:color w:val="FF0000"/>
          <w:szCs w:val="26"/>
          <w:shd w:val="clear" w:color="auto" w:fill="FFFFFF"/>
        </w:rPr>
      </w:pPr>
      <w:r>
        <w:t xml:space="preserve">The NDA hopes the survey will encapsulate these elements, which would offer important data for the </w:t>
      </w:r>
      <w:r w:rsidRPr="006F602E">
        <w:t>Third National Strategy on Domestic, Sexual and Gender-based violence</w:t>
      </w:r>
      <w:r>
        <w:t xml:space="preserve">. There will also be synergies with the national survey on the prevalence of sexual violence in Ireland by the Department of Justice and the Central Statistics Office. This survey will include a variable to identify whether a participant has a disability. </w:t>
      </w:r>
    </w:p>
    <w:p w14:paraId="5F174799" w14:textId="56A9211D" w:rsidR="00C91AEA" w:rsidRPr="00AA6C80" w:rsidRDefault="00C91AEA" w:rsidP="00C91AEA">
      <w:pPr>
        <w:pStyle w:val="Heading2"/>
        <w:rPr>
          <w:rFonts w:ascii="Gill Sans MT" w:hAnsi="Gill Sans MT"/>
        </w:rPr>
      </w:pPr>
      <w:r w:rsidRPr="00AA6C80">
        <w:rPr>
          <w:rFonts w:ascii="Gill Sans MT" w:hAnsi="Gill Sans MT"/>
        </w:rPr>
        <w:t>Data and Indicators</w:t>
      </w:r>
      <w:r w:rsidR="00111B02">
        <w:rPr>
          <w:rFonts w:ascii="Gill Sans MT" w:hAnsi="Gill Sans MT"/>
        </w:rPr>
        <w:t xml:space="preserve"> in the Third National Strategy</w:t>
      </w:r>
    </w:p>
    <w:p w14:paraId="1B2299FE" w14:textId="4E7C8FDE" w:rsidR="00C91AEA" w:rsidRDefault="00C91AEA" w:rsidP="00C91AEA">
      <w:pPr>
        <w:rPr>
          <w:color w:val="000000"/>
          <w:szCs w:val="26"/>
          <w:shd w:val="clear" w:color="auto" w:fill="FFFFFF"/>
        </w:rPr>
      </w:pPr>
      <w:r>
        <w:rPr>
          <w:rFonts w:ascii="Gill Sans MT" w:hAnsi="Gill Sans MT"/>
        </w:rPr>
        <w:t>In light of the above</w:t>
      </w:r>
      <w:r w:rsidRPr="003C31A6">
        <w:rPr>
          <w:rFonts w:ascii="Gill Sans MT" w:hAnsi="Gill Sans MT"/>
        </w:rPr>
        <w:t xml:space="preserve">, the NDA </w:t>
      </w:r>
      <w:r>
        <w:rPr>
          <w:rFonts w:ascii="Gill Sans MT" w:hAnsi="Gill Sans MT"/>
        </w:rPr>
        <w:t xml:space="preserve">advises that the Third National Strategy </w:t>
      </w:r>
      <w:r w:rsidR="00111B02" w:rsidRPr="006F602E">
        <w:t>on Domestic, Sexual and Gender-based violence</w:t>
      </w:r>
      <w:r w:rsidR="00111B02">
        <w:rPr>
          <w:rFonts w:ascii="Gill Sans MT" w:hAnsi="Gill Sans MT"/>
        </w:rPr>
        <w:t xml:space="preserve"> </w:t>
      </w:r>
      <w:r>
        <w:rPr>
          <w:rFonts w:ascii="Gill Sans MT" w:hAnsi="Gill Sans MT"/>
        </w:rPr>
        <w:t xml:space="preserve">should include a particular focus on strengthening data collection with regard to disability. The NDA </w:t>
      </w:r>
      <w:r w:rsidR="00111B02">
        <w:rPr>
          <w:rFonts w:ascii="Gill Sans MT" w:hAnsi="Gill Sans MT"/>
        </w:rPr>
        <w:t>notes</w:t>
      </w:r>
      <w:r w:rsidRPr="003C31A6">
        <w:rPr>
          <w:rFonts w:ascii="Gill Sans MT" w:hAnsi="Gill Sans MT"/>
        </w:rPr>
        <w:t xml:space="preserve"> that </w:t>
      </w:r>
      <w:r>
        <w:rPr>
          <w:rFonts w:ascii="Gill Sans MT" w:hAnsi="Gill Sans MT"/>
        </w:rPr>
        <w:t xml:space="preserve">the Second National </w:t>
      </w:r>
      <w:r>
        <w:rPr>
          <w:rFonts w:ascii="Gill Sans MT" w:hAnsi="Gill Sans MT"/>
        </w:rPr>
        <w:lastRenderedPageBreak/>
        <w:t xml:space="preserve">Strategy’s Action Plan included three actions around data collection. </w:t>
      </w:r>
      <w:r>
        <w:rPr>
          <w:color w:val="000000"/>
          <w:szCs w:val="26"/>
          <w:shd w:val="clear" w:color="auto" w:fill="FFFFFF"/>
        </w:rPr>
        <w:t>Actions 3.600, 3.603 and 3.604</w:t>
      </w:r>
      <w:r w:rsidRPr="00203121">
        <w:rPr>
          <w:color w:val="000000"/>
          <w:szCs w:val="26"/>
          <w:shd w:val="clear" w:color="auto" w:fill="FFFFFF"/>
        </w:rPr>
        <w:t xml:space="preserve"> </w:t>
      </w:r>
      <w:r>
        <w:rPr>
          <w:color w:val="000000"/>
          <w:szCs w:val="26"/>
          <w:shd w:val="clear" w:color="auto" w:fill="FFFFFF"/>
        </w:rPr>
        <w:t xml:space="preserve">obliged different government departments and bodies/agencies working in the area(s) of domestic and sexual violence to establish a bottom line ‘gold standard’ of data collection and analysis. The actions state datasets should be disaggregated by several factors, including by any disabilities of victim and perpetrator. The NDA would be interested to receive updates on the implementation of these actions and the result of the ‘gold standard’ data collection and analysis. This data will be critical for monitoring the implementation of the UNCRPD. </w:t>
      </w:r>
    </w:p>
    <w:p w14:paraId="197A5DD9" w14:textId="40771264" w:rsidR="00C91AEA" w:rsidRDefault="00C91AEA" w:rsidP="00C91AEA">
      <w:pPr>
        <w:rPr>
          <w:rFonts w:ascii="Gill Sans MT" w:hAnsi="Gill Sans MT"/>
        </w:rPr>
      </w:pPr>
      <w:r>
        <w:rPr>
          <w:color w:val="000000"/>
          <w:szCs w:val="26"/>
          <w:shd w:val="clear" w:color="auto" w:fill="FFFFFF"/>
        </w:rPr>
        <w:t>The NDA also advises that the objective and spirit of the above actions be continued in the next National Strategy. While the NDA has carried out some research in this area, and has sourced relevant research carried out by others (for example, the Rape Crisis Network of Ireland), we would lik</w:t>
      </w:r>
      <w:r w:rsidRPr="003C31A6">
        <w:rPr>
          <w:rFonts w:ascii="Gill Sans MT" w:hAnsi="Gill Sans MT"/>
        </w:rPr>
        <w:t>e to take this opportunity to highlight the importance of departments, agencies and bodies</w:t>
      </w:r>
      <w:r w:rsidR="00864287">
        <w:rPr>
          <w:rFonts w:ascii="Gill Sans MT" w:hAnsi="Gill Sans MT"/>
        </w:rPr>
        <w:t xml:space="preserve"> (such as An Garda Síochána</w:t>
      </w:r>
      <w:r w:rsidR="0062440E">
        <w:rPr>
          <w:rFonts w:ascii="Gill Sans MT" w:hAnsi="Gill Sans MT"/>
        </w:rPr>
        <w:t>, Sexual Assault Treatment units, RCCs and the HSE)</w:t>
      </w:r>
      <w:r w:rsidRPr="003C31A6">
        <w:rPr>
          <w:rFonts w:ascii="Gill Sans MT" w:hAnsi="Gill Sans MT"/>
        </w:rPr>
        <w:t xml:space="preserve"> collecting and disseminating relevant data. This information can then inform and guide future decision-making</w:t>
      </w:r>
      <w:r>
        <w:rPr>
          <w:rFonts w:ascii="Gill Sans MT" w:hAnsi="Gill Sans MT"/>
        </w:rPr>
        <w:t xml:space="preserve"> and service design</w:t>
      </w:r>
      <w:r w:rsidRPr="003C31A6">
        <w:rPr>
          <w:rFonts w:ascii="Gill Sans MT" w:hAnsi="Gill Sans MT"/>
        </w:rPr>
        <w:t xml:space="preserve">. </w:t>
      </w:r>
    </w:p>
    <w:p w14:paraId="066F06A2" w14:textId="1FA2BDAE" w:rsidR="00C91AEA" w:rsidRDefault="00C91AEA" w:rsidP="00C91AEA">
      <w:r>
        <w:rPr>
          <w:rFonts w:ascii="Gill Sans MT" w:hAnsi="Gill Sans MT"/>
        </w:rPr>
        <w:t xml:space="preserve">The National Statistics Board recently recommended that </w:t>
      </w:r>
      <w:r w:rsidRPr="00A470B6">
        <w:t xml:space="preserve">the 2022 </w:t>
      </w:r>
      <w:r>
        <w:t>C</w:t>
      </w:r>
      <w:r w:rsidRPr="00A470B6">
        <w:t xml:space="preserve">ensus definition of </w:t>
      </w:r>
      <w:r>
        <w:t>‘</w:t>
      </w:r>
      <w:r w:rsidRPr="00A470B6">
        <w:t>disability</w:t>
      </w:r>
      <w:r>
        <w:t>’</w:t>
      </w:r>
      <w:r w:rsidRPr="00A470B6">
        <w:t xml:space="preserve"> be incorporated, as far as practicable, into all survey data collection, and disabled/non-disabled analyses of relevant statistics be made readily available</w:t>
      </w:r>
      <w:r>
        <w:t>.</w:t>
      </w:r>
      <w:r w:rsidR="00111B02">
        <w:t xml:space="preserve"> In light of the NDA’s role to strengthen and promote the collection of data and statistics relevant to people with disabilities, we would be happy to advise further on this matter if helpful.</w:t>
      </w:r>
    </w:p>
    <w:p w14:paraId="2EF98AB4" w14:textId="226BEA78" w:rsidR="00A53B83" w:rsidRPr="00AA6C80" w:rsidRDefault="00A53B83" w:rsidP="00A53B83">
      <w:pPr>
        <w:pStyle w:val="Heading2"/>
        <w:rPr>
          <w:rFonts w:ascii="Gill Sans MT" w:hAnsi="Gill Sans MT"/>
        </w:rPr>
      </w:pPr>
      <w:r w:rsidRPr="00AA6C80">
        <w:rPr>
          <w:rFonts w:ascii="Gill Sans MT" w:hAnsi="Gill Sans MT"/>
        </w:rPr>
        <w:t>Accessibility of information and supports</w:t>
      </w:r>
    </w:p>
    <w:p w14:paraId="4796E3FA" w14:textId="53AB8B18" w:rsidR="00D356A0" w:rsidRDefault="00A73803" w:rsidP="00373D83">
      <w:r>
        <w:t>The NDA advises that it will be important for the Strategy to include commitments with regard to the removal of b</w:t>
      </w:r>
      <w:r w:rsidR="00373D83">
        <w:t>arriers</w:t>
      </w:r>
      <w:r>
        <w:t xml:space="preserve"> encountered by persons with disabilities,</w:t>
      </w:r>
      <w:r w:rsidR="00373D83">
        <w:t xml:space="preserve"> such as inaccessible disclosure and reporting mechanisms</w:t>
      </w:r>
      <w:r>
        <w:t>.</w:t>
      </w:r>
      <w:r w:rsidR="00373D83">
        <w:t xml:space="preserve"> </w:t>
      </w:r>
      <w:r>
        <w:t>Information</w:t>
      </w:r>
      <w:r w:rsidR="00373D83">
        <w:t xml:space="preserve"> should be produced in a range of accessible formats, including any information campaigns run in relation to services and supports available. Providing for the empowerment of persons with disabilities to come forward is in line with Article 16 of the UN</w:t>
      </w:r>
      <w:r w:rsidR="005E0806">
        <w:t xml:space="preserve"> </w:t>
      </w:r>
      <w:r w:rsidR="00373D83">
        <w:t>C</w:t>
      </w:r>
      <w:r w:rsidR="005E0806">
        <w:t>onvention on the Rights of Persons with Disabilities</w:t>
      </w:r>
      <w:r w:rsidR="00373D83">
        <w:t>, and all communications around supports for victims of domestic</w:t>
      </w:r>
      <w:r w:rsidR="00432376">
        <w:t xml:space="preserve"> and sexual</w:t>
      </w:r>
      <w:r w:rsidR="00373D83">
        <w:t xml:space="preserve"> violence should be in accessible formats, for example Easy-to-Read or Irish Sign </w:t>
      </w:r>
      <w:r w:rsidR="00373D83" w:rsidRPr="00D356A0">
        <w:rPr>
          <w:rFonts w:ascii="Gill Sans MT" w:hAnsi="Gill Sans MT"/>
        </w:rPr>
        <w:t>Language.</w:t>
      </w:r>
      <w:r w:rsidR="00D356A0" w:rsidRPr="00D356A0">
        <w:rPr>
          <w:rFonts w:ascii="Gill Sans MT" w:hAnsi="Gill Sans MT"/>
        </w:rPr>
        <w:t xml:space="preserve"> The NDA’s Customer Communications Toolkit </w:t>
      </w:r>
      <w:r w:rsidR="00D356A0" w:rsidRPr="00D356A0">
        <w:rPr>
          <w:rFonts w:ascii="Gill Sans MT" w:hAnsi="Gill Sans MT" w:cs="Arial"/>
          <w:color w:val="000000"/>
          <w:shd w:val="clear" w:color="auto" w:fill="FFFFFF"/>
        </w:rPr>
        <w:t>has guidance to inform the design and procurement of customer communications across the Public Service.</w:t>
      </w:r>
      <w:r w:rsidR="0061790E">
        <w:rPr>
          <w:rStyle w:val="FootnoteReference"/>
          <w:rFonts w:cs="Arial"/>
          <w:color w:val="000000"/>
          <w:shd w:val="clear" w:color="auto" w:fill="FFFFFF"/>
        </w:rPr>
        <w:footnoteReference w:id="3"/>
      </w:r>
    </w:p>
    <w:p w14:paraId="604B1E39" w14:textId="7703F5AD" w:rsidR="00D356A0" w:rsidRDefault="008A73B1" w:rsidP="00373D83">
      <w:r>
        <w:lastRenderedPageBreak/>
        <w:t xml:space="preserve">In 2020, the NDA worked with the </w:t>
      </w:r>
      <w:r w:rsidR="005E0806">
        <w:t>Department</w:t>
      </w:r>
      <w:r>
        <w:t xml:space="preserve"> of Justice </w:t>
      </w:r>
      <w:r w:rsidR="005E0806">
        <w:t xml:space="preserve">on its ‘Still Here’ campaign, </w:t>
      </w:r>
      <w:r w:rsidR="00A53B83">
        <w:t>which sought to assure</w:t>
      </w:r>
      <w:r w:rsidR="00C616D9">
        <w:t xml:space="preserve"> victims that services and supports were still available during the COVID-19 pandemic. The NDA advised the Department of Justice </w:t>
      </w:r>
      <w:r w:rsidR="005E0806">
        <w:t xml:space="preserve">to ensure that there was </w:t>
      </w:r>
      <w:r>
        <w:t xml:space="preserve">specific guidance made available </w:t>
      </w:r>
      <w:r w:rsidR="005E0806">
        <w:t>for</w:t>
      </w:r>
      <w:r>
        <w:t xml:space="preserve"> persons with disabilities</w:t>
      </w:r>
      <w:r w:rsidR="005E0806">
        <w:t xml:space="preserve"> experiencing various forms of abuse.</w:t>
      </w:r>
    </w:p>
    <w:p w14:paraId="6DF4E581" w14:textId="60342308" w:rsidR="0062440E" w:rsidRDefault="0062440E" w:rsidP="00373D83">
      <w:r>
        <w:t xml:space="preserve">Under the </w:t>
      </w:r>
      <w:r w:rsidR="00640B3F">
        <w:t xml:space="preserve">Disability Act 2005 and the </w:t>
      </w:r>
      <w:r>
        <w:t>National Disability Inclusion Strategy</w:t>
      </w:r>
      <w:r w:rsidR="00640B3F">
        <w:t xml:space="preserve"> 2017-2021</w:t>
      </w:r>
      <w:r>
        <w:t xml:space="preserve">, </w:t>
      </w:r>
      <w:r w:rsidR="00640B3F">
        <w:t xml:space="preserve">all </w:t>
      </w:r>
      <w:r w:rsidR="00001CD0">
        <w:t>Departments</w:t>
      </w:r>
      <w:r>
        <w:t xml:space="preserve"> and agencies are obliged to ensure </w:t>
      </w:r>
      <w:r w:rsidR="00640B3F">
        <w:t>their buildings are physically accessible to persons with disabilities. This includes Garda stations and healthcare facilities, and any other public building victims of domestic, sexual and gender-based violence may attend. While not public buildings, the NDA advises that this accessibility is also extended to refuges</w:t>
      </w:r>
      <w:r w:rsidR="00A64B2E">
        <w:t>. The Strategy should reflect the need to remove all barriers faced by victims.</w:t>
      </w:r>
    </w:p>
    <w:p w14:paraId="4B30D4FA" w14:textId="7ED0E8C7" w:rsidR="00A64B2E" w:rsidRDefault="00A64B2E" w:rsidP="00373D83">
      <w:r>
        <w:t xml:space="preserve">Equally, the Strategy should emphasise the importance of ensuring communications are accessible. The EU Web Accessibility Directive was transposed into Irish legislation in September 2020 (European Union (Accessibility of Websites and Mobile Applications of Public Sector Bodies) Regulations 2020) and it obliges all public bodies to ensure their websites and applications </w:t>
      </w:r>
      <w:r w:rsidR="00327C30">
        <w:t>are accessible to persons with disabilities.</w:t>
      </w:r>
    </w:p>
    <w:p w14:paraId="0BAF9BF3" w14:textId="77777777" w:rsidR="0017712F" w:rsidRDefault="00D356A0" w:rsidP="00373D83">
      <w:r>
        <w:t xml:space="preserve">The NDA advises that the Third National Strategy considers and promotes the accessibility of supports, services and information, in order to ensure that all persons can avail of them. </w:t>
      </w:r>
    </w:p>
    <w:p w14:paraId="3C6F17B6" w14:textId="77777777" w:rsidR="00A73803" w:rsidRPr="00AA6C80" w:rsidRDefault="00A73803" w:rsidP="00A73803">
      <w:pPr>
        <w:pStyle w:val="Heading2"/>
        <w:rPr>
          <w:rFonts w:ascii="Gill Sans MT" w:hAnsi="Gill Sans MT"/>
        </w:rPr>
      </w:pPr>
      <w:r w:rsidRPr="00AA6C80">
        <w:rPr>
          <w:rFonts w:ascii="Gill Sans MT" w:hAnsi="Gill Sans MT"/>
        </w:rPr>
        <w:t>O’Malley Sub-Groups</w:t>
      </w:r>
    </w:p>
    <w:p w14:paraId="0CED8081" w14:textId="6C5AFE68" w:rsidR="00A73803" w:rsidRDefault="00327C30" w:rsidP="00A73803">
      <w:r>
        <w:t>As mentioned above, one of the barriers facing victims of domestic, sexual and gender-based violence can be communication difficulties, and in this regard, t</w:t>
      </w:r>
      <w:r w:rsidR="00A73803">
        <w:t>he NDA welcomes the opportunity to sit on two of the sub-groups established under the O’Malley Review of Protections for Vulnerable Witnesses in the Investigation and Prosecution of Sexual Offences. We provide a disability perspective to the work to develop specialist training for professionals who interact with vulnerable victims. We also use the learning from our advice paper on intermediaries in the Irish criminal justice system (published in 2020) to inform our advice to the sub-group tasked with establishing a pilot for the use of trained, accredited intermediaries.</w:t>
      </w:r>
    </w:p>
    <w:p w14:paraId="0E67911C" w14:textId="77777777" w:rsidR="00A73803" w:rsidRPr="00C336C0" w:rsidRDefault="00A73803" w:rsidP="00A73803">
      <w:r>
        <w:t xml:space="preserve">The NDA advises that close collaboration is maintained with the sub-groups during the drafting of the Third National Strategy, in order to provide a comprehensive overview of all ongoing work and developments.  </w:t>
      </w:r>
    </w:p>
    <w:p w14:paraId="2033ACB7" w14:textId="7975A0F9" w:rsidR="0017712F" w:rsidRPr="003608DF" w:rsidRDefault="0017712F" w:rsidP="0017712F">
      <w:pPr>
        <w:pStyle w:val="Heading2"/>
        <w:rPr>
          <w:rFonts w:ascii="Gill Sans MT" w:hAnsi="Gill Sans MT"/>
        </w:rPr>
      </w:pPr>
      <w:r w:rsidRPr="003608DF">
        <w:rPr>
          <w:rFonts w:ascii="Gill Sans MT" w:hAnsi="Gill Sans MT"/>
        </w:rPr>
        <w:t>Education</w:t>
      </w:r>
    </w:p>
    <w:p w14:paraId="5D13D6D1" w14:textId="24D00A7D" w:rsidR="0017712F" w:rsidRPr="003608DF" w:rsidRDefault="0017712F" w:rsidP="0017712F">
      <w:pPr>
        <w:rPr>
          <w:rFonts w:ascii="Gill Sans MT" w:hAnsi="Gill Sans MT"/>
        </w:rPr>
      </w:pPr>
      <w:r w:rsidRPr="003608DF">
        <w:rPr>
          <w:rFonts w:ascii="Gill Sans MT" w:hAnsi="Gill Sans MT"/>
        </w:rPr>
        <w:t xml:space="preserve">The Second National Strategy noted that education and training </w:t>
      </w:r>
      <w:r w:rsidR="002339FB" w:rsidRPr="003608DF">
        <w:rPr>
          <w:rFonts w:ascii="Gill Sans MT" w:hAnsi="Gill Sans MT"/>
        </w:rPr>
        <w:t>are</w:t>
      </w:r>
      <w:r w:rsidRPr="003608DF">
        <w:rPr>
          <w:rFonts w:ascii="Gill Sans MT" w:hAnsi="Gill Sans MT"/>
        </w:rPr>
        <w:t xml:space="preserve"> critical to changing societal attitudes towards domestic and/or sexual abuse. The NDA advises that the </w:t>
      </w:r>
      <w:r w:rsidRPr="003608DF">
        <w:rPr>
          <w:rFonts w:ascii="Gill Sans MT" w:hAnsi="Gill Sans MT"/>
        </w:rPr>
        <w:lastRenderedPageBreak/>
        <w:t>Third National Strategy looks more closely at this issue in the context of Relationships and Sexual Education</w:t>
      </w:r>
      <w:r w:rsidR="00BE2409">
        <w:rPr>
          <w:rFonts w:ascii="Gill Sans MT" w:hAnsi="Gill Sans MT"/>
        </w:rPr>
        <w:t xml:space="preserve"> (RSE)</w:t>
      </w:r>
      <w:r w:rsidR="002339FB" w:rsidRPr="003608DF">
        <w:rPr>
          <w:rFonts w:ascii="Gill Sans MT" w:hAnsi="Gill Sans MT"/>
        </w:rPr>
        <w:t xml:space="preserve"> in schools</w:t>
      </w:r>
      <w:r w:rsidRPr="003608DF">
        <w:rPr>
          <w:rFonts w:ascii="Gill Sans MT" w:hAnsi="Gill Sans MT"/>
        </w:rPr>
        <w:t xml:space="preserve">, including for children and </w:t>
      </w:r>
      <w:r w:rsidR="002339FB" w:rsidRPr="003608DF">
        <w:rPr>
          <w:rFonts w:ascii="Gill Sans MT" w:hAnsi="Gill Sans MT"/>
        </w:rPr>
        <w:t>young people</w:t>
      </w:r>
      <w:r w:rsidRPr="003608DF">
        <w:rPr>
          <w:rFonts w:ascii="Gill Sans MT" w:hAnsi="Gill Sans MT"/>
        </w:rPr>
        <w:t xml:space="preserve"> with disabilities. </w:t>
      </w:r>
    </w:p>
    <w:p w14:paraId="046B640A" w14:textId="02E3BEB6" w:rsidR="0017712F" w:rsidRPr="003608DF" w:rsidRDefault="0017712F" w:rsidP="002339FB">
      <w:pPr>
        <w:pStyle w:val="Default"/>
        <w:rPr>
          <w:rFonts w:ascii="Gill Sans MT" w:hAnsi="Gill Sans MT"/>
          <w:color w:val="auto"/>
          <w:sz w:val="26"/>
          <w:szCs w:val="26"/>
        </w:rPr>
      </w:pPr>
      <w:r w:rsidRPr="003608DF">
        <w:rPr>
          <w:rFonts w:ascii="Gill Sans MT" w:hAnsi="Gill Sans MT"/>
          <w:color w:val="auto"/>
          <w:sz w:val="26"/>
          <w:szCs w:val="26"/>
        </w:rPr>
        <w:t>The National Council for Special Education</w:t>
      </w:r>
      <w:r w:rsidR="002339FB" w:rsidRPr="003608DF">
        <w:rPr>
          <w:rFonts w:ascii="Gill Sans MT" w:hAnsi="Gill Sans MT"/>
          <w:color w:val="auto"/>
          <w:sz w:val="26"/>
          <w:szCs w:val="26"/>
        </w:rPr>
        <w:t xml:space="preserve"> runs tailored courses for teachers regarding RSE for students with special education needs and</w:t>
      </w:r>
      <w:r w:rsidR="00A11C30" w:rsidRPr="003608DF">
        <w:rPr>
          <w:rFonts w:ascii="Gill Sans MT" w:hAnsi="Gill Sans MT"/>
          <w:color w:val="auto"/>
          <w:sz w:val="26"/>
          <w:szCs w:val="26"/>
        </w:rPr>
        <w:t xml:space="preserve"> the Professional Development Service for Teachers has compiled a list of Special Needs Resources for RSE.</w:t>
      </w:r>
      <w:r w:rsidR="00A11C30" w:rsidRPr="003608DF">
        <w:rPr>
          <w:rStyle w:val="FootnoteReference"/>
          <w:rFonts w:ascii="Gill Sans MT" w:hAnsi="Gill Sans MT"/>
          <w:color w:val="auto"/>
          <w:sz w:val="22"/>
          <w:szCs w:val="22"/>
        </w:rPr>
        <w:footnoteReference w:id="4"/>
      </w:r>
      <w:r w:rsidR="00A11C30" w:rsidRPr="003608DF">
        <w:rPr>
          <w:rFonts w:ascii="Gill Sans MT" w:hAnsi="Gill Sans MT"/>
          <w:color w:val="auto"/>
          <w:sz w:val="22"/>
          <w:szCs w:val="22"/>
        </w:rPr>
        <w:t xml:space="preserve"> </w:t>
      </w:r>
      <w:r w:rsidR="00A11C30" w:rsidRPr="003608DF">
        <w:rPr>
          <w:rFonts w:ascii="Gill Sans MT" w:hAnsi="Gill Sans MT"/>
          <w:color w:val="auto"/>
          <w:sz w:val="26"/>
          <w:szCs w:val="26"/>
        </w:rPr>
        <w:t>T</w:t>
      </w:r>
      <w:r w:rsidR="002339FB" w:rsidRPr="003608DF">
        <w:rPr>
          <w:rFonts w:ascii="Gill Sans MT" w:hAnsi="Gill Sans MT"/>
          <w:color w:val="auto"/>
          <w:sz w:val="26"/>
          <w:szCs w:val="26"/>
        </w:rPr>
        <w:t>he National Council for Curriculum and Assessment</w:t>
      </w:r>
      <w:r w:rsidR="00BE2409">
        <w:rPr>
          <w:rFonts w:ascii="Gill Sans MT" w:hAnsi="Gill Sans MT"/>
          <w:color w:val="auto"/>
          <w:sz w:val="26"/>
          <w:szCs w:val="26"/>
        </w:rPr>
        <w:t xml:space="preserve"> (NCCA)</w:t>
      </w:r>
      <w:r w:rsidR="002339FB" w:rsidRPr="003608DF">
        <w:rPr>
          <w:rFonts w:ascii="Gill Sans MT" w:hAnsi="Gill Sans MT"/>
          <w:color w:val="auto"/>
          <w:sz w:val="26"/>
          <w:szCs w:val="26"/>
        </w:rPr>
        <w:t xml:space="preserve"> drafted</w:t>
      </w:r>
      <w:r w:rsidR="002339FB" w:rsidRPr="003608DF">
        <w:rPr>
          <w:rFonts w:ascii="Gill Sans MT" w:hAnsi="Gill Sans MT"/>
          <w:bCs/>
          <w:color w:val="auto"/>
          <w:sz w:val="26"/>
          <w:szCs w:val="26"/>
        </w:rPr>
        <w:t xml:space="preserve"> ‘Guidelines for Teachers of Students With General Learning Disabilities’, which </w:t>
      </w:r>
      <w:r w:rsidR="00A11C30" w:rsidRPr="003608DF">
        <w:rPr>
          <w:rFonts w:ascii="Gill Sans MT" w:hAnsi="Gill Sans MT"/>
          <w:bCs/>
          <w:color w:val="auto"/>
          <w:sz w:val="26"/>
          <w:szCs w:val="26"/>
        </w:rPr>
        <w:t>contain</w:t>
      </w:r>
      <w:r w:rsidR="002339FB" w:rsidRPr="003608DF">
        <w:rPr>
          <w:rFonts w:ascii="Gill Sans MT" w:hAnsi="Gill Sans MT"/>
          <w:bCs/>
          <w:color w:val="auto"/>
          <w:sz w:val="26"/>
          <w:szCs w:val="26"/>
        </w:rPr>
        <w:t xml:space="preserve"> comprehensive </w:t>
      </w:r>
      <w:r w:rsidR="00A11C30" w:rsidRPr="003608DF">
        <w:rPr>
          <w:rFonts w:ascii="Gill Sans MT" w:hAnsi="Gill Sans MT"/>
          <w:bCs/>
          <w:color w:val="auto"/>
          <w:sz w:val="26"/>
          <w:szCs w:val="26"/>
        </w:rPr>
        <w:t>guidance</w:t>
      </w:r>
      <w:r w:rsidR="002339FB" w:rsidRPr="003608DF">
        <w:rPr>
          <w:rFonts w:ascii="Gill Sans MT" w:hAnsi="Gill Sans MT"/>
          <w:bCs/>
          <w:color w:val="auto"/>
          <w:sz w:val="26"/>
          <w:szCs w:val="26"/>
        </w:rPr>
        <w:t xml:space="preserve"> on teaching S</w:t>
      </w:r>
      <w:r w:rsidR="00A11C30" w:rsidRPr="003608DF">
        <w:rPr>
          <w:rFonts w:ascii="Gill Sans MT" w:hAnsi="Gill Sans MT"/>
          <w:bCs/>
          <w:color w:val="auto"/>
          <w:sz w:val="26"/>
          <w:szCs w:val="26"/>
        </w:rPr>
        <w:t>ocial, Personal and Health</w:t>
      </w:r>
      <w:r w:rsidR="002339FB" w:rsidRPr="003608DF">
        <w:rPr>
          <w:rFonts w:ascii="Gill Sans MT" w:hAnsi="Gill Sans MT"/>
          <w:bCs/>
          <w:color w:val="auto"/>
          <w:sz w:val="26"/>
          <w:szCs w:val="26"/>
        </w:rPr>
        <w:t xml:space="preserve"> to students with mild general learning disabilities at primary and post-primary level</w:t>
      </w:r>
      <w:r w:rsidR="00A11C30" w:rsidRPr="003608DF">
        <w:rPr>
          <w:rFonts w:ascii="Gill Sans MT" w:hAnsi="Gill Sans MT"/>
          <w:bCs/>
          <w:color w:val="auto"/>
          <w:sz w:val="26"/>
          <w:szCs w:val="26"/>
        </w:rPr>
        <w:t xml:space="preserve">, and to students with moderate, </w:t>
      </w:r>
      <w:r w:rsidR="002339FB" w:rsidRPr="003608DF">
        <w:rPr>
          <w:rFonts w:ascii="Gill Sans MT" w:hAnsi="Gill Sans MT"/>
          <w:bCs/>
          <w:color w:val="auto"/>
          <w:sz w:val="26"/>
          <w:szCs w:val="26"/>
        </w:rPr>
        <w:t>severe and profoun</w:t>
      </w:r>
      <w:r w:rsidR="00A11C30" w:rsidRPr="003608DF">
        <w:rPr>
          <w:rFonts w:ascii="Gill Sans MT" w:hAnsi="Gill Sans MT"/>
          <w:bCs/>
          <w:color w:val="auto"/>
          <w:sz w:val="26"/>
          <w:szCs w:val="26"/>
        </w:rPr>
        <w:t>d general learning disabilities.</w:t>
      </w:r>
      <w:r w:rsidR="002339FB" w:rsidRPr="003608DF">
        <w:rPr>
          <w:rFonts w:ascii="Gill Sans MT" w:hAnsi="Gill Sans MT"/>
          <w:color w:val="auto"/>
          <w:sz w:val="26"/>
          <w:szCs w:val="26"/>
        </w:rPr>
        <w:t xml:space="preserve"> </w:t>
      </w:r>
    </w:p>
    <w:p w14:paraId="38A6899C" w14:textId="67F9F52B" w:rsidR="00A11C30" w:rsidRPr="003608DF" w:rsidRDefault="00A11C30" w:rsidP="002339FB">
      <w:pPr>
        <w:pStyle w:val="Default"/>
        <w:rPr>
          <w:rFonts w:ascii="Gill Sans MT" w:hAnsi="Gill Sans MT"/>
          <w:color w:val="auto"/>
          <w:sz w:val="26"/>
          <w:szCs w:val="26"/>
        </w:rPr>
      </w:pPr>
    </w:p>
    <w:p w14:paraId="4DFD2015" w14:textId="7BC9E42C" w:rsidR="003608DF" w:rsidRPr="003608DF" w:rsidRDefault="00A11C30" w:rsidP="003608DF">
      <w:pPr>
        <w:rPr>
          <w:rFonts w:ascii="Gill Sans MT" w:hAnsi="Gill Sans MT"/>
        </w:rPr>
      </w:pPr>
      <w:r w:rsidRPr="003608DF">
        <w:rPr>
          <w:rFonts w:ascii="Gill Sans MT" w:hAnsi="Gill Sans MT"/>
          <w:szCs w:val="26"/>
        </w:rPr>
        <w:t>Due to a lack of information and data, we are not aware of the extent to which</w:t>
      </w:r>
      <w:r w:rsidR="0017712F" w:rsidRPr="003608DF">
        <w:rPr>
          <w:rFonts w:ascii="Gill Sans MT" w:hAnsi="Gill Sans MT"/>
          <w:szCs w:val="26"/>
        </w:rPr>
        <w:t xml:space="preserve"> children with disabilities </w:t>
      </w:r>
      <w:r w:rsidRPr="003608DF">
        <w:rPr>
          <w:rFonts w:ascii="Gill Sans MT" w:hAnsi="Gill Sans MT"/>
          <w:szCs w:val="26"/>
        </w:rPr>
        <w:t>and/or</w:t>
      </w:r>
      <w:r w:rsidR="0017712F" w:rsidRPr="003608DF">
        <w:rPr>
          <w:rFonts w:ascii="Gill Sans MT" w:hAnsi="Gill Sans MT"/>
          <w:szCs w:val="26"/>
        </w:rPr>
        <w:t xml:space="preserve"> special education needs are getting access to appropriately adapted </w:t>
      </w:r>
      <w:r w:rsidRPr="003608DF">
        <w:rPr>
          <w:rFonts w:ascii="Gill Sans MT" w:hAnsi="Gill Sans MT"/>
          <w:szCs w:val="26"/>
        </w:rPr>
        <w:t>RSE</w:t>
      </w:r>
      <w:r w:rsidR="0017712F" w:rsidRPr="003608DF">
        <w:rPr>
          <w:rFonts w:ascii="Gill Sans MT" w:hAnsi="Gill Sans MT"/>
          <w:szCs w:val="26"/>
        </w:rPr>
        <w:t xml:space="preserve"> in schools. The NCCA did h</w:t>
      </w:r>
      <w:r w:rsidRPr="003608DF">
        <w:rPr>
          <w:rFonts w:ascii="Gill Sans MT" w:hAnsi="Gill Sans MT"/>
          <w:szCs w:val="26"/>
        </w:rPr>
        <w:t>ighlight RSE for students with special education needs</w:t>
      </w:r>
      <w:r w:rsidR="0017712F" w:rsidRPr="003608DF">
        <w:rPr>
          <w:rFonts w:ascii="Gill Sans MT" w:hAnsi="Gill Sans MT"/>
          <w:szCs w:val="26"/>
        </w:rPr>
        <w:t xml:space="preserve"> as a “concern” as part of their review of the primary and post-primary curriculum. The review found RSE for children with </w:t>
      </w:r>
      <w:r w:rsidR="00BE2409">
        <w:rPr>
          <w:rFonts w:ascii="Gill Sans MT" w:hAnsi="Gill Sans MT"/>
          <w:szCs w:val="26"/>
        </w:rPr>
        <w:t>special education needs</w:t>
      </w:r>
      <w:r w:rsidR="00BE2409" w:rsidRPr="003608DF">
        <w:rPr>
          <w:rFonts w:ascii="Gill Sans MT" w:hAnsi="Gill Sans MT"/>
          <w:szCs w:val="26"/>
        </w:rPr>
        <w:t xml:space="preserve"> </w:t>
      </w:r>
      <w:r w:rsidR="0017712F" w:rsidRPr="003608DF">
        <w:rPr>
          <w:rFonts w:ascii="Gill Sans MT" w:hAnsi="Gill Sans MT"/>
          <w:szCs w:val="26"/>
        </w:rPr>
        <w:t>is often only looked at from a ‘safety perspective’.</w:t>
      </w:r>
      <w:r w:rsidRPr="003608DF">
        <w:rPr>
          <w:rStyle w:val="FootnoteReference"/>
          <w:rFonts w:ascii="Gill Sans MT" w:hAnsi="Gill Sans MT"/>
          <w:sz w:val="22"/>
          <w:szCs w:val="22"/>
        </w:rPr>
        <w:footnoteReference w:id="5"/>
      </w:r>
      <w:r w:rsidR="0017712F" w:rsidRPr="003608DF">
        <w:rPr>
          <w:rFonts w:ascii="Gill Sans MT" w:hAnsi="Gill Sans MT"/>
          <w:szCs w:val="26"/>
        </w:rPr>
        <w:t xml:space="preserve"> </w:t>
      </w:r>
      <w:r w:rsidR="003608DF" w:rsidRPr="003608DF">
        <w:rPr>
          <w:rFonts w:ascii="Gill Sans MT" w:hAnsi="Gill Sans MT"/>
        </w:rPr>
        <w:t xml:space="preserve">One practical issue is that because all special schools in Ireland are primary schools (even though pupils can be up to 18 years old), those in special schools would not typically be exposed to the post-primary RSE. </w:t>
      </w:r>
    </w:p>
    <w:p w14:paraId="4A0A5759" w14:textId="1DDD537C" w:rsidR="008A73B1" w:rsidRPr="003608DF" w:rsidRDefault="003608DF" w:rsidP="003608DF">
      <w:pPr>
        <w:rPr>
          <w:rFonts w:ascii="Gill Sans MT" w:hAnsi="Gill Sans MT"/>
        </w:rPr>
      </w:pPr>
      <w:r w:rsidRPr="003608DF">
        <w:rPr>
          <w:rFonts w:ascii="Gill Sans MT" w:hAnsi="Gill Sans MT"/>
        </w:rPr>
        <w:t xml:space="preserve">The NDA advises that the Third National Strategy </w:t>
      </w:r>
      <w:r>
        <w:rPr>
          <w:rFonts w:ascii="Gill Sans MT" w:hAnsi="Gill Sans MT"/>
        </w:rPr>
        <w:t>includes an action to ensure that</w:t>
      </w:r>
      <w:r w:rsidRPr="003608DF">
        <w:rPr>
          <w:rFonts w:ascii="Gill Sans MT" w:hAnsi="Gill Sans MT"/>
        </w:rPr>
        <w:t xml:space="preserve"> all children and young people</w:t>
      </w:r>
      <w:r>
        <w:rPr>
          <w:rFonts w:ascii="Gill Sans MT" w:hAnsi="Gill Sans MT"/>
        </w:rPr>
        <w:t>, in any educational setting,</w:t>
      </w:r>
      <w:r w:rsidRPr="003608DF">
        <w:rPr>
          <w:rFonts w:ascii="Gill Sans MT" w:hAnsi="Gill Sans MT"/>
        </w:rPr>
        <w:t xml:space="preserve"> </w:t>
      </w:r>
      <w:r>
        <w:rPr>
          <w:rFonts w:ascii="Gill Sans MT" w:hAnsi="Gill Sans MT"/>
        </w:rPr>
        <w:t>can access</w:t>
      </w:r>
      <w:r w:rsidRPr="003608DF">
        <w:rPr>
          <w:rFonts w:ascii="Gill Sans MT" w:hAnsi="Gill Sans MT"/>
        </w:rPr>
        <w:t xml:space="preserve"> appropriate </w:t>
      </w:r>
      <w:r>
        <w:rPr>
          <w:rFonts w:ascii="Gill Sans MT" w:hAnsi="Gill Sans MT"/>
        </w:rPr>
        <w:t xml:space="preserve">and inclusive </w:t>
      </w:r>
      <w:r w:rsidRPr="003608DF">
        <w:rPr>
          <w:rFonts w:ascii="Gill Sans MT" w:hAnsi="Gill Sans MT"/>
        </w:rPr>
        <w:t>RSE.</w:t>
      </w:r>
      <w:r w:rsidR="00327C30">
        <w:rPr>
          <w:rFonts w:ascii="Gill Sans MT" w:hAnsi="Gill Sans MT"/>
        </w:rPr>
        <w:t xml:space="preserve"> Under Article 23 of the UNCRPD, all persons </w:t>
      </w:r>
      <w:r w:rsidR="006F54D6">
        <w:rPr>
          <w:rFonts w:ascii="Gill Sans MT" w:hAnsi="Gill Sans MT"/>
        </w:rPr>
        <w:t xml:space="preserve">of an appropriate age may marry and found a family; therefore the safeguarding or protective bias of the training outlined above </w:t>
      </w:r>
      <w:r w:rsidR="00FC6909">
        <w:rPr>
          <w:rFonts w:ascii="Gill Sans MT" w:hAnsi="Gill Sans MT"/>
        </w:rPr>
        <w:t>may be somewhat limiting</w:t>
      </w:r>
      <w:r w:rsidR="006F54D6">
        <w:rPr>
          <w:rFonts w:ascii="Gill Sans MT" w:hAnsi="Gill Sans MT"/>
        </w:rPr>
        <w:t xml:space="preserve"> in </w:t>
      </w:r>
      <w:r w:rsidR="000B144F">
        <w:rPr>
          <w:rFonts w:ascii="Gill Sans MT" w:hAnsi="Gill Sans MT"/>
        </w:rPr>
        <w:t>light</w:t>
      </w:r>
      <w:r w:rsidR="006F54D6">
        <w:rPr>
          <w:rFonts w:ascii="Gill Sans MT" w:hAnsi="Gill Sans MT"/>
        </w:rPr>
        <w:t xml:space="preserve"> </w:t>
      </w:r>
      <w:r w:rsidR="000B144F">
        <w:rPr>
          <w:rFonts w:ascii="Gill Sans MT" w:hAnsi="Gill Sans MT"/>
        </w:rPr>
        <w:t>of</w:t>
      </w:r>
      <w:r w:rsidR="006F54D6">
        <w:rPr>
          <w:rFonts w:ascii="Gill Sans MT" w:hAnsi="Gill Sans MT"/>
        </w:rPr>
        <w:t xml:space="preserve"> the State’s international obligations.</w:t>
      </w:r>
      <w:r w:rsidR="005E0806" w:rsidRPr="003608DF">
        <w:rPr>
          <w:rFonts w:ascii="Gill Sans MT" w:hAnsi="Gill Sans MT"/>
        </w:rPr>
        <w:t xml:space="preserve"> </w:t>
      </w:r>
      <w:r w:rsidR="008A73B1" w:rsidRPr="003608DF">
        <w:rPr>
          <w:rFonts w:ascii="Gill Sans MT" w:hAnsi="Gill Sans MT"/>
        </w:rPr>
        <w:t xml:space="preserve"> </w:t>
      </w:r>
    </w:p>
    <w:p w14:paraId="141AA39D" w14:textId="77777777" w:rsidR="00C336C0" w:rsidRPr="00AA6C80" w:rsidRDefault="00C336C0" w:rsidP="00C336C0">
      <w:pPr>
        <w:pStyle w:val="Heading2"/>
        <w:rPr>
          <w:rFonts w:ascii="Gill Sans MT" w:hAnsi="Gill Sans MT"/>
        </w:rPr>
      </w:pPr>
      <w:r w:rsidRPr="00AA6C80">
        <w:rPr>
          <w:rFonts w:ascii="Gill Sans MT" w:hAnsi="Gill Sans MT"/>
        </w:rPr>
        <w:t>Participation of persons with lived experience</w:t>
      </w:r>
    </w:p>
    <w:p w14:paraId="5D03746F" w14:textId="77777777" w:rsidR="00C336C0" w:rsidRDefault="00C336C0" w:rsidP="00C336C0">
      <w:pPr>
        <w:rPr>
          <w:szCs w:val="26"/>
        </w:rPr>
      </w:pPr>
      <w:r w:rsidRPr="00524C12">
        <w:rPr>
          <w:szCs w:val="26"/>
        </w:rPr>
        <w:t xml:space="preserve">Article 4(3) of the UNCRPD obliges States Parties to ensure the effective participation of persons with disabilities in the creation and implementation of policies and legislation that impact their lives. The NDA strongly encourages effective and meaningful engagement with </w:t>
      </w:r>
      <w:r>
        <w:rPr>
          <w:szCs w:val="26"/>
        </w:rPr>
        <w:t xml:space="preserve">persons with lived experience of domestic, sexual and </w:t>
      </w:r>
      <w:r>
        <w:rPr>
          <w:szCs w:val="26"/>
        </w:rPr>
        <w:lastRenderedPageBreak/>
        <w:t>gender-based violence</w:t>
      </w:r>
      <w:r w:rsidRPr="00524C12">
        <w:rPr>
          <w:szCs w:val="26"/>
        </w:rPr>
        <w:t>- including</w:t>
      </w:r>
      <w:r>
        <w:rPr>
          <w:szCs w:val="26"/>
        </w:rPr>
        <w:t xml:space="preserve"> disabled persons’ organisations,</w:t>
      </w:r>
      <w:r w:rsidRPr="00524C12">
        <w:rPr>
          <w:szCs w:val="26"/>
        </w:rPr>
        <w:t xml:space="preserve"> persons with disabilities and </w:t>
      </w:r>
      <w:r>
        <w:rPr>
          <w:szCs w:val="26"/>
        </w:rPr>
        <w:t>young people</w:t>
      </w:r>
      <w:r w:rsidRPr="00524C12">
        <w:rPr>
          <w:szCs w:val="26"/>
        </w:rPr>
        <w:t xml:space="preserve">- throughout the process of </w:t>
      </w:r>
      <w:r>
        <w:rPr>
          <w:szCs w:val="26"/>
        </w:rPr>
        <w:t>drafting, implementing and monitoring the next National Strategy.</w:t>
      </w:r>
    </w:p>
    <w:p w14:paraId="4F258AE8" w14:textId="07468599" w:rsidR="00AA6C80" w:rsidRPr="00AA6C80" w:rsidRDefault="00AA6C80">
      <w:r>
        <w:t>The NDA remains available to further discuss any of the points made in the above submission.</w:t>
      </w:r>
    </w:p>
    <w:p w14:paraId="7F3C5CFA" w14:textId="1709BE17" w:rsidR="00B74954" w:rsidRDefault="00B74954" w:rsidP="007072E0">
      <w:pPr>
        <w:spacing w:after="600"/>
      </w:pPr>
      <w:r>
        <w:t>Yours sincerely,</w:t>
      </w:r>
    </w:p>
    <w:p w14:paraId="6BCE363E" w14:textId="04C1A0FA" w:rsidR="00AA6C80" w:rsidRDefault="009B12B2" w:rsidP="007072E0">
      <w:pPr>
        <w:spacing w:after="600"/>
      </w:pPr>
      <w:r>
        <w:rPr>
          <w:noProof/>
          <w:lang w:eastAsia="en-IE"/>
        </w:rPr>
        <w:drawing>
          <wp:inline distT="0" distB="0" distL="0" distR="0" wp14:anchorId="13494E58" wp14:editId="6B82678D">
            <wp:extent cx="2038350" cy="1240892"/>
            <wp:effectExtent l="19050" t="0" r="0" b="0"/>
            <wp:docPr id="1" name="Picture 1" descr="Signature of Aideen Hartney, NDA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Aideen Hartney, NDA Director"/>
                    <pic:cNvPicPr>
                      <a:picLocks noChangeAspect="1" noChangeArrowheads="1"/>
                    </pic:cNvPicPr>
                  </pic:nvPicPr>
                  <pic:blipFill>
                    <a:blip r:embed="rId8" cstate="print"/>
                    <a:srcRect/>
                    <a:stretch>
                      <a:fillRect/>
                    </a:stretch>
                  </pic:blipFill>
                  <pic:spPr bwMode="auto">
                    <a:xfrm>
                      <a:off x="0" y="0"/>
                      <a:ext cx="2040881" cy="1242433"/>
                    </a:xfrm>
                    <a:prstGeom prst="rect">
                      <a:avLst/>
                    </a:prstGeom>
                    <a:noFill/>
                    <a:ln w="9525">
                      <a:noFill/>
                      <a:miter lim="800000"/>
                      <a:headEnd/>
                      <a:tailEnd/>
                    </a:ln>
                  </pic:spPr>
                </pic:pic>
              </a:graphicData>
            </a:graphic>
          </wp:inline>
        </w:drawing>
      </w:r>
    </w:p>
    <w:p w14:paraId="49C7D22A" w14:textId="23D0F80F" w:rsidR="00B74954" w:rsidRPr="00EF1473" w:rsidRDefault="00AA6C80">
      <w:pPr>
        <w:rPr>
          <w:b/>
        </w:rPr>
      </w:pPr>
      <w:r>
        <w:rPr>
          <w:b/>
        </w:rPr>
        <w:t>Dr Aideen Hartney</w:t>
      </w:r>
    </w:p>
    <w:p w14:paraId="11D66C1A" w14:textId="13113ACE" w:rsidR="00B74954" w:rsidRDefault="00AA6C80">
      <w:r>
        <w:t>Director</w:t>
      </w:r>
    </w:p>
    <w:sectPr w:rsidR="00B74954">
      <w:headerReference w:type="default" r:id="rId9"/>
      <w:footerReference w:type="default" r:id="rId10"/>
      <w:headerReference w:type="first" r:id="rId11"/>
      <w:pgSz w:w="11907" w:h="16840" w:code="9"/>
      <w:pgMar w:top="851" w:right="851" w:bottom="2552"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09BF" w14:textId="77777777" w:rsidR="00557B2A" w:rsidRDefault="00557B2A">
      <w:r>
        <w:separator/>
      </w:r>
    </w:p>
  </w:endnote>
  <w:endnote w:type="continuationSeparator" w:id="0">
    <w:p w14:paraId="107EB433" w14:textId="77777777" w:rsidR="00557B2A" w:rsidRDefault="0055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D969" w14:textId="77777777" w:rsidR="00EF1473" w:rsidRDefault="00EF1473">
    <w:pPr>
      <w:pStyle w:val="Header"/>
    </w:pPr>
  </w:p>
  <w:p w14:paraId="0AA94646" w14:textId="77777777" w:rsidR="00EF1473" w:rsidRDefault="00EF1473">
    <w:pPr>
      <w:pStyle w:val="Header"/>
    </w:pPr>
  </w:p>
  <w:p w14:paraId="1AF99697" w14:textId="77777777" w:rsidR="00EF1473" w:rsidRDefault="00EF1473">
    <w:pPr>
      <w:pStyle w:val="Header"/>
    </w:pPr>
  </w:p>
  <w:p w14:paraId="7412EA4E" w14:textId="77777777" w:rsidR="00EF1473" w:rsidRDefault="00EF1473">
    <w:pPr>
      <w:pStyle w:val="Header"/>
    </w:pPr>
  </w:p>
  <w:p w14:paraId="14B3AF2B" w14:textId="77777777" w:rsidR="00EF1473" w:rsidRDefault="00EF1473">
    <w:pPr>
      <w:pStyle w:val="Header"/>
    </w:pPr>
  </w:p>
  <w:p w14:paraId="4C53CFC6" w14:textId="77777777" w:rsidR="00EF1473" w:rsidRDefault="00EF1473">
    <w:pPr>
      <w:pStyle w:val="Header"/>
    </w:pPr>
  </w:p>
  <w:p w14:paraId="4656BFE3" w14:textId="77777777" w:rsidR="00EF1473" w:rsidRDefault="00EF1473">
    <w:pPr>
      <w:pStyle w:val="Header"/>
    </w:pPr>
  </w:p>
  <w:p w14:paraId="090C42F5" w14:textId="77777777" w:rsidR="00EF1473" w:rsidRDefault="00EF1473">
    <w:pPr>
      <w:pStyle w:val="Header"/>
    </w:pPr>
  </w:p>
  <w:p w14:paraId="36715C2A" w14:textId="77777777" w:rsidR="00EF1473" w:rsidRDefault="00EF1473">
    <w:pPr>
      <w:pStyle w:val="Header"/>
    </w:pPr>
  </w:p>
  <w:p w14:paraId="35E982B6" w14:textId="77777777" w:rsidR="00EF1473" w:rsidRDefault="00EF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1EDA" w14:textId="77777777" w:rsidR="00557B2A" w:rsidRDefault="00557B2A">
      <w:r>
        <w:separator/>
      </w:r>
    </w:p>
  </w:footnote>
  <w:footnote w:type="continuationSeparator" w:id="0">
    <w:p w14:paraId="47AA94CE" w14:textId="77777777" w:rsidR="00557B2A" w:rsidRDefault="00557B2A">
      <w:r>
        <w:continuationSeparator/>
      </w:r>
    </w:p>
  </w:footnote>
  <w:footnote w:id="1">
    <w:p w14:paraId="163446F7" w14:textId="7D752DD4" w:rsidR="00DA71B6" w:rsidRDefault="00DA71B6">
      <w:pPr>
        <w:pStyle w:val="FootnoteText"/>
      </w:pPr>
      <w:r>
        <w:rPr>
          <w:rStyle w:val="FootnoteReference"/>
        </w:rPr>
        <w:footnoteRef/>
      </w:r>
      <w:r>
        <w:t xml:space="preserve"> National Disability Authority (2008) Abuse of people with disabilities: Briefing paper by the NDA</w:t>
      </w:r>
    </w:p>
  </w:footnote>
  <w:footnote w:id="2">
    <w:p w14:paraId="34A61E5B" w14:textId="15E15428" w:rsidR="00432376" w:rsidRDefault="00432376">
      <w:pPr>
        <w:pStyle w:val="FootnoteText"/>
      </w:pPr>
      <w:r>
        <w:rPr>
          <w:rStyle w:val="FootnoteReference"/>
        </w:rPr>
        <w:footnoteRef/>
      </w:r>
      <w:r>
        <w:t xml:space="preserve"> </w:t>
      </w:r>
      <w:r>
        <w:rPr>
          <w:lang w:eastAsia="en-IE"/>
        </w:rPr>
        <w:t>Rape Crisis Network Ireland (2020)</w:t>
      </w:r>
      <w:r w:rsidRPr="004E72E6">
        <w:t xml:space="preserve"> </w:t>
      </w:r>
      <w:r>
        <w:rPr>
          <w:lang w:eastAsia="en-IE"/>
        </w:rPr>
        <w:t>RCNI Rape Crisis Statistics 2019</w:t>
      </w:r>
    </w:p>
  </w:footnote>
  <w:footnote w:id="3">
    <w:p w14:paraId="6D839872" w14:textId="400AEF98" w:rsidR="0061790E" w:rsidRDefault="0061790E">
      <w:pPr>
        <w:pStyle w:val="FootnoteText"/>
      </w:pPr>
      <w:r>
        <w:rPr>
          <w:rStyle w:val="FootnoteReference"/>
        </w:rPr>
        <w:footnoteRef/>
      </w:r>
      <w:r>
        <w:t xml:space="preserve"> See </w:t>
      </w:r>
      <w:r w:rsidRPr="0061790E">
        <w:t>http://universaldesign.ie/products-services/customer-communications-toolkit-for-the-public-service-a-universal-design-approach/customer-communications-toolkit-for-the-public-services-a-universal-design-approach.pdf</w:t>
      </w:r>
    </w:p>
  </w:footnote>
  <w:footnote w:id="4">
    <w:p w14:paraId="4CE08003" w14:textId="055E2392" w:rsidR="00A11C30" w:rsidRDefault="00A11C30">
      <w:pPr>
        <w:pStyle w:val="FootnoteText"/>
      </w:pPr>
      <w:r>
        <w:rPr>
          <w:rStyle w:val="FootnoteReference"/>
        </w:rPr>
        <w:footnoteRef/>
      </w:r>
      <w:r>
        <w:t xml:space="preserve"> </w:t>
      </w:r>
      <w:r w:rsidR="0061790E">
        <w:t xml:space="preserve">See </w:t>
      </w:r>
      <w:hyperlink r:id="rId1" w:history="1">
        <w:r w:rsidR="009B12B2" w:rsidRPr="00DE1C25">
          <w:rPr>
            <w:rStyle w:val="Hyperlink"/>
          </w:rPr>
          <w:t>https://www.pdst.ie/sites/default/files/RSE%20for%20students%20with%20mild%20learning%20difficulties.pdf</w:t>
        </w:r>
      </w:hyperlink>
      <w:r w:rsidR="009B12B2">
        <w:t xml:space="preserve"> </w:t>
      </w:r>
    </w:p>
  </w:footnote>
  <w:footnote w:id="5">
    <w:p w14:paraId="19051432" w14:textId="070ACCE2" w:rsidR="00A11C30" w:rsidRDefault="00A11C30">
      <w:pPr>
        <w:pStyle w:val="FootnoteText"/>
      </w:pPr>
      <w:r>
        <w:rPr>
          <w:rStyle w:val="FootnoteReference"/>
        </w:rPr>
        <w:footnoteRef/>
      </w:r>
      <w:r>
        <w:t xml:space="preserve"> </w:t>
      </w:r>
      <w:hyperlink r:id="rId2" w:history="1">
        <w:r>
          <w:rPr>
            <w:rStyle w:val="Hyperlink"/>
          </w:rPr>
          <w:t>https://ncca.ie/media/4462/report-on-the-review-of-relationships-and-sexuality-education-rse-in-primary-and-post-primary-school.pdf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B09" w14:textId="77777777" w:rsidR="00EF1473" w:rsidRDefault="00EF14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837F" w14:textId="77777777" w:rsidR="00EF1473" w:rsidRDefault="00EF1473">
    <w:pPr>
      <w:pStyle w:val="Header"/>
    </w:pPr>
  </w:p>
  <w:p w14:paraId="27777229" w14:textId="77777777" w:rsidR="00EF1473" w:rsidRDefault="00EF1473">
    <w:pPr>
      <w:pStyle w:val="Header"/>
    </w:pPr>
  </w:p>
  <w:p w14:paraId="2C634C43" w14:textId="77777777" w:rsidR="00EF1473" w:rsidRDefault="00EF1473">
    <w:pPr>
      <w:pStyle w:val="Header"/>
    </w:pPr>
  </w:p>
  <w:p w14:paraId="7871771C" w14:textId="77777777" w:rsidR="00EF1473" w:rsidRDefault="00EF1473">
    <w:pPr>
      <w:pStyle w:val="Header"/>
    </w:pPr>
  </w:p>
  <w:p w14:paraId="33F36608" w14:textId="77777777" w:rsidR="00EF1473" w:rsidRDefault="00EF1473">
    <w:pPr>
      <w:pStyle w:val="Header"/>
    </w:pPr>
  </w:p>
  <w:p w14:paraId="1B9E1A4C" w14:textId="77777777" w:rsidR="00EF1473" w:rsidRDefault="00EF1473">
    <w:pPr>
      <w:pStyle w:val="Header"/>
    </w:pPr>
  </w:p>
  <w:p w14:paraId="1B63A3D6" w14:textId="77777777" w:rsidR="00EF1473" w:rsidRDefault="00EF1473">
    <w:pPr>
      <w:pStyle w:val="Header"/>
    </w:pPr>
  </w:p>
  <w:p w14:paraId="5891147E" w14:textId="77777777" w:rsidR="00EF1473" w:rsidRDefault="00EF1473">
    <w:pPr>
      <w:pStyle w:val="Header"/>
    </w:pPr>
  </w:p>
  <w:p w14:paraId="50CC181D" w14:textId="77777777" w:rsidR="00EF1473" w:rsidRDefault="00EF1473">
    <w:pPr>
      <w:pStyle w:val="Header"/>
    </w:pPr>
  </w:p>
  <w:p w14:paraId="40C5F16B" w14:textId="77777777" w:rsidR="00EF1473" w:rsidRDefault="00EF1473">
    <w:pPr>
      <w:pStyle w:val="Header"/>
    </w:pPr>
  </w:p>
  <w:p w14:paraId="04CB6A65" w14:textId="77777777" w:rsidR="00EF1473" w:rsidRDefault="00EF1473">
    <w:pPr>
      <w:pStyle w:val="Header"/>
    </w:pPr>
  </w:p>
  <w:p w14:paraId="0ABD53FA" w14:textId="77777777" w:rsidR="00EF1473" w:rsidRDefault="00EF1473">
    <w:pPr>
      <w:pStyle w:val="Header"/>
    </w:pPr>
  </w:p>
  <w:p w14:paraId="1C4B428A" w14:textId="77777777" w:rsidR="00EF1473" w:rsidRDefault="00EF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32D2509F"/>
    <w:multiLevelType w:val="hybridMultilevel"/>
    <w:tmpl w:val="409E50FC"/>
    <w:lvl w:ilvl="0" w:tplc="18090001">
      <w:start w:val="1"/>
      <w:numFmt w:val="bullet"/>
      <w:lvlText w:val=""/>
      <w:lvlJc w:val="left"/>
      <w:pPr>
        <w:ind w:left="791" w:hanging="360"/>
      </w:pPr>
      <w:rPr>
        <w:rFonts w:ascii="Symbol" w:hAnsi="Symbol" w:hint="default"/>
      </w:rPr>
    </w:lvl>
    <w:lvl w:ilvl="1" w:tplc="18090003" w:tentative="1">
      <w:start w:val="1"/>
      <w:numFmt w:val="bullet"/>
      <w:lvlText w:val="o"/>
      <w:lvlJc w:val="left"/>
      <w:pPr>
        <w:ind w:left="1511" w:hanging="360"/>
      </w:pPr>
      <w:rPr>
        <w:rFonts w:ascii="Courier New" w:hAnsi="Courier New" w:cs="Courier New" w:hint="default"/>
      </w:rPr>
    </w:lvl>
    <w:lvl w:ilvl="2" w:tplc="18090005" w:tentative="1">
      <w:start w:val="1"/>
      <w:numFmt w:val="bullet"/>
      <w:lvlText w:val=""/>
      <w:lvlJc w:val="left"/>
      <w:pPr>
        <w:ind w:left="2231" w:hanging="360"/>
      </w:pPr>
      <w:rPr>
        <w:rFonts w:ascii="Wingdings" w:hAnsi="Wingdings" w:hint="default"/>
      </w:rPr>
    </w:lvl>
    <w:lvl w:ilvl="3" w:tplc="18090001" w:tentative="1">
      <w:start w:val="1"/>
      <w:numFmt w:val="bullet"/>
      <w:lvlText w:val=""/>
      <w:lvlJc w:val="left"/>
      <w:pPr>
        <w:ind w:left="2951" w:hanging="360"/>
      </w:pPr>
      <w:rPr>
        <w:rFonts w:ascii="Symbol" w:hAnsi="Symbol" w:hint="default"/>
      </w:rPr>
    </w:lvl>
    <w:lvl w:ilvl="4" w:tplc="18090003" w:tentative="1">
      <w:start w:val="1"/>
      <w:numFmt w:val="bullet"/>
      <w:lvlText w:val="o"/>
      <w:lvlJc w:val="left"/>
      <w:pPr>
        <w:ind w:left="3671" w:hanging="360"/>
      </w:pPr>
      <w:rPr>
        <w:rFonts w:ascii="Courier New" w:hAnsi="Courier New" w:cs="Courier New" w:hint="default"/>
      </w:rPr>
    </w:lvl>
    <w:lvl w:ilvl="5" w:tplc="18090005" w:tentative="1">
      <w:start w:val="1"/>
      <w:numFmt w:val="bullet"/>
      <w:lvlText w:val=""/>
      <w:lvlJc w:val="left"/>
      <w:pPr>
        <w:ind w:left="4391" w:hanging="360"/>
      </w:pPr>
      <w:rPr>
        <w:rFonts w:ascii="Wingdings" w:hAnsi="Wingdings" w:hint="default"/>
      </w:rPr>
    </w:lvl>
    <w:lvl w:ilvl="6" w:tplc="18090001" w:tentative="1">
      <w:start w:val="1"/>
      <w:numFmt w:val="bullet"/>
      <w:lvlText w:val=""/>
      <w:lvlJc w:val="left"/>
      <w:pPr>
        <w:ind w:left="5111" w:hanging="360"/>
      </w:pPr>
      <w:rPr>
        <w:rFonts w:ascii="Symbol" w:hAnsi="Symbol" w:hint="default"/>
      </w:rPr>
    </w:lvl>
    <w:lvl w:ilvl="7" w:tplc="18090003" w:tentative="1">
      <w:start w:val="1"/>
      <w:numFmt w:val="bullet"/>
      <w:lvlText w:val="o"/>
      <w:lvlJc w:val="left"/>
      <w:pPr>
        <w:ind w:left="5831" w:hanging="360"/>
      </w:pPr>
      <w:rPr>
        <w:rFonts w:ascii="Courier New" w:hAnsi="Courier New" w:cs="Courier New" w:hint="default"/>
      </w:rPr>
    </w:lvl>
    <w:lvl w:ilvl="8" w:tplc="18090005" w:tentative="1">
      <w:start w:val="1"/>
      <w:numFmt w:val="bullet"/>
      <w:lvlText w:val=""/>
      <w:lvlJc w:val="left"/>
      <w:pPr>
        <w:ind w:left="6551" w:hanging="360"/>
      </w:pPr>
      <w:rPr>
        <w:rFonts w:ascii="Wingdings" w:hAnsi="Wingdings" w:hint="default"/>
      </w:rPr>
    </w:lvl>
  </w:abstractNum>
  <w:abstractNum w:abstractNumId="7" w15:restartNumberingAfterBreak="0">
    <w:nsid w:val="65AA7788"/>
    <w:multiLevelType w:val="multilevel"/>
    <w:tmpl w:val="B720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315854">
    <w:abstractNumId w:val="5"/>
  </w:num>
  <w:num w:numId="2" w16cid:durableId="1026902517">
    <w:abstractNumId w:val="5"/>
  </w:num>
  <w:num w:numId="3" w16cid:durableId="1458378488">
    <w:abstractNumId w:val="3"/>
  </w:num>
  <w:num w:numId="4" w16cid:durableId="1372534689">
    <w:abstractNumId w:val="3"/>
  </w:num>
  <w:num w:numId="5" w16cid:durableId="1168211699">
    <w:abstractNumId w:val="2"/>
  </w:num>
  <w:num w:numId="6" w16cid:durableId="305360754">
    <w:abstractNumId w:val="2"/>
  </w:num>
  <w:num w:numId="7" w16cid:durableId="2093702407">
    <w:abstractNumId w:val="4"/>
  </w:num>
  <w:num w:numId="8" w16cid:durableId="2122069676">
    <w:abstractNumId w:val="4"/>
  </w:num>
  <w:num w:numId="9" w16cid:durableId="249314413">
    <w:abstractNumId w:val="1"/>
  </w:num>
  <w:num w:numId="10" w16cid:durableId="787508598">
    <w:abstractNumId w:val="1"/>
  </w:num>
  <w:num w:numId="11" w16cid:durableId="1849520431">
    <w:abstractNumId w:val="0"/>
  </w:num>
  <w:num w:numId="12" w16cid:durableId="1134830210">
    <w:abstractNumId w:val="0"/>
  </w:num>
  <w:num w:numId="13" w16cid:durableId="1743404501">
    <w:abstractNumId w:val="5"/>
  </w:num>
  <w:num w:numId="14" w16cid:durableId="1961719553">
    <w:abstractNumId w:val="5"/>
  </w:num>
  <w:num w:numId="15" w16cid:durableId="1674411977">
    <w:abstractNumId w:val="7"/>
  </w:num>
  <w:num w:numId="16" w16cid:durableId="1389232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D1"/>
    <w:rsid w:val="00001CD0"/>
    <w:rsid w:val="00052222"/>
    <w:rsid w:val="00055F34"/>
    <w:rsid w:val="000B144F"/>
    <w:rsid w:val="000C736B"/>
    <w:rsid w:val="00111B02"/>
    <w:rsid w:val="0017712F"/>
    <w:rsid w:val="001778E6"/>
    <w:rsid w:val="00181723"/>
    <w:rsid w:val="001D628A"/>
    <w:rsid w:val="00223A56"/>
    <w:rsid w:val="002339FB"/>
    <w:rsid w:val="00236CA9"/>
    <w:rsid w:val="002475E5"/>
    <w:rsid w:val="0027386D"/>
    <w:rsid w:val="002B75A1"/>
    <w:rsid w:val="00312E6E"/>
    <w:rsid w:val="00321D42"/>
    <w:rsid w:val="00327C30"/>
    <w:rsid w:val="003608DF"/>
    <w:rsid w:val="00373D83"/>
    <w:rsid w:val="00381EFF"/>
    <w:rsid w:val="003A2068"/>
    <w:rsid w:val="003A4EF2"/>
    <w:rsid w:val="003F2009"/>
    <w:rsid w:val="00432376"/>
    <w:rsid w:val="00474063"/>
    <w:rsid w:val="004B4843"/>
    <w:rsid w:val="004E72E6"/>
    <w:rsid w:val="00557B2A"/>
    <w:rsid w:val="005A34E1"/>
    <w:rsid w:val="005C57C3"/>
    <w:rsid w:val="005E0806"/>
    <w:rsid w:val="00610202"/>
    <w:rsid w:val="0061790E"/>
    <w:rsid w:val="006220D1"/>
    <w:rsid w:val="0062440E"/>
    <w:rsid w:val="00640B3F"/>
    <w:rsid w:val="00656BCC"/>
    <w:rsid w:val="00673F9E"/>
    <w:rsid w:val="006D1B44"/>
    <w:rsid w:val="006F54D6"/>
    <w:rsid w:val="006F602E"/>
    <w:rsid w:val="007072E0"/>
    <w:rsid w:val="0075428A"/>
    <w:rsid w:val="0077187F"/>
    <w:rsid w:val="00796B83"/>
    <w:rsid w:val="007E4D84"/>
    <w:rsid w:val="00811421"/>
    <w:rsid w:val="0084099F"/>
    <w:rsid w:val="00864287"/>
    <w:rsid w:val="00884C3A"/>
    <w:rsid w:val="008A73B1"/>
    <w:rsid w:val="0094372F"/>
    <w:rsid w:val="00953024"/>
    <w:rsid w:val="0096166E"/>
    <w:rsid w:val="009B12B2"/>
    <w:rsid w:val="009C78F0"/>
    <w:rsid w:val="009F5CDE"/>
    <w:rsid w:val="00A11C30"/>
    <w:rsid w:val="00A22757"/>
    <w:rsid w:val="00A2777F"/>
    <w:rsid w:val="00A53B83"/>
    <w:rsid w:val="00A64B2E"/>
    <w:rsid w:val="00A73803"/>
    <w:rsid w:val="00AA6C80"/>
    <w:rsid w:val="00B34F39"/>
    <w:rsid w:val="00B74954"/>
    <w:rsid w:val="00B75020"/>
    <w:rsid w:val="00B8685C"/>
    <w:rsid w:val="00BE2409"/>
    <w:rsid w:val="00C336C0"/>
    <w:rsid w:val="00C616D9"/>
    <w:rsid w:val="00C83BCD"/>
    <w:rsid w:val="00C91AEA"/>
    <w:rsid w:val="00CC218F"/>
    <w:rsid w:val="00CE0947"/>
    <w:rsid w:val="00D356A0"/>
    <w:rsid w:val="00D85AFD"/>
    <w:rsid w:val="00DA71B6"/>
    <w:rsid w:val="00DD7BD1"/>
    <w:rsid w:val="00E443D4"/>
    <w:rsid w:val="00EA05B9"/>
    <w:rsid w:val="00EA0906"/>
    <w:rsid w:val="00EF1473"/>
    <w:rsid w:val="00FB4464"/>
    <w:rsid w:val="00FC6909"/>
    <w:rsid w:val="00FF6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18620"/>
  <w15:chartTrackingRefBased/>
  <w15:docId w15:val="{E0897F92-DC22-410B-80B1-40AD774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86D"/>
    <w:pPr>
      <w:spacing w:after="240"/>
    </w:pPr>
    <w:rPr>
      <w:rFonts w:ascii="Gill Sans" w:eastAsia="Times New Roman" w:hAnsi="Gill Sans"/>
      <w:sz w:val="26"/>
      <w:szCs w:val="24"/>
      <w:lang w:eastAsia="en-US"/>
    </w:rPr>
  </w:style>
  <w:style w:type="paragraph" w:styleId="Heading1">
    <w:name w:val="heading 1"/>
    <w:basedOn w:val="Normal"/>
    <w:next w:val="Normal"/>
    <w:qFormat/>
    <w:rsid w:val="00223A56"/>
    <w:pPr>
      <w:keepNext/>
      <w:spacing w:before="3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Bold" w:hAnsi="Arial Bold" w:cs="Arial"/>
      <w:b/>
      <w:bCs/>
      <w:iCs/>
      <w:sz w:val="28"/>
      <w:szCs w:val="28"/>
    </w:rPr>
  </w:style>
  <w:style w:type="paragraph" w:styleId="Heading3">
    <w:name w:val="heading 3"/>
    <w:basedOn w:val="Normal"/>
    <w:next w:val="Normal"/>
    <w:qFormat/>
    <w:pPr>
      <w:keepNext/>
      <w:spacing w:before="240" w:after="0"/>
      <w:outlineLvl w:val="2"/>
    </w:pPr>
    <w:rPr>
      <w:rFonts w:ascii="Arial Bold" w:hAnsi="Arial Bold" w:cs="Arial"/>
      <w:b/>
      <w:bCs/>
    </w:rPr>
  </w:style>
  <w:style w:type="paragraph" w:styleId="Heading4">
    <w:name w:val="heading 4"/>
    <w:basedOn w:val="Normal"/>
    <w:next w:val="Normal"/>
    <w:qFormat/>
    <w:pPr>
      <w:keepNext/>
      <w:spacing w:before="240" w:after="60"/>
      <w:outlineLvl w:val="3"/>
    </w:pPr>
    <w:rPr>
      <w:rFonts w:ascii="Arial Bold" w:hAnsi="Arial Bold"/>
      <w:b/>
      <w:bCs/>
      <w:color w:val="333333"/>
    </w:rPr>
  </w:style>
  <w:style w:type="paragraph" w:styleId="Heading5">
    <w:name w:val="heading 5"/>
    <w:basedOn w:val="Normal"/>
    <w:next w:val="Normal"/>
    <w:qFormat/>
    <w:pPr>
      <w:spacing w:before="240"/>
      <w:outlineLvl w:val="4"/>
    </w:pPr>
    <w:rPr>
      <w:b/>
      <w:bCs/>
      <w:i/>
      <w:iCs/>
      <w:szCs w:val="26"/>
    </w:rPr>
  </w:style>
  <w:style w:type="paragraph" w:styleId="Heading6">
    <w:name w:val="heading 6"/>
    <w:basedOn w:val="Normal"/>
    <w:next w:val="Normal"/>
    <w:qFormat/>
    <w:pPr>
      <w:spacing w:before="240"/>
      <w:outlineLvl w:val="5"/>
    </w:pPr>
    <w:rPr>
      <w:rFonts w:ascii="Times New Roman" w:hAnsi="Times New Roman"/>
      <w:b/>
      <w:bCs/>
      <w:sz w:val="22"/>
      <w:szCs w:val="22"/>
    </w:rPr>
  </w:style>
  <w:style w:type="paragraph" w:styleId="Heading7">
    <w:name w:val="heading 7"/>
    <w:basedOn w:val="Normal"/>
    <w:next w:val="Normal"/>
    <w:qFormat/>
    <w:pPr>
      <w:keepNext/>
      <w:spacing w:before="240"/>
      <w:jc w:val="center"/>
      <w:outlineLvl w:val="6"/>
    </w:pPr>
    <w:rPr>
      <w:rFonts w:cs="Arial"/>
      <w:b/>
      <w:sz w:val="48"/>
      <w:szCs w:val="40"/>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character" w:customStyle="1" w:styleId="attribute-value">
    <w:name w:val="attribute-value"/>
    <w:basedOn w:val="DefaultParagraphFont"/>
  </w:style>
  <w:style w:type="paragraph" w:styleId="CommentText">
    <w:name w:val="annotation text"/>
    <w:basedOn w:val="Normal"/>
    <w:link w:val="CommentTextChar"/>
    <w:semiHidden/>
    <w:rPr>
      <w:sz w:val="20"/>
    </w:rPr>
  </w:style>
  <w:style w:type="paragraph" w:customStyle="1" w:styleId="BlockQuote">
    <w:name w:val="Block Quote"/>
    <w:basedOn w:val="CommentText"/>
    <w:pPr>
      <w:ind w:left="1134"/>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Byline">
    <w:name w:val="Byline"/>
    <w:basedOn w:val="Normal"/>
    <w:next w:val="Normal"/>
    <w:pPr>
      <w:spacing w:after="0"/>
    </w:pPr>
    <w:rPr>
      <w:rFonts w:ascii="Times New Roman" w:hAnsi="Times New Roman"/>
      <w:i/>
      <w:iCs/>
      <w:lang w:val="en-GB" w:eastAsia="en-GB"/>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pPr>
      <w:keepNext/>
      <w:spacing w:after="120"/>
      <w:jc w:val="center"/>
    </w:pPr>
    <w:rPr>
      <w:rFonts w:ascii="Arial Bold" w:hAnsi="Arial Bold"/>
      <w:b/>
    </w:rPr>
  </w:style>
  <w:style w:type="paragraph" w:styleId="Header">
    <w:name w:val="header"/>
    <w:basedOn w:val="Normal"/>
    <w:pPr>
      <w:tabs>
        <w:tab w:val="center" w:pos="4320"/>
        <w:tab w:val="right" w:pos="8640"/>
      </w:tabs>
      <w:spacing w:after="0"/>
    </w:pPr>
    <w:rPr>
      <w:color w:val="333333"/>
      <w:sz w:val="20"/>
      <w:szCs w:val="20"/>
    </w:rPr>
  </w:style>
  <w:style w:type="character" w:styleId="Hyperlink">
    <w:name w:val="Hyperlink"/>
    <w:rPr>
      <w:color w:val="0000FF"/>
      <w:u w:val="single"/>
    </w:rPr>
  </w:style>
  <w:style w:type="paragraph" w:styleId="ListBullet">
    <w:name w:val="List Bullet"/>
    <w:basedOn w:val="Normal"/>
    <w:rsid w:val="001D628A"/>
    <w:pPr>
      <w:numPr>
        <w:numId w:val="14"/>
      </w:numPr>
      <w:spacing w:after="120"/>
    </w:pPr>
  </w:style>
  <w:style w:type="paragraph" w:styleId="ListBullet2">
    <w:name w:val="List Bullet 2"/>
    <w:basedOn w:val="Normal"/>
    <w:pPr>
      <w:numPr>
        <w:numId w:val="4"/>
      </w:numPr>
      <w:spacing w:before="60" w:after="60"/>
    </w:pPr>
  </w:style>
  <w:style w:type="paragraph" w:styleId="ListBullet3">
    <w:name w:val="List Bullet 3"/>
    <w:basedOn w:val="Normal"/>
    <w:rsid w:val="0061020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610202"/>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BodyText"/>
    <w:pPr>
      <w:pBdr>
        <w:top w:val="single" w:sz="12" w:space="1" w:color="808080"/>
        <w:bottom w:val="single" w:sz="12" w:space="1" w:color="808080"/>
      </w:pBdr>
    </w:pPr>
    <w:rPr>
      <w:rFonts w:ascii="Charlotte Sans" w:hAnsi="Charlotte Sans"/>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3A2068"/>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spacing w:before="24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pPr>
      <w:spacing w:before="240" w:after="60"/>
      <w:jc w:val="center"/>
      <w:outlineLvl w:val="0"/>
    </w:pPr>
    <w:rPr>
      <w:rFonts w:ascii="Arial Bold" w:hAnsi="Arial Bold" w:cs="Arial"/>
      <w:b/>
      <w:bCs/>
      <w:kern w:val="28"/>
      <w:sz w:val="32"/>
      <w:szCs w:val="32"/>
    </w:rPr>
  </w:style>
  <w:style w:type="paragraph" w:customStyle="1" w:styleId="JobTitle">
    <w:name w:val="JobTitle"/>
    <w:basedOn w:val="Normal"/>
    <w:pPr>
      <w:tabs>
        <w:tab w:val="left" w:pos="567"/>
        <w:tab w:val="left" w:pos="1134"/>
        <w:tab w:val="left" w:pos="1701"/>
        <w:tab w:val="right" w:pos="9044"/>
      </w:tabs>
      <w:spacing w:after="0"/>
      <w:jc w:val="both"/>
    </w:pPr>
    <w:rPr>
      <w:rFonts w:ascii="Times New Roman" w:hAnsi="Times New Roman"/>
      <w:szCs w:val="20"/>
    </w:r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customStyle="1" w:styleId="NormalAfterList">
    <w:name w:val="Normal (After List)"/>
    <w:basedOn w:val="Normal"/>
    <w:next w:val="Normal"/>
    <w:qFormat/>
    <w:rsid w:val="001D628A"/>
    <w:pPr>
      <w:spacing w:before="120"/>
    </w:pPr>
  </w:style>
  <w:style w:type="paragraph" w:customStyle="1" w:styleId="Address">
    <w:name w:val="Address"/>
    <w:basedOn w:val="Normal"/>
    <w:pPr>
      <w:spacing w:after="0"/>
    </w:pPr>
  </w:style>
  <w:style w:type="paragraph" w:styleId="FootnoteText">
    <w:name w:val="footnote text"/>
    <w:basedOn w:val="Normal"/>
    <w:semiHidden/>
    <w:rsid w:val="001D628A"/>
    <w:pPr>
      <w:spacing w:after="80"/>
    </w:pPr>
    <w:rPr>
      <w:sz w:val="22"/>
      <w:szCs w:val="20"/>
    </w:rPr>
  </w:style>
  <w:style w:type="paragraph" w:customStyle="1" w:styleId="NormalBeforeList">
    <w:name w:val="Normal (Before List)"/>
    <w:basedOn w:val="Normal"/>
    <w:next w:val="ListBullet"/>
    <w:qFormat/>
    <w:rsid w:val="001D628A"/>
    <w:pPr>
      <w:spacing w:after="120"/>
    </w:pPr>
  </w:style>
  <w:style w:type="character" w:styleId="FootnoteReference">
    <w:name w:val="footnote reference"/>
    <w:rsid w:val="001D628A"/>
    <w:rPr>
      <w:rFonts w:ascii="Gill Sans" w:hAnsi="Gill Sans"/>
      <w:sz w:val="26"/>
      <w:vertAlign w:val="superscript"/>
    </w:rPr>
  </w:style>
  <w:style w:type="paragraph" w:styleId="BalloonText">
    <w:name w:val="Balloon Text"/>
    <w:basedOn w:val="Normal"/>
    <w:link w:val="BalloonTextChar"/>
    <w:rsid w:val="0096166E"/>
    <w:pPr>
      <w:spacing w:after="0"/>
    </w:pPr>
    <w:rPr>
      <w:rFonts w:ascii="Tahoma" w:hAnsi="Tahoma" w:cs="Tahoma"/>
      <w:sz w:val="16"/>
      <w:szCs w:val="16"/>
    </w:rPr>
  </w:style>
  <w:style w:type="character" w:customStyle="1" w:styleId="BalloonTextChar">
    <w:name w:val="Balloon Text Char"/>
    <w:link w:val="BalloonText"/>
    <w:rsid w:val="0096166E"/>
    <w:rPr>
      <w:rFonts w:ascii="Tahoma" w:eastAsia="Times New Roman" w:hAnsi="Tahoma" w:cs="Tahoma"/>
      <w:sz w:val="16"/>
      <w:szCs w:val="16"/>
      <w:lang w:val="en-IE" w:eastAsia="en-US"/>
    </w:rPr>
  </w:style>
  <w:style w:type="paragraph" w:styleId="TOCHeading">
    <w:name w:val="TOC Heading"/>
    <w:basedOn w:val="Heading1"/>
    <w:next w:val="Normal"/>
    <w:qFormat/>
    <w:rsid w:val="00A2777F"/>
    <w:pPr>
      <w:spacing w:before="240" w:after="60" w:line="360" w:lineRule="auto"/>
      <w:outlineLvl w:val="9"/>
    </w:pPr>
    <w:rPr>
      <w:rFonts w:ascii="Cambria" w:eastAsia="Calibri" w:hAnsi="Cambria" w:cs="Times New Roman"/>
      <w:lang w:val="en-GB"/>
    </w:rPr>
  </w:style>
  <w:style w:type="paragraph" w:styleId="ListParagraph">
    <w:name w:val="List Paragraph"/>
    <w:basedOn w:val="Normal"/>
    <w:uiPriority w:val="34"/>
    <w:qFormat/>
    <w:rsid w:val="00A2777F"/>
    <w:pPr>
      <w:ind w:left="720"/>
      <w:contextualSpacing/>
    </w:pPr>
  </w:style>
  <w:style w:type="character" w:styleId="CommentReference">
    <w:name w:val="annotation reference"/>
    <w:basedOn w:val="DefaultParagraphFont"/>
    <w:rsid w:val="00FB4464"/>
    <w:rPr>
      <w:sz w:val="16"/>
      <w:szCs w:val="16"/>
    </w:rPr>
  </w:style>
  <w:style w:type="paragraph" w:styleId="CommentSubject">
    <w:name w:val="annotation subject"/>
    <w:basedOn w:val="CommentText"/>
    <w:next w:val="CommentText"/>
    <w:link w:val="CommentSubjectChar"/>
    <w:rsid w:val="00FB4464"/>
    <w:rPr>
      <w:b/>
      <w:bCs/>
      <w:szCs w:val="20"/>
    </w:rPr>
  </w:style>
  <w:style w:type="character" w:customStyle="1" w:styleId="CommentTextChar">
    <w:name w:val="Comment Text Char"/>
    <w:basedOn w:val="DefaultParagraphFont"/>
    <w:link w:val="CommentText"/>
    <w:semiHidden/>
    <w:rsid w:val="00FB4464"/>
    <w:rPr>
      <w:rFonts w:ascii="Gill Sans" w:eastAsia="Times New Roman" w:hAnsi="Gill Sans"/>
      <w:szCs w:val="24"/>
      <w:lang w:eastAsia="en-US"/>
    </w:rPr>
  </w:style>
  <w:style w:type="character" w:customStyle="1" w:styleId="CommentSubjectChar">
    <w:name w:val="Comment Subject Char"/>
    <w:basedOn w:val="CommentTextChar"/>
    <w:link w:val="CommentSubject"/>
    <w:rsid w:val="00FB4464"/>
    <w:rPr>
      <w:rFonts w:ascii="Gill Sans" w:eastAsia="Times New Roman" w:hAnsi="Gill Sans"/>
      <w:b/>
      <w:bCs/>
      <w:szCs w:val="24"/>
      <w:lang w:eastAsia="en-US"/>
    </w:rPr>
  </w:style>
  <w:style w:type="paragraph" w:customStyle="1" w:styleId="Default">
    <w:name w:val="Default"/>
    <w:rsid w:val="002339F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9750">
      <w:bodyDiv w:val="1"/>
      <w:marLeft w:val="0"/>
      <w:marRight w:val="0"/>
      <w:marTop w:val="0"/>
      <w:marBottom w:val="0"/>
      <w:divBdr>
        <w:top w:val="none" w:sz="0" w:space="0" w:color="auto"/>
        <w:left w:val="none" w:sz="0" w:space="0" w:color="auto"/>
        <w:bottom w:val="none" w:sz="0" w:space="0" w:color="auto"/>
        <w:right w:val="none" w:sz="0" w:space="0" w:color="auto"/>
      </w:divBdr>
    </w:div>
    <w:div w:id="915822939">
      <w:bodyDiv w:val="1"/>
      <w:marLeft w:val="0"/>
      <w:marRight w:val="0"/>
      <w:marTop w:val="0"/>
      <w:marBottom w:val="0"/>
      <w:divBdr>
        <w:top w:val="none" w:sz="0" w:space="0" w:color="auto"/>
        <w:left w:val="none" w:sz="0" w:space="0" w:color="auto"/>
        <w:bottom w:val="none" w:sz="0" w:space="0" w:color="auto"/>
        <w:right w:val="none" w:sz="0" w:space="0" w:color="auto"/>
      </w:divBdr>
    </w:div>
    <w:div w:id="1644655220">
      <w:bodyDiv w:val="1"/>
      <w:marLeft w:val="0"/>
      <w:marRight w:val="0"/>
      <w:marTop w:val="0"/>
      <w:marBottom w:val="0"/>
      <w:divBdr>
        <w:top w:val="none" w:sz="0" w:space="0" w:color="auto"/>
        <w:left w:val="none" w:sz="0" w:space="0" w:color="auto"/>
        <w:bottom w:val="none" w:sz="0" w:space="0" w:color="auto"/>
        <w:right w:val="none" w:sz="0" w:space="0" w:color="auto"/>
      </w:divBdr>
    </w:div>
    <w:div w:id="18599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ncca.ie/media/4462/report-on-the-review-of-relationships-and-sexuality-education-rse-in-primary-and-post-primary-school.pdf" TargetMode="External"/><Relationship Id="rId1" Type="http://schemas.openxmlformats.org/officeDocument/2006/relationships/hyperlink" Target="https://www.pdst.ie/sites/default/files/RSE%20for%20students%20with%20mild%20learning%20difficul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lette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9AED-79A4-42BA-BEB4-87AFE42A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NDA-letter-2011</Template>
  <TotalTime>2</TotalTime>
  <Pages>8</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dc:description/>
  <cp:lastModifiedBy>Heather O'Leary (NDA)</cp:lastModifiedBy>
  <cp:revision>5</cp:revision>
  <cp:lastPrinted>2008-02-15T11:42:00Z</cp:lastPrinted>
  <dcterms:created xsi:type="dcterms:W3CDTF">2021-07-01T10:30:00Z</dcterms:created>
  <dcterms:modified xsi:type="dcterms:W3CDTF">2023-07-14T11:48:00Z</dcterms:modified>
</cp:coreProperties>
</file>